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53168" w14:textId="77777777" w:rsidR="003D0CF5" w:rsidRPr="00780F36" w:rsidRDefault="003D0CF5" w:rsidP="003D0CF5">
      <w:pPr>
        <w:pStyle w:val="EYBodytextwithparaspace"/>
        <w:spacing w:after="240"/>
        <w:rPr>
          <w:sz w:val="36"/>
          <w:lang w:val="ro-RO"/>
        </w:rPr>
      </w:pPr>
    </w:p>
    <w:p w14:paraId="38A72079" w14:textId="1BC927A7" w:rsidR="003D0CF5" w:rsidRPr="00780F36" w:rsidRDefault="002D7F22" w:rsidP="003D0CF5">
      <w:pPr>
        <w:pStyle w:val="EYBodytextwithparaspace"/>
        <w:spacing w:after="240"/>
        <w:rPr>
          <w:sz w:val="36"/>
          <w:szCs w:val="36"/>
          <w:lang w:val="ro-RO"/>
        </w:rPr>
      </w:pPr>
      <w:r>
        <w:rPr>
          <w:sz w:val="36"/>
          <w:lang w:val="ro-RO"/>
        </w:rPr>
        <w:t>Punct de vedere</w:t>
      </w:r>
    </w:p>
    <w:p w14:paraId="7E9585EA" w14:textId="0E268C21" w:rsidR="003D0CF5" w:rsidRPr="00780F36" w:rsidRDefault="00402E70" w:rsidP="003D0CF5">
      <w:pPr>
        <w:pStyle w:val="EYBodytextwithparaspace"/>
        <w:contextualSpacing/>
        <w:rPr>
          <w:rFonts w:eastAsia="Times New Roman" w:cs="Times New Roman"/>
          <w:b/>
          <w:sz w:val="20"/>
          <w:szCs w:val="20"/>
          <w:lang w:val="ro-RO"/>
        </w:rPr>
      </w:pPr>
      <w:r>
        <w:rPr>
          <w:rFonts w:eastAsia="Times New Roman" w:cs="Times New Roman"/>
          <w:b/>
          <w:sz w:val="20"/>
          <w:szCs w:val="20"/>
          <w:lang w:val="ro-RO"/>
        </w:rPr>
        <w:t>20</w:t>
      </w:r>
      <w:r w:rsidR="00401EED">
        <w:rPr>
          <w:rFonts w:eastAsia="Times New Roman" w:cs="Times New Roman"/>
          <w:b/>
          <w:sz w:val="20"/>
          <w:szCs w:val="20"/>
          <w:lang w:val="ro-RO"/>
        </w:rPr>
        <w:t xml:space="preserve"> aprilie</w:t>
      </w:r>
      <w:r w:rsidR="00A2202D">
        <w:rPr>
          <w:rFonts w:eastAsia="Times New Roman" w:cs="Times New Roman"/>
          <w:b/>
          <w:sz w:val="20"/>
          <w:szCs w:val="20"/>
          <w:lang w:val="ro-RO"/>
        </w:rPr>
        <w:t xml:space="preserve"> </w:t>
      </w:r>
      <w:r w:rsidR="003D0CF5" w:rsidRPr="00780F36">
        <w:rPr>
          <w:rFonts w:eastAsia="Times New Roman" w:cs="Times New Roman"/>
          <w:b/>
          <w:sz w:val="20"/>
          <w:szCs w:val="20"/>
          <w:lang w:val="ro-RO"/>
        </w:rPr>
        <w:t>202</w:t>
      </w:r>
      <w:r w:rsidR="00D37242" w:rsidRPr="00780F36">
        <w:rPr>
          <w:rFonts w:eastAsia="Times New Roman" w:cs="Times New Roman"/>
          <w:b/>
          <w:sz w:val="20"/>
          <w:szCs w:val="20"/>
          <w:lang w:val="ro-RO"/>
        </w:rPr>
        <w:t>1</w:t>
      </w:r>
    </w:p>
    <w:p w14:paraId="493F588B" w14:textId="77777777" w:rsidR="003D0CF5" w:rsidRPr="00780F36" w:rsidRDefault="003D0CF5" w:rsidP="003D0CF5">
      <w:pPr>
        <w:pStyle w:val="EYBodytextwithparaspace"/>
        <w:contextualSpacing/>
        <w:rPr>
          <w:rFonts w:eastAsia="Times New Roman" w:cs="Times New Roman"/>
          <w:bCs/>
          <w:sz w:val="20"/>
          <w:szCs w:val="20"/>
          <w:lang w:val="ro-RO"/>
        </w:rPr>
      </w:pPr>
      <w:r w:rsidRPr="00780F36">
        <w:rPr>
          <w:rFonts w:eastAsia="Times New Roman" w:cs="Times New Roman"/>
          <w:bCs/>
          <w:sz w:val="20"/>
          <w:szCs w:val="20"/>
          <w:lang w:val="ro-RO"/>
        </w:rPr>
        <w:t>Contact:</w:t>
      </w:r>
      <w:r w:rsidRPr="00780F36">
        <w:rPr>
          <w:rFonts w:eastAsia="Times New Roman" w:cs="Times New Roman"/>
          <w:bCs/>
          <w:sz w:val="20"/>
          <w:szCs w:val="20"/>
          <w:lang w:val="ro-RO"/>
        </w:rPr>
        <w:tab/>
        <w:t>Anda Huțanu</w:t>
      </w:r>
    </w:p>
    <w:p w14:paraId="1E34B420" w14:textId="77777777" w:rsidR="003D0CF5" w:rsidRPr="00780F36" w:rsidRDefault="003D0CF5" w:rsidP="003D0CF5">
      <w:pPr>
        <w:pStyle w:val="EYBodytextwithparaspace"/>
        <w:contextualSpacing/>
        <w:rPr>
          <w:rFonts w:eastAsia="Times New Roman" w:cs="Times New Roman"/>
          <w:bCs/>
          <w:sz w:val="20"/>
          <w:szCs w:val="20"/>
          <w:lang w:val="ro-RO"/>
        </w:rPr>
      </w:pPr>
      <w:r w:rsidRPr="00780F36">
        <w:rPr>
          <w:rFonts w:eastAsia="Times New Roman" w:cs="Times New Roman"/>
          <w:bCs/>
          <w:sz w:val="20"/>
          <w:szCs w:val="20"/>
          <w:lang w:val="ro-RO"/>
        </w:rPr>
        <w:t>Companie: EY România</w:t>
      </w:r>
    </w:p>
    <w:p w14:paraId="66EEEB1E" w14:textId="77777777" w:rsidR="003D0CF5" w:rsidRPr="00780F36" w:rsidRDefault="003D0CF5" w:rsidP="003D0CF5">
      <w:pPr>
        <w:pStyle w:val="EYBodytextwithparaspace"/>
        <w:contextualSpacing/>
        <w:rPr>
          <w:rFonts w:eastAsia="Times New Roman" w:cs="Times New Roman"/>
          <w:bCs/>
          <w:sz w:val="20"/>
          <w:szCs w:val="20"/>
          <w:lang w:val="ro-RO"/>
        </w:rPr>
      </w:pPr>
      <w:r w:rsidRPr="00780F36">
        <w:rPr>
          <w:rFonts w:eastAsia="Times New Roman" w:cs="Times New Roman"/>
          <w:bCs/>
          <w:sz w:val="20"/>
          <w:szCs w:val="20"/>
          <w:lang w:val="ro-RO"/>
        </w:rPr>
        <w:t>Tel: +40 21 402 4000</w:t>
      </w:r>
    </w:p>
    <w:p w14:paraId="1ECC484A" w14:textId="5E4ED948" w:rsidR="00A05E84" w:rsidRDefault="003D0CF5" w:rsidP="003D0CF5">
      <w:pPr>
        <w:pStyle w:val="EYBodytextwithparaspace"/>
        <w:contextualSpacing/>
        <w:rPr>
          <w:rFonts w:eastAsia="Times New Roman" w:cs="Times New Roman"/>
          <w:bCs/>
          <w:sz w:val="20"/>
          <w:szCs w:val="20"/>
          <w:lang w:val="ro-RO"/>
        </w:rPr>
      </w:pPr>
      <w:r w:rsidRPr="00780F36">
        <w:rPr>
          <w:rFonts w:eastAsia="Times New Roman" w:cs="Times New Roman"/>
          <w:bCs/>
          <w:sz w:val="20"/>
          <w:szCs w:val="20"/>
          <w:lang w:val="ro-RO"/>
        </w:rPr>
        <w:t xml:space="preserve">E-mail: </w:t>
      </w:r>
      <w:hyperlink r:id="rId11" w:history="1">
        <w:r w:rsidR="00401EED" w:rsidRPr="009917F6">
          <w:rPr>
            <w:rStyle w:val="Hyperlink"/>
            <w:rFonts w:eastAsia="Times New Roman" w:cs="Times New Roman"/>
            <w:bCs/>
            <w:sz w:val="20"/>
            <w:szCs w:val="20"/>
            <w:lang w:val="ro-RO"/>
          </w:rPr>
          <w:t>anda.hutanu@ro.ey.com</w:t>
        </w:r>
      </w:hyperlink>
    </w:p>
    <w:p w14:paraId="11F28D3B" w14:textId="77777777" w:rsidR="00401EED" w:rsidRDefault="00401EED" w:rsidP="003D0CF5">
      <w:pPr>
        <w:pStyle w:val="EYBodytextwithparaspace"/>
        <w:contextualSpacing/>
        <w:rPr>
          <w:rFonts w:eastAsia="Times New Roman" w:cs="Times New Roman"/>
          <w:bCs/>
          <w:sz w:val="20"/>
          <w:szCs w:val="20"/>
          <w:lang w:val="ro-RO"/>
        </w:rPr>
      </w:pPr>
    </w:p>
    <w:p w14:paraId="63DDDB74" w14:textId="77777777" w:rsidR="00401EED" w:rsidRPr="00401EED" w:rsidRDefault="00401EED" w:rsidP="004020C2">
      <w:pPr>
        <w:spacing w:after="0" w:line="290" w:lineRule="atLeast"/>
        <w:ind w:left="360" w:hanging="360"/>
        <w:jc w:val="center"/>
        <w:rPr>
          <w:rFonts w:ascii="Arial" w:hAnsi="Arial" w:cs="Arial"/>
          <w:b/>
          <w:sz w:val="28"/>
          <w:szCs w:val="28"/>
          <w:lang w:val="ro-RO"/>
        </w:rPr>
      </w:pPr>
      <w:r w:rsidRPr="00401EED">
        <w:rPr>
          <w:rFonts w:ascii="Arial" w:hAnsi="Arial" w:cs="Arial"/>
          <w:b/>
          <w:sz w:val="28"/>
          <w:szCs w:val="28"/>
          <w:lang w:val="ro-RO"/>
        </w:rPr>
        <w:t>Cine ne (mai) salvează de dubla-impunere?</w:t>
      </w:r>
    </w:p>
    <w:p w14:paraId="48EA857D" w14:textId="77777777" w:rsidR="004020C2" w:rsidRDefault="004020C2" w:rsidP="002A5155">
      <w:pPr>
        <w:spacing w:after="0" w:line="290" w:lineRule="atLeast"/>
        <w:ind w:left="720" w:hanging="360"/>
        <w:jc w:val="center"/>
        <w:rPr>
          <w:rFonts w:ascii="Arial" w:hAnsi="Arial" w:cs="Arial"/>
          <w:lang w:val="ro-RO"/>
        </w:rPr>
      </w:pPr>
    </w:p>
    <w:p w14:paraId="64FC6F8E" w14:textId="5BC905AC" w:rsidR="00401EED" w:rsidRPr="00401EED" w:rsidRDefault="00401EED" w:rsidP="002A5155">
      <w:pPr>
        <w:spacing w:after="0" w:line="290" w:lineRule="atLeast"/>
        <w:ind w:left="720" w:hanging="360"/>
        <w:jc w:val="center"/>
        <w:rPr>
          <w:rFonts w:ascii="Arial" w:hAnsi="Arial" w:cs="Arial"/>
          <w:b/>
          <w:lang w:val="ro-RO"/>
        </w:rPr>
      </w:pPr>
      <w:r w:rsidRPr="00401EED">
        <w:rPr>
          <w:rFonts w:ascii="Arial" w:hAnsi="Arial" w:cs="Arial"/>
          <w:lang w:val="ro-RO"/>
        </w:rPr>
        <w:t xml:space="preserve">Alex </w:t>
      </w:r>
      <w:proofErr w:type="spellStart"/>
      <w:r w:rsidRPr="00401EED">
        <w:rPr>
          <w:rFonts w:ascii="Arial" w:hAnsi="Arial" w:cs="Arial"/>
          <w:lang w:val="ro-RO"/>
        </w:rPr>
        <w:t>Slujitor</w:t>
      </w:r>
      <w:r w:rsidR="00602485">
        <w:rPr>
          <w:rFonts w:ascii="Arial" w:hAnsi="Arial" w:cs="Arial"/>
          <w:lang w:val="ro-RO"/>
        </w:rPr>
        <w:t>u</w:t>
      </w:r>
      <w:proofErr w:type="spellEnd"/>
      <w:r w:rsidR="002D7F22">
        <w:rPr>
          <w:rFonts w:ascii="Arial" w:hAnsi="Arial" w:cs="Arial"/>
          <w:lang w:val="ro-RO"/>
        </w:rPr>
        <w:t xml:space="preserve"> </w:t>
      </w:r>
      <w:r w:rsidRPr="00401EED">
        <w:rPr>
          <w:rFonts w:ascii="Arial" w:hAnsi="Arial" w:cs="Arial"/>
          <w:lang w:val="ro-RO"/>
        </w:rPr>
        <w:t xml:space="preserve">și Andreea </w:t>
      </w:r>
      <w:proofErr w:type="spellStart"/>
      <w:r w:rsidRPr="00401EED">
        <w:rPr>
          <w:rFonts w:ascii="Arial" w:hAnsi="Arial" w:cs="Arial"/>
          <w:lang w:val="ro-RO"/>
        </w:rPr>
        <w:t>Dincovici</w:t>
      </w:r>
      <w:proofErr w:type="spellEnd"/>
      <w:r w:rsidR="006A5298">
        <w:rPr>
          <w:rFonts w:ascii="Arial" w:hAnsi="Arial" w:cs="Arial"/>
          <w:lang w:val="ro-RO"/>
        </w:rPr>
        <w:t xml:space="preserve">, </w:t>
      </w:r>
      <w:r w:rsidR="00602485">
        <w:rPr>
          <w:rFonts w:ascii="Arial" w:hAnsi="Arial" w:cs="Arial"/>
          <w:lang w:val="ro-RO"/>
        </w:rPr>
        <w:t>Avocați</w:t>
      </w:r>
      <w:r w:rsidR="006A5298">
        <w:rPr>
          <w:rFonts w:ascii="Arial" w:hAnsi="Arial" w:cs="Arial"/>
          <w:lang w:val="ro-RO"/>
        </w:rPr>
        <w:t xml:space="preserve">, Radu </w:t>
      </w:r>
      <w:r w:rsidR="00602485">
        <w:rPr>
          <w:rFonts w:ascii="Arial" w:hAnsi="Arial" w:cs="Arial"/>
          <w:lang w:val="ro-RO"/>
        </w:rPr>
        <w:t>și</w:t>
      </w:r>
      <w:r w:rsidR="006A5298">
        <w:rPr>
          <w:rFonts w:ascii="Arial" w:hAnsi="Arial" w:cs="Arial"/>
          <w:lang w:val="ro-RO"/>
        </w:rPr>
        <w:t xml:space="preserve"> </w:t>
      </w:r>
      <w:r w:rsidR="00602485">
        <w:rPr>
          <w:rFonts w:ascii="Arial" w:hAnsi="Arial" w:cs="Arial"/>
          <w:lang w:val="ro-RO"/>
        </w:rPr>
        <w:t>Asociații</w:t>
      </w:r>
      <w:r w:rsidR="00CE6DFF">
        <w:rPr>
          <w:rFonts w:ascii="Arial" w:hAnsi="Arial" w:cs="Arial"/>
          <w:lang w:val="ro-RO"/>
        </w:rPr>
        <w:t xml:space="preserve"> SPRL</w:t>
      </w:r>
    </w:p>
    <w:p w14:paraId="2C4DA46C" w14:textId="77777777" w:rsidR="00401EED" w:rsidRDefault="00401EED" w:rsidP="00401EED">
      <w:pPr>
        <w:spacing w:after="0" w:line="290" w:lineRule="atLeast"/>
        <w:rPr>
          <w:rFonts w:ascii="Arial" w:eastAsia="Times New Roman" w:hAnsi="Arial" w:cs="Times New Roman"/>
          <w:bCs/>
          <w:kern w:val="12"/>
          <w:sz w:val="20"/>
          <w:szCs w:val="20"/>
          <w:lang w:val="ro-RO"/>
        </w:rPr>
      </w:pPr>
      <w:bookmarkStart w:id="0" w:name="_Hlk68518494"/>
    </w:p>
    <w:p w14:paraId="0BBF8678" w14:textId="77777777" w:rsidR="00401EED" w:rsidRPr="00401EED" w:rsidRDefault="00401EED" w:rsidP="00401EED">
      <w:pPr>
        <w:spacing w:after="0" w:line="240" w:lineRule="auto"/>
        <w:rPr>
          <w:rFonts w:ascii="Arial" w:hAnsi="Arial" w:cs="Arial"/>
          <w:b/>
          <w:u w:val="single"/>
          <w:lang w:val="ro-RO"/>
        </w:rPr>
      </w:pPr>
      <w:r w:rsidRPr="00401EED">
        <w:rPr>
          <w:rFonts w:ascii="Arial" w:hAnsi="Arial" w:cs="Arial"/>
          <w:b/>
          <w:u w:val="single"/>
          <w:lang w:val="ro-RO"/>
        </w:rPr>
        <w:t xml:space="preserve">Premisa </w:t>
      </w:r>
      <w:bookmarkEnd w:id="0"/>
    </w:p>
    <w:p w14:paraId="4D967246" w14:textId="77777777" w:rsidR="00401EED" w:rsidRPr="00401EED" w:rsidRDefault="00401EED" w:rsidP="00401EED">
      <w:pPr>
        <w:spacing w:after="0" w:line="240" w:lineRule="auto"/>
        <w:jc w:val="both"/>
        <w:rPr>
          <w:rFonts w:ascii="Arial" w:hAnsi="Arial" w:cs="Arial"/>
          <w:b/>
          <w:u w:val="single"/>
          <w:lang w:val="ro-RO"/>
        </w:rPr>
      </w:pPr>
    </w:p>
    <w:p w14:paraId="1FAAC89D" w14:textId="0FF6DA20" w:rsidR="00401EED" w:rsidRPr="00401EED" w:rsidRDefault="00401EED" w:rsidP="00830BAD">
      <w:pPr>
        <w:spacing w:after="0" w:line="240" w:lineRule="auto"/>
        <w:rPr>
          <w:rFonts w:ascii="Arial" w:hAnsi="Arial" w:cs="Arial"/>
          <w:bCs/>
          <w:lang w:val="ro-RO"/>
        </w:rPr>
      </w:pPr>
      <w:r w:rsidRPr="00401EED">
        <w:rPr>
          <w:rFonts w:ascii="Arial" w:hAnsi="Arial" w:cs="Arial"/>
          <w:bCs/>
          <w:lang w:val="ro-RO"/>
        </w:rPr>
        <w:t>În ultimii ani ne-am confruntat – la început mai rar</w:t>
      </w:r>
      <w:r w:rsidR="00AE1F88">
        <w:rPr>
          <w:rFonts w:ascii="Arial" w:hAnsi="Arial" w:cs="Arial"/>
          <w:bCs/>
          <w:lang w:val="ro-RO"/>
        </w:rPr>
        <w:t>,</w:t>
      </w:r>
      <w:r w:rsidRPr="00401EED">
        <w:rPr>
          <w:rFonts w:ascii="Arial" w:hAnsi="Arial" w:cs="Arial"/>
          <w:bCs/>
          <w:lang w:val="ro-RO"/>
        </w:rPr>
        <w:t xml:space="preserve"> iar apoi cu o frecvență din ce în ce mai ridicată, cu situații în care fie un contribuabil a fost impozitat în două state distincte, fie aceeași tranzacție a fost supusă impozitării în două state prin impozitarea fiecăreia din persoanele juridice care au efectuat-o.</w:t>
      </w:r>
    </w:p>
    <w:p w14:paraId="75DEF910" w14:textId="77777777" w:rsidR="00401EED" w:rsidRPr="00401EED" w:rsidRDefault="00401EED" w:rsidP="00830BAD">
      <w:pPr>
        <w:spacing w:after="0" w:line="240" w:lineRule="auto"/>
        <w:rPr>
          <w:rFonts w:ascii="Arial" w:hAnsi="Arial" w:cs="Arial"/>
          <w:bCs/>
          <w:lang w:val="ro-RO"/>
        </w:rPr>
      </w:pPr>
    </w:p>
    <w:p w14:paraId="0605C657" w14:textId="757F35D5" w:rsidR="00401EED" w:rsidRPr="00401EED" w:rsidRDefault="00401EED" w:rsidP="00830BAD">
      <w:pPr>
        <w:spacing w:after="0" w:line="240" w:lineRule="auto"/>
        <w:rPr>
          <w:rFonts w:ascii="Arial" w:hAnsi="Arial" w:cs="Arial"/>
          <w:bCs/>
        </w:rPr>
      </w:pPr>
      <w:r w:rsidRPr="00401EED">
        <w:rPr>
          <w:rFonts w:ascii="Arial" w:hAnsi="Arial" w:cs="Arial"/>
          <w:bCs/>
          <w:lang w:val="ro-RO"/>
        </w:rPr>
        <w:t>Prima situație – a impozitării aceluiași contribuabil în două state diferite, este una mai ușor de înțeles și la aceasta se referă</w:t>
      </w:r>
      <w:r w:rsidR="00AE1F88">
        <w:rPr>
          <w:rFonts w:ascii="Arial" w:hAnsi="Arial" w:cs="Arial"/>
          <w:bCs/>
          <w:lang w:val="ro-RO"/>
        </w:rPr>
        <w:t>,</w:t>
      </w:r>
      <w:r w:rsidRPr="00401EED">
        <w:rPr>
          <w:rFonts w:ascii="Arial" w:hAnsi="Arial" w:cs="Arial"/>
          <w:bCs/>
          <w:lang w:val="ro-RO"/>
        </w:rPr>
        <w:t xml:space="preserve"> în mod direct</w:t>
      </w:r>
      <w:r w:rsidR="00AE1F88">
        <w:rPr>
          <w:rFonts w:ascii="Arial" w:hAnsi="Arial" w:cs="Arial"/>
          <w:bCs/>
          <w:lang w:val="ro-RO"/>
        </w:rPr>
        <w:t>,</w:t>
      </w:r>
      <w:r w:rsidRPr="00401EED">
        <w:rPr>
          <w:rFonts w:ascii="Arial" w:hAnsi="Arial" w:cs="Arial"/>
          <w:bCs/>
          <w:lang w:val="ro-RO"/>
        </w:rPr>
        <w:t xml:space="preserve"> Codul fiscal atunci când reglementează modalitățile de evitare a dublei-impuneri. </w:t>
      </w:r>
    </w:p>
    <w:p w14:paraId="26969DE5" w14:textId="77777777" w:rsidR="00401EED" w:rsidRPr="00401EED" w:rsidRDefault="00401EED" w:rsidP="00830BAD">
      <w:pPr>
        <w:spacing w:after="0" w:line="240" w:lineRule="auto"/>
        <w:rPr>
          <w:rFonts w:ascii="Arial" w:hAnsi="Arial" w:cs="Arial"/>
          <w:bCs/>
          <w:lang w:val="ro-RO"/>
        </w:rPr>
      </w:pPr>
    </w:p>
    <w:p w14:paraId="7B342D0F" w14:textId="77777777" w:rsidR="00401EED" w:rsidRPr="00401EED" w:rsidRDefault="00401EED" w:rsidP="00830BAD">
      <w:pPr>
        <w:spacing w:after="0" w:line="240" w:lineRule="auto"/>
        <w:rPr>
          <w:rFonts w:ascii="Arial" w:hAnsi="Arial" w:cs="Arial"/>
          <w:noProof/>
          <w:lang w:val="ro-RO"/>
        </w:rPr>
      </w:pPr>
      <w:r w:rsidRPr="00401EED">
        <w:rPr>
          <w:rFonts w:ascii="Arial" w:hAnsi="Arial" w:cs="Arial"/>
          <w:bCs/>
          <w:lang w:val="ro-RO"/>
        </w:rPr>
        <w:t>Pentru rigurozitate, ne vom referi la această situație ca „dublă-impunere juridică” în ilustrarea definiției stabilite de Organizația pentru Cooperare și Dezvoltare Economică („OCDE”), anume stabilirea</w:t>
      </w:r>
      <w:r w:rsidRPr="00401EED">
        <w:rPr>
          <w:rFonts w:ascii="Arial" w:hAnsi="Arial" w:cs="Arial"/>
          <w:noProof/>
          <w:lang w:val="ro-RO"/>
        </w:rPr>
        <w:t xml:space="preserve"> de impozite pe venit în două (sau mai multe) state pentru același contribuabil cu privire la același venit</w:t>
      </w:r>
      <w:r w:rsidRPr="00401EED">
        <w:rPr>
          <w:rStyle w:val="Referinnotdesubsol"/>
          <w:rFonts w:ascii="Arial" w:hAnsi="Arial" w:cs="Arial"/>
          <w:noProof/>
          <w:lang w:val="ro-RO"/>
        </w:rPr>
        <w:footnoteReference w:id="1"/>
      </w:r>
      <w:r w:rsidRPr="00401EED">
        <w:rPr>
          <w:rFonts w:ascii="Arial" w:hAnsi="Arial" w:cs="Arial"/>
          <w:noProof/>
          <w:lang w:val="ro-RO"/>
        </w:rPr>
        <w:t>.</w:t>
      </w:r>
    </w:p>
    <w:p w14:paraId="1BB1949C" w14:textId="77777777" w:rsidR="00401EED" w:rsidRPr="00401EED" w:rsidRDefault="00401EED" w:rsidP="00830BAD">
      <w:pPr>
        <w:spacing w:after="0" w:line="240" w:lineRule="auto"/>
        <w:rPr>
          <w:rFonts w:ascii="Arial" w:hAnsi="Arial" w:cs="Arial"/>
          <w:noProof/>
          <w:lang w:val="ro-RO"/>
        </w:rPr>
      </w:pPr>
    </w:p>
    <w:p w14:paraId="069ED767" w14:textId="121D330C" w:rsidR="00401EED" w:rsidRPr="00401EED" w:rsidRDefault="00401EED" w:rsidP="00830BAD">
      <w:pPr>
        <w:spacing w:after="0" w:line="240" w:lineRule="auto"/>
        <w:rPr>
          <w:rFonts w:ascii="Arial" w:hAnsi="Arial" w:cs="Arial"/>
          <w:noProof/>
          <w:lang w:val="ro-RO"/>
        </w:rPr>
      </w:pPr>
      <w:r w:rsidRPr="00401EED">
        <w:rPr>
          <w:rFonts w:ascii="Arial" w:hAnsi="Arial" w:cs="Arial"/>
          <w:noProof/>
          <w:lang w:val="ro-RO"/>
        </w:rPr>
        <w:t xml:space="preserve">Dubla impunere juridică poate fi generată, de exemplu, în cazul în care un rezident al unui stat obține venituri din surse din alt stat iar legislația fiscală internă a ambelor state ar impozita acel venit ori în cazul în care fiecare stat consideră că respectivul contribuabilul este rezident al statului în cauză și astfel supus impozitării </w:t>
      </w:r>
      <w:r w:rsidR="00602485">
        <w:rPr>
          <w:rFonts w:ascii="Arial" w:hAnsi="Arial" w:cs="Arial"/>
          <w:noProof/>
          <w:lang w:val="ro-RO"/>
        </w:rPr>
        <w:t>î</w:t>
      </w:r>
      <w:r w:rsidRPr="00401EED">
        <w:rPr>
          <w:rFonts w:ascii="Arial" w:hAnsi="Arial" w:cs="Arial"/>
          <w:noProof/>
          <w:lang w:val="ro-RO"/>
        </w:rPr>
        <w:t>n fiecare stat.</w:t>
      </w:r>
    </w:p>
    <w:p w14:paraId="16BA3CC6" w14:textId="77777777" w:rsidR="00401EED" w:rsidRPr="00401EED" w:rsidRDefault="00401EED" w:rsidP="00830BAD">
      <w:pPr>
        <w:spacing w:after="0" w:line="240" w:lineRule="auto"/>
        <w:rPr>
          <w:rFonts w:ascii="Arial" w:hAnsi="Arial" w:cs="Arial"/>
          <w:noProof/>
          <w:lang w:val="ro-RO"/>
        </w:rPr>
      </w:pPr>
    </w:p>
    <w:p w14:paraId="01BA2DCF" w14:textId="053BFE13" w:rsidR="00401EED" w:rsidRPr="00401EED" w:rsidRDefault="00401EED" w:rsidP="00830BAD">
      <w:pPr>
        <w:spacing w:after="0" w:line="240" w:lineRule="auto"/>
        <w:rPr>
          <w:rFonts w:ascii="Arial" w:hAnsi="Arial" w:cs="Arial"/>
          <w:noProof/>
          <w:lang w:val="ro-RO"/>
        </w:rPr>
      </w:pPr>
      <w:r w:rsidRPr="00401EED">
        <w:rPr>
          <w:rFonts w:ascii="Arial" w:hAnsi="Arial" w:cs="Arial"/>
          <w:noProof/>
          <w:lang w:val="ro-RO"/>
        </w:rPr>
        <w:t>A doua situație</w:t>
      </w:r>
      <w:r w:rsidR="00602485">
        <w:rPr>
          <w:rFonts w:ascii="Arial" w:hAnsi="Arial" w:cs="Arial"/>
          <w:noProof/>
          <w:lang w:val="ro-RO"/>
        </w:rPr>
        <w:t>,</w:t>
      </w:r>
      <w:r w:rsidRPr="00401EED">
        <w:rPr>
          <w:rFonts w:ascii="Arial" w:hAnsi="Arial" w:cs="Arial"/>
          <w:noProof/>
          <w:lang w:val="ro-RO"/>
        </w:rPr>
        <w:t xml:space="preserve"> a impozitării aceleiași tranzacții în două state diferite prin impozitarea persoanelor juridice, este una care în practică generează dispute frecvente între contribuabili și Agenția Națională de Administrare Fiscală („</w:t>
      </w:r>
      <w:r w:rsidRPr="00401EED">
        <w:rPr>
          <w:rFonts w:ascii="Arial" w:hAnsi="Arial" w:cs="Arial"/>
          <w:b/>
          <w:bCs/>
          <w:noProof/>
          <w:lang w:val="ro-RO"/>
        </w:rPr>
        <w:t>ANAF</w:t>
      </w:r>
      <w:r w:rsidRPr="00401EED">
        <w:rPr>
          <w:rFonts w:ascii="Arial" w:hAnsi="Arial" w:cs="Arial"/>
          <w:noProof/>
          <w:lang w:val="ro-RO"/>
        </w:rPr>
        <w:t>”). Este vorba de „dubla impunere economică” ce este definită de OCDE ca includerea, de către mai multe administrații fiscale ale unor state, a aceluiași venit în baza de impozitare, atunci când venitul este obținut de diferiți contribuabili</w:t>
      </w:r>
      <w:r w:rsidRPr="00401EED">
        <w:rPr>
          <w:rStyle w:val="Referinnotdesubsol"/>
          <w:rFonts w:ascii="Arial" w:hAnsi="Arial" w:cs="Arial"/>
          <w:noProof/>
          <w:lang w:val="ro-RO"/>
        </w:rPr>
        <w:footnoteReference w:id="2"/>
      </w:r>
      <w:r w:rsidRPr="00401EED">
        <w:rPr>
          <w:rFonts w:ascii="Arial" w:hAnsi="Arial" w:cs="Arial"/>
          <w:noProof/>
          <w:lang w:val="ro-RO"/>
        </w:rPr>
        <w:t>.</w:t>
      </w:r>
    </w:p>
    <w:p w14:paraId="5E7C0250" w14:textId="77777777" w:rsidR="00401EED" w:rsidRPr="00401EED" w:rsidRDefault="00401EED" w:rsidP="00830BAD">
      <w:pPr>
        <w:spacing w:after="0" w:line="240" w:lineRule="auto"/>
        <w:rPr>
          <w:rFonts w:ascii="Arial" w:hAnsi="Arial" w:cs="Arial"/>
          <w:noProof/>
          <w:lang w:val="ro-RO"/>
        </w:rPr>
      </w:pPr>
    </w:p>
    <w:p w14:paraId="5671A608" w14:textId="532C35AE" w:rsidR="00401EED" w:rsidRPr="00401EED" w:rsidRDefault="00401EED" w:rsidP="00830BAD">
      <w:pPr>
        <w:spacing w:after="0" w:line="240" w:lineRule="auto"/>
        <w:rPr>
          <w:rFonts w:ascii="Arial" w:hAnsi="Arial" w:cs="Arial"/>
          <w:noProof/>
          <w:lang w:val="ro-RO"/>
        </w:rPr>
      </w:pPr>
      <w:r w:rsidRPr="00401EED">
        <w:rPr>
          <w:rFonts w:ascii="Arial" w:hAnsi="Arial" w:cs="Arial"/>
          <w:noProof/>
          <w:lang w:val="ro-RO"/>
        </w:rPr>
        <w:lastRenderedPageBreak/>
        <w:t xml:space="preserve">Cazurile de prețuri de transfer sunt cel mai bun exemplu de dublă impunere economică. De exemplu, o administrație fiscală a unui stat ajustează un preț perceput pentru tranzacții derulate între părțile afiliate (mărind sau micșorând acel preț) iar diferența ce rezultă este impozitată de statul care face ajustarea, în condițiile în care a fost deja aplicat impozit în celălalt stat cu privire la același venit dar asupra celeilalte societăți. Și mai specific, </w:t>
      </w:r>
      <w:r w:rsidR="0046184E">
        <w:rPr>
          <w:rFonts w:ascii="Arial" w:hAnsi="Arial" w:cs="Arial"/>
          <w:noProof/>
          <w:lang w:val="ro-RO"/>
        </w:rPr>
        <w:t>î</w:t>
      </w:r>
      <w:r w:rsidRPr="00401EED">
        <w:rPr>
          <w:rFonts w:ascii="Arial" w:hAnsi="Arial" w:cs="Arial"/>
          <w:noProof/>
          <w:lang w:val="ro-RO"/>
        </w:rPr>
        <w:t xml:space="preserve">n România, autoritatea fiscală consideră că prețul plătit de contribuabilul român pentru o achiziție de la un afiliat străin este prea mare (adică nivelul cheltuielii este prea ridicat), astfel că acesta este diminuat și deci baza de impozitare este ajustată (iar eventualul profit datorat </w:t>
      </w:r>
      <w:r w:rsidR="0046184E">
        <w:rPr>
          <w:rFonts w:ascii="Arial" w:hAnsi="Arial" w:cs="Arial"/>
          <w:noProof/>
          <w:lang w:val="ro-RO"/>
        </w:rPr>
        <w:t>s</w:t>
      </w:r>
      <w:r w:rsidR="0046184E" w:rsidRPr="00401EED">
        <w:rPr>
          <w:rFonts w:ascii="Arial" w:hAnsi="Arial" w:cs="Arial"/>
          <w:noProof/>
          <w:lang w:val="ro-RO"/>
        </w:rPr>
        <w:t xml:space="preserve">tatului </w:t>
      </w:r>
      <w:r w:rsidR="0046184E">
        <w:rPr>
          <w:rFonts w:ascii="Arial" w:hAnsi="Arial" w:cs="Arial"/>
          <w:noProof/>
          <w:lang w:val="ro-RO"/>
        </w:rPr>
        <w:t>r</w:t>
      </w:r>
      <w:r w:rsidR="0046184E" w:rsidRPr="00401EED">
        <w:rPr>
          <w:rFonts w:ascii="Arial" w:hAnsi="Arial" w:cs="Arial"/>
          <w:noProof/>
          <w:lang w:val="ro-RO"/>
        </w:rPr>
        <w:t xml:space="preserve">omân </w:t>
      </w:r>
      <w:r w:rsidRPr="00401EED">
        <w:rPr>
          <w:rFonts w:ascii="Arial" w:hAnsi="Arial" w:cs="Arial"/>
          <w:noProof/>
          <w:lang w:val="ro-RO"/>
        </w:rPr>
        <w:t>este crescut); în același timp, afiliatul străin a avut în vedere la determinarea impozitului datorat autorității sale statale întregul preț primit de la afiliatul român și nu prețul diminuat de autoritățile fiscale române.</w:t>
      </w:r>
    </w:p>
    <w:p w14:paraId="60FB721F" w14:textId="77777777" w:rsidR="00401EED" w:rsidRPr="00401EED" w:rsidRDefault="00401EED" w:rsidP="00830BAD">
      <w:pPr>
        <w:spacing w:after="0" w:line="240" w:lineRule="auto"/>
        <w:rPr>
          <w:rFonts w:ascii="Arial" w:hAnsi="Arial" w:cs="Arial"/>
          <w:noProof/>
          <w:lang w:val="ro-RO"/>
        </w:rPr>
      </w:pPr>
    </w:p>
    <w:p w14:paraId="2955FAB6" w14:textId="77777777" w:rsidR="00401EED" w:rsidRPr="00401EED" w:rsidRDefault="00401EED" w:rsidP="00830BAD">
      <w:pPr>
        <w:spacing w:after="0" w:line="240" w:lineRule="auto"/>
        <w:rPr>
          <w:rFonts w:ascii="Arial" w:hAnsi="Arial" w:cs="Arial"/>
          <w:noProof/>
          <w:lang w:val="ro-RO"/>
        </w:rPr>
      </w:pPr>
      <w:r w:rsidRPr="00401EED">
        <w:rPr>
          <w:rFonts w:ascii="Arial" w:hAnsi="Arial" w:cs="Arial"/>
          <w:noProof/>
          <w:lang w:val="ro-RO"/>
        </w:rPr>
        <w:t xml:space="preserve">Practic, dubla impunere economică nu rezultă din valoarea absolută a impozitului pe profit achitat de către un contribuabil către autoritățile fiscale competente din două sau mai multe state, ci vizează situația în care același venit/profit este inclus în baza de impozitare la două sau mai multe persoane afiliate între care s-au încheiat tranzacții.   </w:t>
      </w:r>
    </w:p>
    <w:p w14:paraId="627FDDB9" w14:textId="77777777" w:rsidR="00401EED" w:rsidRPr="00401EED" w:rsidRDefault="00401EED" w:rsidP="00830BAD">
      <w:pPr>
        <w:spacing w:after="0" w:line="240" w:lineRule="auto"/>
        <w:rPr>
          <w:rFonts w:ascii="Arial" w:hAnsi="Arial" w:cs="Arial"/>
          <w:noProof/>
          <w:lang w:val="ro-RO"/>
        </w:rPr>
      </w:pPr>
    </w:p>
    <w:p w14:paraId="5E69F898" w14:textId="77777777" w:rsidR="00401EED" w:rsidRPr="00401EED" w:rsidRDefault="00401EED" w:rsidP="00830BAD">
      <w:pPr>
        <w:spacing w:after="0" w:line="240" w:lineRule="auto"/>
        <w:rPr>
          <w:rFonts w:ascii="Arial" w:hAnsi="Arial" w:cs="Arial"/>
          <w:noProof/>
          <w:lang w:val="ro-RO"/>
        </w:rPr>
      </w:pPr>
      <w:r w:rsidRPr="00401EED">
        <w:rPr>
          <w:rFonts w:ascii="Arial" w:hAnsi="Arial" w:cs="Arial"/>
          <w:noProof/>
          <w:lang w:val="ro-RO"/>
        </w:rPr>
        <w:t>Această a doua ipoteză este cea care face obiectul prezentei discuții.</w:t>
      </w:r>
    </w:p>
    <w:p w14:paraId="2272B8C3" w14:textId="77777777" w:rsidR="00401EED" w:rsidRPr="00401EED" w:rsidRDefault="00401EED" w:rsidP="00830BAD">
      <w:pPr>
        <w:spacing w:after="0" w:line="240" w:lineRule="auto"/>
        <w:rPr>
          <w:rFonts w:ascii="Arial" w:hAnsi="Arial" w:cs="Arial"/>
          <w:noProof/>
          <w:lang w:val="ro-RO"/>
        </w:rPr>
      </w:pPr>
    </w:p>
    <w:p w14:paraId="2626C6A4" w14:textId="77777777" w:rsidR="00401EED" w:rsidRPr="00401EED" w:rsidRDefault="00401EED" w:rsidP="00830BAD">
      <w:pPr>
        <w:spacing w:after="0" w:line="240" w:lineRule="auto"/>
        <w:rPr>
          <w:rFonts w:ascii="Arial" w:hAnsi="Arial" w:cs="Arial"/>
          <w:b/>
          <w:bCs/>
          <w:noProof/>
          <w:u w:val="single"/>
          <w:lang w:val="ro-RO"/>
        </w:rPr>
      </w:pPr>
      <w:r w:rsidRPr="00401EED">
        <w:rPr>
          <w:rFonts w:ascii="Arial" w:hAnsi="Arial" w:cs="Arial"/>
          <w:b/>
          <w:bCs/>
          <w:noProof/>
          <w:u w:val="single"/>
          <w:lang w:val="ro-RO"/>
        </w:rPr>
        <w:t>Problema</w:t>
      </w:r>
    </w:p>
    <w:p w14:paraId="389F4517" w14:textId="77777777" w:rsidR="00401EED" w:rsidRPr="00401EED" w:rsidRDefault="00401EED" w:rsidP="00830BAD">
      <w:pPr>
        <w:spacing w:after="0" w:line="240" w:lineRule="auto"/>
        <w:rPr>
          <w:rFonts w:ascii="Arial" w:hAnsi="Arial" w:cs="Arial"/>
          <w:b/>
          <w:bCs/>
          <w:noProof/>
          <w:u w:val="single"/>
          <w:lang w:val="ro-RO"/>
        </w:rPr>
      </w:pPr>
    </w:p>
    <w:p w14:paraId="512A5015" w14:textId="62142641" w:rsidR="00401EED" w:rsidRPr="00401EED" w:rsidRDefault="00401EED" w:rsidP="00830BAD">
      <w:pPr>
        <w:spacing w:after="0" w:line="240" w:lineRule="auto"/>
        <w:rPr>
          <w:rFonts w:ascii="Arial" w:hAnsi="Arial" w:cs="Arial"/>
          <w:noProof/>
          <w:lang w:val="ro-RO"/>
        </w:rPr>
      </w:pPr>
      <w:r w:rsidRPr="00401EED">
        <w:rPr>
          <w:rFonts w:ascii="Arial" w:hAnsi="Arial" w:cs="Arial"/>
          <w:noProof/>
          <w:lang w:val="ro-RO"/>
        </w:rPr>
        <w:t xml:space="preserve">O inspecție fiscală desfășurată de ANAF asupra unui contribuabil român ce efectuează tranzacții cu societăți străine afiliate (ceea ce este cazul majorității societăților multinaționale cu prezență în România) stabilește impozit pe profit suplimentar de plată în sarcina contribuabilului român, impozit generat de efectuarea unor ajustări de prețuri de transfer cu privire la tranzacțiile efectuate cu societățile străine afiliate. </w:t>
      </w:r>
    </w:p>
    <w:p w14:paraId="5F4F0F77" w14:textId="77777777" w:rsidR="00401EED" w:rsidRPr="00401EED" w:rsidRDefault="00401EED" w:rsidP="00830BAD">
      <w:pPr>
        <w:spacing w:after="0" w:line="240" w:lineRule="auto"/>
        <w:rPr>
          <w:rFonts w:ascii="Arial" w:hAnsi="Arial" w:cs="Arial"/>
          <w:noProof/>
          <w:lang w:val="ro-RO"/>
        </w:rPr>
      </w:pPr>
    </w:p>
    <w:p w14:paraId="77114043" w14:textId="77777777" w:rsidR="00401EED" w:rsidRPr="00401EED" w:rsidRDefault="00401EED" w:rsidP="00830BAD">
      <w:pPr>
        <w:spacing w:after="0" w:line="240" w:lineRule="auto"/>
        <w:rPr>
          <w:rFonts w:ascii="Arial" w:hAnsi="Arial" w:cs="Arial"/>
          <w:noProof/>
          <w:lang w:val="ro-RO"/>
        </w:rPr>
      </w:pPr>
      <w:r w:rsidRPr="00401EED">
        <w:rPr>
          <w:rFonts w:ascii="Arial" w:hAnsi="Arial" w:cs="Arial"/>
          <w:noProof/>
          <w:lang w:val="ro-RO"/>
        </w:rPr>
        <w:t>În esență, simplificând, ANAF consideră că respectivul contribuabil român trebuia să vândă la prețuri mai mari către societățile afiliate, deci să obțină venituri mai mari și să plătească impozit pe profit mai mare. Cum nu a făcut-o, în sarcina contribuabilului, ANAF stabilește sume suplimentare de plată, emițând în acest sens un titlu de creanță – decizia de impunere.</w:t>
      </w:r>
    </w:p>
    <w:p w14:paraId="6BDB4A17" w14:textId="77777777" w:rsidR="00401EED" w:rsidRPr="00401EED" w:rsidRDefault="00401EED" w:rsidP="00830BAD">
      <w:pPr>
        <w:spacing w:after="0" w:line="240" w:lineRule="auto"/>
        <w:rPr>
          <w:rFonts w:ascii="Arial" w:hAnsi="Arial" w:cs="Arial"/>
          <w:noProof/>
          <w:lang w:val="ro-RO"/>
        </w:rPr>
      </w:pPr>
    </w:p>
    <w:p w14:paraId="56B64905" w14:textId="0DC44975" w:rsidR="00401EED" w:rsidRPr="00401EED" w:rsidRDefault="00401EED" w:rsidP="00830BAD">
      <w:pPr>
        <w:spacing w:after="0" w:line="240" w:lineRule="auto"/>
        <w:rPr>
          <w:rFonts w:ascii="Arial" w:hAnsi="Arial" w:cs="Arial"/>
          <w:noProof/>
          <w:lang w:val="ro-RO"/>
        </w:rPr>
      </w:pPr>
      <w:r w:rsidRPr="00401EED">
        <w:rPr>
          <w:rFonts w:ascii="Arial" w:hAnsi="Arial" w:cs="Arial"/>
          <w:noProof/>
          <w:lang w:val="ro-RO"/>
        </w:rPr>
        <w:t xml:space="preserve">În același timp, societatea afiliată care a achitat către contribuabilul român un preț pe care ANAF l-a considerat „prea mic” a ținut cont la determinarea impozitului pe profit pe care l-a achitat în statul de rezidență de respectiva cheltuială. </w:t>
      </w:r>
      <w:r w:rsidR="00D57A17">
        <w:rPr>
          <w:rFonts w:ascii="Arial" w:hAnsi="Arial" w:cs="Arial"/>
          <w:noProof/>
          <w:lang w:val="ro-RO"/>
        </w:rPr>
        <w:t>Însă</w:t>
      </w:r>
      <w:r w:rsidRPr="00401EED">
        <w:rPr>
          <w:rFonts w:ascii="Arial" w:hAnsi="Arial" w:cs="Arial"/>
          <w:noProof/>
          <w:lang w:val="ro-RO"/>
        </w:rPr>
        <w:t xml:space="preserve">, ANAF susține că societatea afiliată ar fi trebuit să plătească mai mult, deci să aibă o cheltuială mai mare și să plătească în țara de rezidență un impozit pe profit mai mic. </w:t>
      </w:r>
    </w:p>
    <w:p w14:paraId="2A1C179D" w14:textId="77777777" w:rsidR="00401EED" w:rsidRPr="00401EED" w:rsidRDefault="00401EED" w:rsidP="00830BAD">
      <w:pPr>
        <w:spacing w:after="0" w:line="240" w:lineRule="auto"/>
        <w:rPr>
          <w:rFonts w:ascii="Arial" w:hAnsi="Arial" w:cs="Arial"/>
          <w:noProof/>
          <w:lang w:val="ro-RO"/>
        </w:rPr>
      </w:pPr>
    </w:p>
    <w:p w14:paraId="12C2B0DD" w14:textId="77777777" w:rsidR="00401EED" w:rsidRPr="00401EED" w:rsidRDefault="00401EED" w:rsidP="00830BAD">
      <w:pPr>
        <w:spacing w:after="0" w:line="240" w:lineRule="auto"/>
        <w:rPr>
          <w:rFonts w:ascii="Arial" w:hAnsi="Arial" w:cs="Arial"/>
          <w:noProof/>
          <w:lang w:val="ro-RO"/>
        </w:rPr>
      </w:pPr>
      <w:r w:rsidRPr="00401EED">
        <w:rPr>
          <w:rFonts w:ascii="Arial" w:hAnsi="Arial" w:cs="Arial"/>
          <w:noProof/>
          <w:lang w:val="ro-RO"/>
        </w:rPr>
        <w:t>Se ajunge așadar la o dublă-impunere, o dublă taxare a aceluiași venit efectuată de două autorități statale, ce ar trebui eliminată.</w:t>
      </w:r>
    </w:p>
    <w:p w14:paraId="5207C50F" w14:textId="77777777" w:rsidR="00401EED" w:rsidRPr="00401EED" w:rsidRDefault="00401EED" w:rsidP="00830BAD">
      <w:pPr>
        <w:spacing w:after="0" w:line="240" w:lineRule="auto"/>
        <w:rPr>
          <w:rFonts w:ascii="Arial" w:hAnsi="Arial" w:cs="Arial"/>
          <w:noProof/>
          <w:lang w:val="ro-RO"/>
        </w:rPr>
      </w:pPr>
    </w:p>
    <w:p w14:paraId="0F1FA1D3" w14:textId="77777777" w:rsidR="00401EED" w:rsidRPr="00401EED" w:rsidRDefault="00401EED" w:rsidP="00830BAD">
      <w:pPr>
        <w:spacing w:after="0" w:line="240" w:lineRule="auto"/>
        <w:rPr>
          <w:rFonts w:ascii="Arial" w:hAnsi="Arial" w:cs="Arial"/>
          <w:b/>
          <w:bCs/>
          <w:noProof/>
          <w:u w:val="single"/>
          <w:lang w:val="ro-RO"/>
        </w:rPr>
      </w:pPr>
      <w:r w:rsidRPr="00401EED">
        <w:rPr>
          <w:rFonts w:ascii="Arial" w:hAnsi="Arial" w:cs="Arial"/>
          <w:b/>
          <w:bCs/>
          <w:noProof/>
          <w:u w:val="single"/>
          <w:lang w:val="ro-RO"/>
        </w:rPr>
        <w:t>Soluțiile actuale – ce alegem?</w:t>
      </w:r>
    </w:p>
    <w:p w14:paraId="4B8FD92B" w14:textId="77777777" w:rsidR="00401EED" w:rsidRPr="00401EED" w:rsidRDefault="00401EED" w:rsidP="00830BAD">
      <w:pPr>
        <w:spacing w:after="0" w:line="240" w:lineRule="auto"/>
        <w:rPr>
          <w:rFonts w:ascii="Arial" w:hAnsi="Arial" w:cs="Arial"/>
          <w:b/>
          <w:bCs/>
          <w:noProof/>
          <w:u w:val="single"/>
          <w:lang w:val="ro-RO"/>
        </w:rPr>
      </w:pPr>
    </w:p>
    <w:p w14:paraId="688B2554" w14:textId="3E42B4C4" w:rsidR="00401EED" w:rsidRPr="00401EED" w:rsidRDefault="00401EED" w:rsidP="00830BAD">
      <w:pPr>
        <w:spacing w:after="0" w:line="240" w:lineRule="auto"/>
        <w:rPr>
          <w:rFonts w:ascii="Arial" w:hAnsi="Arial" w:cs="Arial"/>
          <w:noProof/>
          <w:lang w:val="ro-RO"/>
        </w:rPr>
      </w:pPr>
      <w:r w:rsidRPr="00401EED">
        <w:rPr>
          <w:rFonts w:ascii="Arial" w:hAnsi="Arial" w:cs="Arial"/>
          <w:b/>
          <w:bCs/>
          <w:noProof/>
          <w:lang w:val="ro-RO"/>
        </w:rPr>
        <w:t>O primă soluție</w:t>
      </w:r>
      <w:r w:rsidRPr="00401EED">
        <w:rPr>
          <w:rFonts w:ascii="Arial" w:hAnsi="Arial" w:cs="Arial"/>
          <w:noProof/>
          <w:lang w:val="ro-RO"/>
        </w:rPr>
        <w:t xml:space="preserve"> – de altfel, cea mai simplă și mai la îndemâna contribuabililor</w:t>
      </w:r>
      <w:r w:rsidR="00D57A17">
        <w:rPr>
          <w:rFonts w:ascii="Arial" w:hAnsi="Arial" w:cs="Arial"/>
          <w:noProof/>
          <w:lang w:val="ro-RO"/>
        </w:rPr>
        <w:t xml:space="preserve"> - </w:t>
      </w:r>
      <w:r w:rsidRPr="00401EED">
        <w:rPr>
          <w:rFonts w:ascii="Arial" w:hAnsi="Arial" w:cs="Arial"/>
          <w:noProof/>
          <w:lang w:val="ro-RO"/>
        </w:rPr>
        <w:t>este reprezentată de procedura contestării rezultatelor inspecției fiscale. Este vorba despre demersurile deja devenite clasice de formulare a contestației fiscale în termen de 45 de zile de la comunicarea deciziei de impunere, urmată de formularea unei acțiuni în instanță care, după parcurgerea a două faze procesuale (fond și recurs), se va încheia cu o hotărâre judecătorească definitivă ce va tranșa disputa cu autoritățile fiscale române.</w:t>
      </w:r>
    </w:p>
    <w:p w14:paraId="3D23F822" w14:textId="77777777" w:rsidR="00401EED" w:rsidRPr="00401EED" w:rsidRDefault="00401EED" w:rsidP="00830BAD">
      <w:pPr>
        <w:spacing w:after="0" w:line="240" w:lineRule="auto"/>
        <w:rPr>
          <w:rFonts w:ascii="Arial" w:hAnsi="Arial" w:cs="Arial"/>
          <w:noProof/>
          <w:lang w:val="ro-RO"/>
        </w:rPr>
      </w:pPr>
    </w:p>
    <w:p w14:paraId="27F30A6B" w14:textId="201DA3F0" w:rsidR="00401EED" w:rsidRPr="00401EED" w:rsidRDefault="00401EED" w:rsidP="00830BAD">
      <w:pPr>
        <w:spacing w:after="0" w:line="240" w:lineRule="auto"/>
        <w:rPr>
          <w:rFonts w:ascii="Arial" w:hAnsi="Arial" w:cs="Arial"/>
          <w:noProof/>
          <w:lang w:val="ro-RO"/>
        </w:rPr>
      </w:pPr>
      <w:r w:rsidRPr="00401EED">
        <w:rPr>
          <w:rFonts w:ascii="Arial" w:hAnsi="Arial" w:cs="Arial"/>
          <w:noProof/>
          <w:lang w:val="ro-RO"/>
        </w:rPr>
        <w:t>Avantajele acestor demersuri const</w:t>
      </w:r>
      <w:r w:rsidR="00D57A17">
        <w:rPr>
          <w:rFonts w:ascii="Arial" w:hAnsi="Arial" w:cs="Arial"/>
          <w:noProof/>
          <w:lang w:val="ro-RO"/>
        </w:rPr>
        <w:t>au</w:t>
      </w:r>
      <w:r w:rsidRPr="00401EED">
        <w:rPr>
          <w:rFonts w:ascii="Arial" w:hAnsi="Arial" w:cs="Arial"/>
          <w:noProof/>
          <w:lang w:val="ro-RO"/>
        </w:rPr>
        <w:t xml:space="preserve"> în posibilitatea contribuabilului de a argumenta și proba în fața unui judecător independent și imparțial, atunci când bineînțeles este cazul, că ajustările de prețuri de </w:t>
      </w:r>
      <w:r w:rsidRPr="00401EED">
        <w:rPr>
          <w:rFonts w:ascii="Arial" w:hAnsi="Arial" w:cs="Arial"/>
          <w:noProof/>
          <w:lang w:val="ro-RO"/>
        </w:rPr>
        <w:lastRenderedPageBreak/>
        <w:t>transfer efectuate de inspectorii ANAF ce au generat impozitul suplimentar nu sunt corecte, precum și în obligativitatea hotărârii judecătorești astfel pronunțate (ANAF trebuind să o respecte și să o aplice întocmai).</w:t>
      </w:r>
    </w:p>
    <w:p w14:paraId="31E36B16" w14:textId="77777777" w:rsidR="00401EED" w:rsidRPr="00401EED" w:rsidRDefault="00401EED" w:rsidP="00830BAD">
      <w:pPr>
        <w:spacing w:after="0" w:line="240" w:lineRule="auto"/>
        <w:rPr>
          <w:rFonts w:ascii="Arial" w:hAnsi="Arial" w:cs="Arial"/>
          <w:noProof/>
          <w:lang w:val="ro-RO"/>
        </w:rPr>
      </w:pPr>
    </w:p>
    <w:p w14:paraId="7C8FF804" w14:textId="77777777" w:rsidR="00401EED" w:rsidRPr="00401EED" w:rsidRDefault="00401EED" w:rsidP="00830BAD">
      <w:pPr>
        <w:spacing w:after="0" w:line="240" w:lineRule="auto"/>
        <w:rPr>
          <w:rFonts w:ascii="Arial" w:hAnsi="Arial" w:cs="Arial"/>
          <w:noProof/>
          <w:lang w:val="ro-RO"/>
        </w:rPr>
      </w:pPr>
      <w:r w:rsidRPr="00401EED">
        <w:rPr>
          <w:rFonts w:ascii="Arial" w:hAnsi="Arial" w:cs="Arial"/>
          <w:noProof/>
          <w:lang w:val="ro-RO"/>
        </w:rPr>
        <w:t>Dezavantajele vizează costurile ridicate ale contribuabilului (cu avocații, cu consultanții fiscali și cu experții în domeniul prețurilor de transfer), durata procedurilor (3, 4, chiar 5 ani), lipsa de experiență a judecătorilor într-un asemenea subdomeniu extrem de specializat/de nișă și chiar în numeroase cazuri lipsa de experiență a experților numiți de instanță</w:t>
      </w:r>
      <w:r w:rsidRPr="00401EED">
        <w:rPr>
          <w:rStyle w:val="Referinnotdesubsol"/>
          <w:rFonts w:ascii="Arial" w:hAnsi="Arial" w:cs="Arial"/>
          <w:noProof/>
          <w:lang w:val="ro-RO"/>
        </w:rPr>
        <w:footnoteReference w:id="3"/>
      </w:r>
      <w:r w:rsidRPr="00401EED">
        <w:rPr>
          <w:rFonts w:ascii="Arial" w:hAnsi="Arial" w:cs="Arial"/>
          <w:noProof/>
          <w:lang w:val="ro-RO"/>
        </w:rPr>
        <w:t>.</w:t>
      </w:r>
    </w:p>
    <w:p w14:paraId="3A2AA72B" w14:textId="77777777" w:rsidR="00401EED" w:rsidRPr="00401EED" w:rsidRDefault="00401EED" w:rsidP="00830BAD">
      <w:pPr>
        <w:spacing w:after="0" w:line="240" w:lineRule="auto"/>
        <w:rPr>
          <w:rFonts w:ascii="Arial" w:hAnsi="Arial" w:cs="Arial"/>
          <w:noProof/>
          <w:lang w:val="ro-RO"/>
        </w:rPr>
      </w:pPr>
    </w:p>
    <w:p w14:paraId="115BDDE3" w14:textId="77777777" w:rsidR="00401EED" w:rsidRPr="00401EED" w:rsidRDefault="00401EED" w:rsidP="00830BAD">
      <w:pPr>
        <w:spacing w:after="0" w:line="240" w:lineRule="auto"/>
        <w:rPr>
          <w:rFonts w:ascii="Arial" w:hAnsi="Arial" w:cs="Arial"/>
          <w:noProof/>
          <w:lang w:val="ro-RO"/>
        </w:rPr>
      </w:pPr>
      <w:r w:rsidRPr="00401EED">
        <w:rPr>
          <w:rFonts w:ascii="Arial" w:hAnsi="Arial" w:cs="Arial"/>
          <w:noProof/>
          <w:lang w:val="ro-RO"/>
        </w:rPr>
        <w:t>Indiferent de avantajele și dezavantajele anterior ilustrate, există întotdeauna riscul major ca problema dublei-impuneri să nu fie înlăturată, în special atunci când contribuabilul nu are succes în contestarea rezultatelor inspecției fiscale.</w:t>
      </w:r>
    </w:p>
    <w:p w14:paraId="0C5C08F6" w14:textId="77777777" w:rsidR="00401EED" w:rsidRPr="00401EED" w:rsidRDefault="00401EED" w:rsidP="00830BAD">
      <w:pPr>
        <w:spacing w:after="0" w:line="240" w:lineRule="auto"/>
        <w:rPr>
          <w:rFonts w:ascii="Arial" w:hAnsi="Arial" w:cs="Arial"/>
          <w:noProof/>
          <w:lang w:val="ro-RO"/>
        </w:rPr>
      </w:pPr>
    </w:p>
    <w:p w14:paraId="41D08163" w14:textId="77777777" w:rsidR="00401EED" w:rsidRPr="00401EED" w:rsidRDefault="00401EED" w:rsidP="00830BAD">
      <w:pPr>
        <w:spacing w:after="0" w:line="240" w:lineRule="auto"/>
        <w:rPr>
          <w:rFonts w:ascii="Arial" w:hAnsi="Arial" w:cs="Arial"/>
          <w:noProof/>
          <w:lang w:val="ro-RO"/>
        </w:rPr>
      </w:pPr>
      <w:r w:rsidRPr="00401EED">
        <w:rPr>
          <w:rFonts w:ascii="Arial" w:hAnsi="Arial" w:cs="Arial"/>
          <w:b/>
          <w:bCs/>
          <w:noProof/>
          <w:lang w:val="ro-RO"/>
        </w:rPr>
        <w:t xml:space="preserve">O a doua soluție </w:t>
      </w:r>
      <w:r w:rsidRPr="00401EED">
        <w:rPr>
          <w:rFonts w:ascii="Arial" w:hAnsi="Arial" w:cs="Arial"/>
          <w:noProof/>
          <w:lang w:val="ro-RO"/>
        </w:rPr>
        <w:t xml:space="preserve">constă în utilizarea unei proceduri internaționale de eliminare a dublei impuneri, bazată pe dispozițiile Convențiilor de evitare a dublei impuneri încheiate de România cu majoritatea statelor. </w:t>
      </w:r>
    </w:p>
    <w:p w14:paraId="77007965" w14:textId="77777777" w:rsidR="00401EED" w:rsidRPr="00401EED" w:rsidRDefault="00401EED" w:rsidP="00830BAD">
      <w:pPr>
        <w:spacing w:after="0" w:line="240" w:lineRule="auto"/>
        <w:rPr>
          <w:rFonts w:ascii="Arial" w:hAnsi="Arial" w:cs="Arial"/>
          <w:noProof/>
          <w:lang w:val="ro-RO"/>
        </w:rPr>
      </w:pPr>
    </w:p>
    <w:p w14:paraId="683E0E00" w14:textId="77777777" w:rsidR="00401EED" w:rsidRPr="00401EED" w:rsidRDefault="00401EED" w:rsidP="00830BAD">
      <w:pPr>
        <w:spacing w:after="0" w:line="240" w:lineRule="auto"/>
        <w:rPr>
          <w:rFonts w:ascii="Arial" w:hAnsi="Arial" w:cs="Arial"/>
          <w:noProof/>
          <w:lang w:val="ro-RO"/>
        </w:rPr>
      </w:pPr>
      <w:r w:rsidRPr="00401EED">
        <w:rPr>
          <w:rFonts w:ascii="Arial" w:hAnsi="Arial" w:cs="Arial"/>
          <w:noProof/>
          <w:lang w:val="ro-RO"/>
        </w:rPr>
        <w:t>În esență, când o persoană apreciază că este dublu-impozitată, aceasta poate să supună cazul său autorităţii competente a statului de rezidenţă, iar autoritatea respectivă va încerca să rezolve problema pe calea unei înţelegeri amiabile cu autoritatea competentă a celuilalt stat.</w:t>
      </w:r>
    </w:p>
    <w:p w14:paraId="2FAC0F03" w14:textId="77777777" w:rsidR="00401EED" w:rsidRPr="00401EED" w:rsidRDefault="00401EED" w:rsidP="00830BAD">
      <w:pPr>
        <w:spacing w:after="0" w:line="240" w:lineRule="auto"/>
        <w:rPr>
          <w:rFonts w:ascii="Arial" w:hAnsi="Arial" w:cs="Arial"/>
          <w:noProof/>
          <w:lang w:val="ro-RO"/>
        </w:rPr>
      </w:pPr>
    </w:p>
    <w:p w14:paraId="76C8A6FA" w14:textId="77777777" w:rsidR="00401EED" w:rsidRPr="00401EED" w:rsidRDefault="00401EED" w:rsidP="00830BAD">
      <w:pPr>
        <w:spacing w:after="0" w:line="240" w:lineRule="auto"/>
        <w:rPr>
          <w:rFonts w:ascii="Arial" w:hAnsi="Arial" w:cs="Arial"/>
          <w:noProof/>
          <w:lang w:val="ro-RO"/>
        </w:rPr>
      </w:pPr>
      <w:r w:rsidRPr="00401EED">
        <w:rPr>
          <w:rFonts w:ascii="Arial" w:hAnsi="Arial" w:cs="Arial"/>
          <w:noProof/>
          <w:lang w:val="ro-RO"/>
        </w:rPr>
        <w:t>Avantajul acestei proceduri este evident – dubla-impunere este eliminată pe calea unei proceduri ce are loc direct între două autorități statale, fără costuri pentru contribuabil.</w:t>
      </w:r>
    </w:p>
    <w:p w14:paraId="0ABAAA34" w14:textId="77777777" w:rsidR="00401EED" w:rsidRPr="00401EED" w:rsidRDefault="00401EED" w:rsidP="00830BAD">
      <w:pPr>
        <w:spacing w:after="0" w:line="240" w:lineRule="auto"/>
        <w:rPr>
          <w:rFonts w:ascii="Arial" w:hAnsi="Arial" w:cs="Arial"/>
          <w:noProof/>
          <w:lang w:val="ro-RO"/>
        </w:rPr>
      </w:pPr>
    </w:p>
    <w:p w14:paraId="3620373A" w14:textId="77777777" w:rsidR="00401EED" w:rsidRPr="00401EED" w:rsidRDefault="00401EED" w:rsidP="00830BAD">
      <w:pPr>
        <w:spacing w:after="0" w:line="240" w:lineRule="auto"/>
        <w:rPr>
          <w:rFonts w:ascii="Arial" w:hAnsi="Arial" w:cs="Arial"/>
          <w:noProof/>
          <w:lang w:val="ro-RO"/>
        </w:rPr>
      </w:pPr>
      <w:r w:rsidRPr="00401EED">
        <w:rPr>
          <w:rFonts w:ascii="Arial" w:hAnsi="Arial" w:cs="Arial"/>
          <w:noProof/>
          <w:lang w:val="ro-RO"/>
        </w:rPr>
        <w:t>Dezavantajele acesteia, deși nu la fel de evidente, sunt insurmontabile – (i) existența unui drept de apreciere de necontestat al autorității statale sesizate cu reclamația contribuabilului (</w:t>
      </w:r>
      <w:r w:rsidRPr="00401EED">
        <w:rPr>
          <w:rFonts w:ascii="Arial" w:hAnsi="Arial" w:cs="Arial"/>
          <w:i/>
          <w:iCs/>
          <w:noProof/>
          <w:lang w:val="ro-RO"/>
        </w:rPr>
        <w:t>i.e. trebuie ca acesta să considere că reclamația este „întemeiată” și că nu poate ea însăși „să dea o soluție satisfăcătoare”</w:t>
      </w:r>
      <w:r w:rsidRPr="00401EED">
        <w:rPr>
          <w:rFonts w:ascii="Arial" w:hAnsi="Arial" w:cs="Arial"/>
          <w:noProof/>
          <w:lang w:val="ro-RO"/>
        </w:rPr>
        <w:t>) și (ii) imposibilitatea constrângerii celor două autorități statale de a soluționa speța și de a elimina dubla impunere atunci când acestea nu ajung la un acord amiabil.</w:t>
      </w:r>
    </w:p>
    <w:p w14:paraId="0CF3779A" w14:textId="77777777" w:rsidR="00401EED" w:rsidRPr="00401EED" w:rsidRDefault="00401EED" w:rsidP="00830BAD">
      <w:pPr>
        <w:spacing w:after="0" w:line="240" w:lineRule="auto"/>
        <w:rPr>
          <w:rFonts w:ascii="Arial" w:hAnsi="Arial" w:cs="Arial"/>
          <w:noProof/>
          <w:lang w:val="ro-RO"/>
        </w:rPr>
      </w:pPr>
    </w:p>
    <w:p w14:paraId="73400604" w14:textId="77777777" w:rsidR="00401EED" w:rsidRPr="00401EED" w:rsidRDefault="00401EED" w:rsidP="00830BAD">
      <w:pPr>
        <w:spacing w:after="0" w:line="240" w:lineRule="auto"/>
        <w:rPr>
          <w:rFonts w:ascii="Arial" w:hAnsi="Arial" w:cs="Arial"/>
          <w:noProof/>
          <w:lang w:val="ro-RO"/>
        </w:rPr>
      </w:pPr>
      <w:r w:rsidRPr="00401EED">
        <w:rPr>
          <w:rFonts w:ascii="Arial" w:hAnsi="Arial" w:cs="Arial"/>
          <w:b/>
          <w:bCs/>
          <w:noProof/>
          <w:lang w:val="ro-RO"/>
        </w:rPr>
        <w:t>O a treia soluție</w:t>
      </w:r>
      <w:r w:rsidRPr="00401EED">
        <w:rPr>
          <w:rFonts w:ascii="Arial" w:hAnsi="Arial" w:cs="Arial"/>
          <w:noProof/>
          <w:lang w:val="ro-RO"/>
        </w:rPr>
        <w:t xml:space="preserve"> vizează în mod specific cazurile de dublă impunere generate de efectuarea de ajustări de prețuri de transfer</w:t>
      </w:r>
      <w:r w:rsidRPr="00401EED">
        <w:rPr>
          <w:rStyle w:val="Referinnotdesubsol"/>
          <w:rFonts w:ascii="Arial" w:hAnsi="Arial" w:cs="Arial"/>
          <w:noProof/>
          <w:lang w:val="ro-RO"/>
        </w:rPr>
        <w:footnoteReference w:id="4"/>
      </w:r>
      <w:r w:rsidRPr="00401EED">
        <w:rPr>
          <w:rFonts w:ascii="Arial" w:hAnsi="Arial" w:cs="Arial"/>
          <w:noProof/>
          <w:lang w:val="ro-RO"/>
        </w:rPr>
        <w:t xml:space="preserve"> și are la bază Convenția privind eliminarea dublei impuneri în legătură cu ajustarea profiturilor întreprinderilor asociate 90/436/CEE („</w:t>
      </w:r>
      <w:r w:rsidRPr="00401EED">
        <w:rPr>
          <w:rFonts w:ascii="Arial" w:hAnsi="Arial" w:cs="Arial"/>
          <w:b/>
          <w:bCs/>
          <w:noProof/>
          <w:lang w:val="ro-RO"/>
        </w:rPr>
        <w:t>EUAC</w:t>
      </w:r>
      <w:r w:rsidRPr="00401EED">
        <w:rPr>
          <w:rFonts w:ascii="Arial" w:hAnsi="Arial" w:cs="Arial"/>
          <w:noProof/>
          <w:lang w:val="ro-RO"/>
        </w:rPr>
        <w:t>”). Similar procedurii internaționale pe care am menționat-o anterior, cele două autorități statale încearcă mai întâi să ajungă la un acord amiabil cu privire la eliminarea dublei-impuneri, în caz contrar existând o a doua etapă – a arbitrajului, în care acestea pot fi constrânse să adopte o atare rezolvare a speței.</w:t>
      </w:r>
    </w:p>
    <w:p w14:paraId="7A33B4B2" w14:textId="77777777" w:rsidR="00401EED" w:rsidRPr="00401EED" w:rsidRDefault="00401EED" w:rsidP="00830BAD">
      <w:pPr>
        <w:spacing w:after="0" w:line="240" w:lineRule="auto"/>
        <w:rPr>
          <w:rFonts w:ascii="Arial" w:hAnsi="Arial" w:cs="Arial"/>
          <w:noProof/>
          <w:lang w:val="ro-RO"/>
        </w:rPr>
      </w:pPr>
    </w:p>
    <w:p w14:paraId="2CA80A93" w14:textId="77777777" w:rsidR="00401EED" w:rsidRPr="00401EED" w:rsidRDefault="00401EED" w:rsidP="00830BAD">
      <w:pPr>
        <w:spacing w:after="0" w:line="240" w:lineRule="auto"/>
        <w:rPr>
          <w:rFonts w:ascii="Arial" w:hAnsi="Arial" w:cs="Arial"/>
          <w:noProof/>
          <w:lang w:val="ro-RO"/>
        </w:rPr>
      </w:pPr>
      <w:r w:rsidRPr="00401EED">
        <w:rPr>
          <w:rFonts w:ascii="Arial" w:hAnsi="Arial" w:cs="Arial"/>
          <w:noProof/>
          <w:lang w:val="ro-RO"/>
        </w:rPr>
        <w:t xml:space="preserve">Pe lângă costurile reduse și participarea specialiștilor în domeniul prețurilor de transfer, principalul avantaj al acestei proceduri este acela că, odată declanșată, aceasta se va încheia cu eliminarea dublei impuneri. </w:t>
      </w:r>
    </w:p>
    <w:p w14:paraId="45AA7142" w14:textId="77777777" w:rsidR="00401EED" w:rsidRPr="00401EED" w:rsidRDefault="00401EED" w:rsidP="00830BAD">
      <w:pPr>
        <w:spacing w:after="0" w:line="240" w:lineRule="auto"/>
        <w:rPr>
          <w:rFonts w:ascii="Arial" w:hAnsi="Arial" w:cs="Arial"/>
          <w:noProof/>
          <w:lang w:val="ro-RO"/>
        </w:rPr>
      </w:pPr>
    </w:p>
    <w:p w14:paraId="36C7D23C" w14:textId="77777777" w:rsidR="00401EED" w:rsidRPr="00401EED" w:rsidRDefault="00401EED" w:rsidP="00830BAD">
      <w:pPr>
        <w:spacing w:after="0" w:line="240" w:lineRule="auto"/>
        <w:rPr>
          <w:rFonts w:ascii="Arial" w:hAnsi="Arial" w:cs="Arial"/>
          <w:noProof/>
          <w:lang w:val="ro-RO"/>
        </w:rPr>
      </w:pPr>
      <w:r w:rsidRPr="00401EED">
        <w:rPr>
          <w:rFonts w:ascii="Arial" w:hAnsi="Arial" w:cs="Arial"/>
          <w:noProof/>
          <w:lang w:val="ro-RO"/>
        </w:rPr>
        <w:t xml:space="preserve">În același timp, inconvenientul major este reprezentat de incertitudinea declanșării procedurii EUAC înainte ca termenele din cadrul procedurii naționale (i.e. acțiunea în instanță împotriva deciziei de impunere) să expire, întrucât contribuabilul trebuie să opteze fie pentru una, fie pentru cealaltă. </w:t>
      </w:r>
      <w:r w:rsidRPr="00401EED">
        <w:rPr>
          <w:rFonts w:ascii="Arial" w:hAnsi="Arial" w:cs="Arial"/>
          <w:noProof/>
          <w:lang w:val="ro-RO"/>
        </w:rPr>
        <w:lastRenderedPageBreak/>
        <w:t>Specific, procedura EUAC și acțiunea de instanță nu se pot desfășura în paralel deoarece sistemul nostru de drept civil nu permite derogări de la hotărârile judecătorești; odată pronunțate, nu pot fi adoptate soluții contrare prin actele administrativ-fiscale. În practică, de cele mai multe ori termenul de 6 luni pentru formularea acțiunii în instanță urmează să expire iar contribuabilul nu cunoaște dacă procedura EUAC a fost inițiată sau nu, astfel încât acesta este pus în fața unei alegeri dificile – nu depune acțiunea în instanță, cu riscul ca procedura EUAC să nu mai fie declanșată și să fi pierdut și orice posibilitate practică de a mai contesta actul de impunere, sau depune acțiunea de instanță, cu riscul ca procedura EUAC să fie refuzată din acest motiv.</w:t>
      </w:r>
    </w:p>
    <w:p w14:paraId="2AD918CC" w14:textId="77777777" w:rsidR="00401EED" w:rsidRPr="00401EED" w:rsidRDefault="00401EED" w:rsidP="00830BAD">
      <w:pPr>
        <w:spacing w:after="0" w:line="240" w:lineRule="auto"/>
        <w:rPr>
          <w:rFonts w:ascii="Arial" w:hAnsi="Arial" w:cs="Arial"/>
          <w:noProof/>
          <w:lang w:val="ro-RO"/>
        </w:rPr>
      </w:pPr>
    </w:p>
    <w:p w14:paraId="65990B25" w14:textId="77777777" w:rsidR="00401EED" w:rsidRPr="00401EED" w:rsidRDefault="00401EED" w:rsidP="00830BAD">
      <w:pPr>
        <w:spacing w:after="0" w:line="240" w:lineRule="auto"/>
        <w:rPr>
          <w:rFonts w:ascii="Arial" w:hAnsi="Arial" w:cs="Arial"/>
          <w:noProof/>
          <w:lang w:val="ro-RO"/>
        </w:rPr>
      </w:pPr>
      <w:r w:rsidRPr="00401EED">
        <w:rPr>
          <w:rFonts w:ascii="Arial" w:hAnsi="Arial" w:cs="Arial"/>
          <w:b/>
          <w:bCs/>
          <w:noProof/>
          <w:lang w:val="ro-RO"/>
        </w:rPr>
        <w:t>O a patra soluție</w:t>
      </w:r>
      <w:r w:rsidRPr="00401EED">
        <w:rPr>
          <w:rFonts w:ascii="Arial" w:hAnsi="Arial" w:cs="Arial"/>
          <w:noProof/>
          <w:lang w:val="ro-RO"/>
        </w:rPr>
        <w:t xml:space="preserve"> este oferită de Directiva nr. 1852 din 10 octombrie 2017 privind mecanismele de soluţionare a litigiilor fiscale în Uniunea Europeană ce a fost transpusă prin Ordonanța Guvernului nr. 19 din 21 august 2019 pentru modificarea şi completarea Legii nr. 207/2015 privind Codul de procedură fiscală.</w:t>
      </w:r>
    </w:p>
    <w:p w14:paraId="3B4D7DC2" w14:textId="77777777" w:rsidR="00401EED" w:rsidRPr="00401EED" w:rsidRDefault="00401EED" w:rsidP="00830BAD">
      <w:pPr>
        <w:spacing w:after="0" w:line="240" w:lineRule="auto"/>
        <w:rPr>
          <w:rFonts w:ascii="Arial" w:hAnsi="Arial" w:cs="Arial"/>
          <w:noProof/>
          <w:lang w:val="ro-RO"/>
        </w:rPr>
      </w:pPr>
    </w:p>
    <w:p w14:paraId="26DE43DC" w14:textId="4DF4F3FE" w:rsidR="00401EED" w:rsidRPr="00401EED" w:rsidRDefault="00401EED" w:rsidP="00830BAD">
      <w:pPr>
        <w:spacing w:after="0" w:line="240" w:lineRule="auto"/>
        <w:rPr>
          <w:rFonts w:ascii="Arial" w:hAnsi="Arial" w:cs="Arial"/>
          <w:noProof/>
          <w:lang w:val="ro-RO"/>
        </w:rPr>
      </w:pPr>
      <w:r w:rsidRPr="00401EED">
        <w:rPr>
          <w:rFonts w:ascii="Arial" w:hAnsi="Arial" w:cs="Arial"/>
          <w:noProof/>
          <w:lang w:val="ro-RO"/>
        </w:rPr>
        <w:t xml:space="preserve">Aceasta conține elemente similare procedurii EUAC, fiind totuși mai extinsă atât în ceea ce privește obiectul cât și în ceea ce privește drepturile și obligațiile pe care le reglementează. De asemenea, fiind vorba de o directivă, Curtea de Justiție a Uniunii Europene poate fi sesizată cu chestiuni privind interpretarea dispozițiilor acesteia. </w:t>
      </w:r>
      <w:r w:rsidR="00B83BC0">
        <w:rPr>
          <w:rFonts w:ascii="Arial" w:hAnsi="Arial" w:cs="Arial"/>
          <w:i/>
          <w:iCs/>
          <w:noProof/>
          <w:lang w:val="ro-RO"/>
        </w:rPr>
        <w:t>Ratione temporis</w:t>
      </w:r>
      <w:r w:rsidRPr="00401EED">
        <w:rPr>
          <w:rFonts w:ascii="Arial" w:hAnsi="Arial" w:cs="Arial"/>
          <w:noProof/>
          <w:lang w:val="ro-RO"/>
        </w:rPr>
        <w:t xml:space="preserve"> se aplică abia din a doua jumătate a anului 2019 și privește plângeri ce vizează chestiuni litigioase legate de venituri sau capitaluri obţinute într-un exerciţiu financiar începând cu 1 ianuarie 2018 sau ulterior acestei date, astfel că până în prezent nu avem cunoștință de modalitatea concretă de desfășurare a acestei proceduri și de eventualele impedimente întâlnite.</w:t>
      </w:r>
    </w:p>
    <w:p w14:paraId="37DE143B" w14:textId="77777777" w:rsidR="00401EED" w:rsidRPr="00401EED" w:rsidRDefault="00401EED" w:rsidP="00830BAD">
      <w:pPr>
        <w:spacing w:after="0" w:line="240" w:lineRule="auto"/>
        <w:rPr>
          <w:rFonts w:ascii="Arial" w:hAnsi="Arial" w:cs="Arial"/>
          <w:noProof/>
          <w:lang w:val="ro-RO"/>
        </w:rPr>
      </w:pPr>
    </w:p>
    <w:p w14:paraId="5DBAF5F2" w14:textId="77777777" w:rsidR="00401EED" w:rsidRPr="00401EED" w:rsidRDefault="00401EED" w:rsidP="00830BAD">
      <w:pPr>
        <w:spacing w:after="0" w:line="240" w:lineRule="auto"/>
        <w:rPr>
          <w:rFonts w:ascii="Arial" w:hAnsi="Arial" w:cs="Arial"/>
          <w:b/>
          <w:bCs/>
          <w:noProof/>
          <w:u w:val="single"/>
          <w:lang w:val="ro-RO"/>
        </w:rPr>
      </w:pPr>
      <w:r w:rsidRPr="00401EED">
        <w:rPr>
          <w:rFonts w:ascii="Arial" w:hAnsi="Arial" w:cs="Arial"/>
          <w:b/>
          <w:bCs/>
          <w:noProof/>
          <w:u w:val="single"/>
          <w:lang w:val="ro-RO"/>
        </w:rPr>
        <w:t>Ce ne „îndeamnă” practica ANAF să alegem?</w:t>
      </w:r>
    </w:p>
    <w:p w14:paraId="687A2EEF" w14:textId="77777777" w:rsidR="00401EED" w:rsidRPr="00401EED" w:rsidRDefault="00401EED" w:rsidP="00830BAD">
      <w:pPr>
        <w:spacing w:after="0" w:line="240" w:lineRule="auto"/>
        <w:rPr>
          <w:rFonts w:ascii="Arial" w:hAnsi="Arial" w:cs="Arial"/>
          <w:lang w:val="ro-RO"/>
        </w:rPr>
      </w:pPr>
    </w:p>
    <w:p w14:paraId="326787DA" w14:textId="54841B4F" w:rsidR="00401EED" w:rsidRPr="00401EED" w:rsidRDefault="00401EED" w:rsidP="00830BAD">
      <w:pPr>
        <w:spacing w:after="0" w:line="240" w:lineRule="auto"/>
        <w:rPr>
          <w:rFonts w:ascii="Arial" w:hAnsi="Arial" w:cs="Arial"/>
          <w:noProof/>
          <w:lang w:val="ro-RO"/>
        </w:rPr>
      </w:pPr>
      <w:r w:rsidRPr="00401EED">
        <w:rPr>
          <w:rFonts w:ascii="Arial" w:hAnsi="Arial" w:cs="Arial"/>
          <w:noProof/>
          <w:lang w:val="ro-RO"/>
        </w:rPr>
        <w:t>Potrivit Raportului de performanță publicat de ANAF cu privire la anul 2019</w:t>
      </w:r>
      <w:r w:rsidRPr="00401EED">
        <w:rPr>
          <w:rStyle w:val="Referinnotdesubsol"/>
          <w:rFonts w:ascii="Arial" w:hAnsi="Arial" w:cs="Arial"/>
          <w:noProof/>
          <w:lang w:val="ro-RO"/>
        </w:rPr>
        <w:footnoteReference w:id="5"/>
      </w:r>
      <w:r w:rsidRPr="00401EED">
        <w:rPr>
          <w:rFonts w:ascii="Arial" w:hAnsi="Arial" w:cs="Arial"/>
          <w:noProof/>
          <w:lang w:val="ro-RO"/>
        </w:rPr>
        <w:t xml:space="preserve">, în perioada respectivă au fost finalizate </w:t>
      </w:r>
      <w:r w:rsidR="00816D4B">
        <w:rPr>
          <w:rFonts w:ascii="Arial" w:hAnsi="Arial" w:cs="Arial"/>
          <w:noProof/>
          <w:lang w:val="ro-RO"/>
        </w:rPr>
        <w:t>trei</w:t>
      </w:r>
      <w:r w:rsidR="00816D4B" w:rsidRPr="00401EED">
        <w:rPr>
          <w:rFonts w:ascii="Arial" w:hAnsi="Arial" w:cs="Arial"/>
          <w:noProof/>
          <w:lang w:val="ro-RO"/>
        </w:rPr>
        <w:t xml:space="preserve"> </w:t>
      </w:r>
      <w:r w:rsidRPr="00401EED">
        <w:rPr>
          <w:rFonts w:ascii="Arial" w:hAnsi="Arial" w:cs="Arial"/>
          <w:noProof/>
          <w:lang w:val="ro-RO"/>
        </w:rPr>
        <w:t xml:space="preserve">proceduri amiabile – fără a se distinge potrivit căror prevederi (EUAC sau convenții de evitare a dublei </w:t>
      </w:r>
      <w:r w:rsidR="00816D4B" w:rsidRPr="00401EED">
        <w:rPr>
          <w:rFonts w:ascii="Arial" w:hAnsi="Arial" w:cs="Arial"/>
          <w:noProof/>
          <w:lang w:val="ro-RO"/>
        </w:rPr>
        <w:t>impuner</w:t>
      </w:r>
      <w:r w:rsidR="00816D4B">
        <w:rPr>
          <w:rFonts w:ascii="Arial" w:hAnsi="Arial" w:cs="Arial"/>
          <w:noProof/>
          <w:lang w:val="ro-RO"/>
        </w:rPr>
        <w:t>i</w:t>
      </w:r>
      <w:r w:rsidRPr="00401EED">
        <w:rPr>
          <w:rFonts w:ascii="Arial" w:hAnsi="Arial" w:cs="Arial"/>
          <w:noProof/>
          <w:lang w:val="ro-RO"/>
        </w:rPr>
        <w:t>), fiind în curs de derulare un număr de 61 de proceduri amiabile în diverse stadii de soluţionare, în scopul eliminării dublei impuneri. Aceasta în condițiile în care baza impozabilă stabilită suplimentar la contribuabilii verificaţi din perspectiva preţurilor de transfer în aceeași perioadă a fost de 830,2 mil. lei.</w:t>
      </w:r>
    </w:p>
    <w:p w14:paraId="48D387CB" w14:textId="77777777" w:rsidR="00401EED" w:rsidRPr="00401EED" w:rsidRDefault="00401EED" w:rsidP="00830BAD">
      <w:pPr>
        <w:spacing w:after="0" w:line="240" w:lineRule="auto"/>
        <w:rPr>
          <w:rFonts w:ascii="Arial" w:hAnsi="Arial" w:cs="Arial"/>
          <w:noProof/>
          <w:lang w:val="ro-RO"/>
        </w:rPr>
      </w:pPr>
    </w:p>
    <w:p w14:paraId="760D492A" w14:textId="77777777" w:rsidR="00401EED" w:rsidRPr="00401EED" w:rsidRDefault="00401EED" w:rsidP="00830BAD">
      <w:pPr>
        <w:spacing w:after="0" w:line="240" w:lineRule="auto"/>
        <w:rPr>
          <w:rFonts w:ascii="Arial" w:hAnsi="Arial" w:cs="Arial"/>
          <w:noProof/>
          <w:lang w:val="ro-RO"/>
        </w:rPr>
      </w:pPr>
      <w:r w:rsidRPr="00401EED">
        <w:rPr>
          <w:rFonts w:ascii="Arial" w:hAnsi="Arial" w:cs="Arial"/>
          <w:noProof/>
          <w:lang w:val="ro-RO"/>
        </w:rPr>
        <w:t>În primul semestru al anului 2020, potrivit celui mai recent Raport de activitate al ANAF</w:t>
      </w:r>
      <w:r w:rsidRPr="00401EED">
        <w:rPr>
          <w:rStyle w:val="Referinnotdesubsol"/>
          <w:rFonts w:ascii="Arial" w:hAnsi="Arial" w:cs="Arial"/>
          <w:noProof/>
          <w:lang w:val="ro-RO"/>
        </w:rPr>
        <w:footnoteReference w:id="6"/>
      </w:r>
      <w:r w:rsidRPr="00401EED">
        <w:rPr>
          <w:rFonts w:ascii="Arial" w:hAnsi="Arial" w:cs="Arial"/>
          <w:noProof/>
          <w:lang w:val="ro-RO"/>
        </w:rPr>
        <w:t>, au fost finalizate 5 proceduri amiabile prin ”Notă de închidere a procedurii amiabile”, din care 4 în baza acordurilor sau convențiilor pentru evitarea/eliminarea dublei impuneri încheiate de România cu state</w:t>
      </w:r>
    </w:p>
    <w:p w14:paraId="76BCC8F7" w14:textId="77777777" w:rsidR="00401EED" w:rsidRPr="00401EED" w:rsidRDefault="00401EED" w:rsidP="00830BAD">
      <w:pPr>
        <w:spacing w:after="0" w:line="240" w:lineRule="auto"/>
        <w:rPr>
          <w:rFonts w:ascii="Arial" w:hAnsi="Arial" w:cs="Arial"/>
          <w:noProof/>
          <w:lang w:val="ro-RO"/>
        </w:rPr>
      </w:pPr>
      <w:r w:rsidRPr="00401EED">
        <w:rPr>
          <w:rFonts w:ascii="Arial" w:hAnsi="Arial" w:cs="Arial"/>
          <w:noProof/>
          <w:lang w:val="ro-RO"/>
        </w:rPr>
        <w:t>membre UE și una în baza Convenției nr. 90/436/CEE.</w:t>
      </w:r>
    </w:p>
    <w:p w14:paraId="43769D8C" w14:textId="77777777" w:rsidR="00401EED" w:rsidRPr="00401EED" w:rsidRDefault="00401EED" w:rsidP="00830BAD">
      <w:pPr>
        <w:spacing w:after="0" w:line="240" w:lineRule="auto"/>
        <w:rPr>
          <w:rFonts w:ascii="Arial" w:hAnsi="Arial" w:cs="Arial"/>
          <w:noProof/>
          <w:lang w:val="ro-RO"/>
        </w:rPr>
      </w:pPr>
    </w:p>
    <w:p w14:paraId="3886DA67" w14:textId="77777777" w:rsidR="00401EED" w:rsidRPr="00401EED" w:rsidRDefault="00401EED" w:rsidP="00830BAD">
      <w:pPr>
        <w:spacing w:after="0" w:line="240" w:lineRule="auto"/>
        <w:rPr>
          <w:rFonts w:ascii="Arial" w:hAnsi="Arial" w:cs="Arial"/>
          <w:noProof/>
          <w:lang w:val="ro-RO"/>
        </w:rPr>
      </w:pPr>
      <w:r w:rsidRPr="00401EED">
        <w:rPr>
          <w:rFonts w:ascii="Arial" w:hAnsi="Arial" w:cs="Arial"/>
          <w:noProof/>
          <w:lang w:val="ro-RO"/>
        </w:rPr>
        <w:t xml:space="preserve">Cele de mai sus indică fără îndoială că procedurile internaționale declanșate în vederea eliminării dublei impuneri sunt în număr redus și se desfășoară anevoios. </w:t>
      </w:r>
    </w:p>
    <w:p w14:paraId="28757364" w14:textId="77777777" w:rsidR="00401EED" w:rsidRPr="00401EED" w:rsidRDefault="00401EED" w:rsidP="00830BAD">
      <w:pPr>
        <w:spacing w:after="0" w:line="240" w:lineRule="auto"/>
        <w:rPr>
          <w:rFonts w:ascii="Arial" w:hAnsi="Arial" w:cs="Arial"/>
          <w:noProof/>
          <w:lang w:val="ro-RO"/>
        </w:rPr>
      </w:pPr>
    </w:p>
    <w:p w14:paraId="3CD8923A" w14:textId="6B187F29" w:rsidR="00401EED" w:rsidRPr="00401EED" w:rsidRDefault="00401EED" w:rsidP="00830BAD">
      <w:pPr>
        <w:spacing w:after="0" w:line="240" w:lineRule="auto"/>
        <w:rPr>
          <w:rFonts w:ascii="Arial" w:hAnsi="Arial" w:cs="Arial"/>
          <w:noProof/>
          <w:lang w:val="ro-RO"/>
        </w:rPr>
      </w:pPr>
      <w:r w:rsidRPr="00401EED">
        <w:rPr>
          <w:rFonts w:ascii="Arial" w:hAnsi="Arial" w:cs="Arial"/>
          <w:noProof/>
          <w:lang w:val="ro-RO"/>
        </w:rPr>
        <w:t>Mai important este că din rapoartele ANAF rezultă un aspect foarte îngrijorător, anume că aceste proceduri internaționale menite să asigure eliminarea dublei impuneri sunt în cele din urmă refuzate contribuabililor. Acea „Notă de închidere a procedurii amiabile” nu poate fi considerată un act administrativ (fiscal) – care ar consfinți în mod normal rezultatul procedurii și ar elimina dubla impunere, astfel că nu poate avea altă semnificație decât respingerea procedurii internaționale.</w:t>
      </w:r>
    </w:p>
    <w:p w14:paraId="5B6E9F2C" w14:textId="77777777" w:rsidR="00401EED" w:rsidRPr="00401EED" w:rsidRDefault="00401EED" w:rsidP="00830BAD">
      <w:pPr>
        <w:spacing w:after="0" w:line="240" w:lineRule="auto"/>
        <w:rPr>
          <w:rFonts w:ascii="Arial" w:hAnsi="Arial" w:cs="Arial"/>
          <w:noProof/>
          <w:lang w:val="ro-RO"/>
        </w:rPr>
      </w:pPr>
    </w:p>
    <w:p w14:paraId="3DDD4E99" w14:textId="77777777" w:rsidR="00401EED" w:rsidRPr="00401EED" w:rsidRDefault="00401EED" w:rsidP="00830BAD">
      <w:pPr>
        <w:spacing w:after="0" w:line="240" w:lineRule="auto"/>
        <w:rPr>
          <w:rFonts w:ascii="Arial" w:hAnsi="Arial" w:cs="Arial"/>
          <w:noProof/>
          <w:lang w:val="ro-RO"/>
        </w:rPr>
      </w:pPr>
      <w:r w:rsidRPr="00401EED">
        <w:rPr>
          <w:rFonts w:ascii="Arial" w:hAnsi="Arial" w:cs="Arial"/>
          <w:noProof/>
          <w:lang w:val="ro-RO"/>
        </w:rPr>
        <w:lastRenderedPageBreak/>
        <w:t>Prin urmare, cum toate opțiunile descrise mai sus ce presupun concursul ANAF generează riscuri majore, contribuabilului nu-i mai rămâne altceva de făcut decât să utilizeze mijloacele obișnuite de contestare în fața instanțelor judiciare a actelor emise de ANAF.</w:t>
      </w:r>
    </w:p>
    <w:p w14:paraId="6E1D27D5" w14:textId="77777777" w:rsidR="00401EED" w:rsidRPr="00401EED" w:rsidRDefault="00401EED" w:rsidP="00830BAD">
      <w:pPr>
        <w:spacing w:after="0" w:line="240" w:lineRule="auto"/>
        <w:rPr>
          <w:rFonts w:ascii="Arial" w:hAnsi="Arial" w:cs="Arial"/>
          <w:noProof/>
          <w:lang w:val="ro-RO"/>
        </w:rPr>
      </w:pPr>
    </w:p>
    <w:p w14:paraId="6F8E17ED" w14:textId="77777777" w:rsidR="00401EED" w:rsidRPr="00401EED" w:rsidRDefault="00401EED" w:rsidP="00830BAD">
      <w:pPr>
        <w:spacing w:after="0" w:line="240" w:lineRule="auto"/>
        <w:rPr>
          <w:rFonts w:ascii="Arial" w:hAnsi="Arial" w:cs="Arial"/>
          <w:b/>
          <w:bCs/>
          <w:noProof/>
          <w:u w:val="single"/>
          <w:lang w:val="ro-RO"/>
        </w:rPr>
      </w:pPr>
      <w:r w:rsidRPr="00401EED">
        <w:rPr>
          <w:rFonts w:ascii="Arial" w:hAnsi="Arial" w:cs="Arial"/>
          <w:b/>
          <w:bCs/>
          <w:noProof/>
          <w:u w:val="single"/>
          <w:lang w:val="ro-RO"/>
        </w:rPr>
        <w:t>Și totuși…o altă soluție?</w:t>
      </w:r>
    </w:p>
    <w:p w14:paraId="3938E18C" w14:textId="77777777" w:rsidR="00401EED" w:rsidRPr="00401EED" w:rsidRDefault="00401EED" w:rsidP="00830BAD">
      <w:pPr>
        <w:spacing w:after="0" w:line="240" w:lineRule="auto"/>
        <w:rPr>
          <w:rFonts w:ascii="Arial" w:hAnsi="Arial" w:cs="Arial"/>
          <w:noProof/>
          <w:lang w:val="ro-RO"/>
        </w:rPr>
      </w:pPr>
    </w:p>
    <w:p w14:paraId="56319AD7" w14:textId="77777777" w:rsidR="00401EED" w:rsidRPr="00401EED" w:rsidRDefault="00401EED" w:rsidP="00830BAD">
      <w:pPr>
        <w:spacing w:after="0" w:line="240" w:lineRule="auto"/>
        <w:rPr>
          <w:rFonts w:ascii="Arial" w:hAnsi="Arial" w:cs="Arial"/>
          <w:lang w:val="ro-RO"/>
        </w:rPr>
      </w:pPr>
      <w:r w:rsidRPr="00401EED">
        <w:rPr>
          <w:rFonts w:ascii="Arial" w:hAnsi="Arial" w:cs="Arial"/>
          <w:lang w:val="ro-RO"/>
        </w:rPr>
        <w:t>OCDE susține de multă vreme</w:t>
      </w:r>
      <w:r w:rsidRPr="00401EED">
        <w:rPr>
          <w:rStyle w:val="Referinnotdesubsol"/>
          <w:rFonts w:ascii="Arial" w:hAnsi="Arial" w:cs="Arial"/>
          <w:lang w:val="ro-RO"/>
        </w:rPr>
        <w:footnoteReference w:id="7"/>
      </w:r>
      <w:r w:rsidRPr="00401EED">
        <w:rPr>
          <w:rFonts w:ascii="Arial" w:hAnsi="Arial" w:cs="Arial"/>
          <w:lang w:val="ro-RO"/>
        </w:rPr>
        <w:t xml:space="preserve"> că modalitatea eficientă de soluționare a disputelor implică atât admiterea ideii că prevenția este mai bună decât remedierea cât și încercarea de a le clarifica într-un stagiu cât mai incipient în timp, atunci când informația este ușor disponibilă și nicio poziție nu s-a conturat în mod definitiv. </w:t>
      </w:r>
    </w:p>
    <w:p w14:paraId="480E01EC" w14:textId="77777777" w:rsidR="00401EED" w:rsidRPr="00401EED" w:rsidRDefault="00401EED" w:rsidP="00830BAD">
      <w:pPr>
        <w:spacing w:after="0" w:line="240" w:lineRule="auto"/>
        <w:rPr>
          <w:rFonts w:ascii="Arial" w:hAnsi="Arial" w:cs="Arial"/>
          <w:lang w:val="ro-RO"/>
        </w:rPr>
      </w:pPr>
    </w:p>
    <w:p w14:paraId="5C6C9014" w14:textId="77777777" w:rsidR="00401EED" w:rsidRPr="00401EED" w:rsidRDefault="00401EED" w:rsidP="00830BAD">
      <w:pPr>
        <w:spacing w:after="0" w:line="240" w:lineRule="auto"/>
        <w:rPr>
          <w:rFonts w:ascii="Arial" w:hAnsi="Arial" w:cs="Arial"/>
          <w:lang w:val="ro-RO"/>
        </w:rPr>
      </w:pPr>
      <w:r w:rsidRPr="00401EED">
        <w:rPr>
          <w:rFonts w:ascii="Arial" w:hAnsi="Arial" w:cs="Arial"/>
          <w:lang w:val="ro-RO"/>
        </w:rPr>
        <w:t>În consecință, pentru a nu avea un caz de dublă-impunere sau o dispută cu privire la acesta, este necesar ca administrațiile fiscale să aibă aceeași înțelegere asupra elementelor de fapt și asupra incidenței regimului de taxare încă de la momentul efectuării controlului fiscal – ceea ce se poate obține prin intermediul controalelor coordonate.</w:t>
      </w:r>
    </w:p>
    <w:p w14:paraId="4BE024D5" w14:textId="77777777" w:rsidR="00401EED" w:rsidRPr="00401EED" w:rsidRDefault="00401EED" w:rsidP="00830BAD">
      <w:pPr>
        <w:spacing w:after="0" w:line="240" w:lineRule="auto"/>
        <w:rPr>
          <w:rFonts w:ascii="Arial" w:hAnsi="Arial" w:cs="Arial"/>
          <w:lang w:val="ro-RO"/>
        </w:rPr>
      </w:pPr>
    </w:p>
    <w:p w14:paraId="70F1E9D9" w14:textId="77777777" w:rsidR="00401EED" w:rsidRPr="00401EED" w:rsidRDefault="00401EED" w:rsidP="00830BAD">
      <w:pPr>
        <w:spacing w:after="0" w:line="240" w:lineRule="auto"/>
        <w:rPr>
          <w:rFonts w:ascii="Arial" w:hAnsi="Arial" w:cs="Arial"/>
          <w:lang w:val="ro-RO"/>
        </w:rPr>
      </w:pPr>
      <w:r w:rsidRPr="00401EED">
        <w:rPr>
          <w:rFonts w:ascii="Arial" w:hAnsi="Arial" w:cs="Arial"/>
          <w:u w:val="single"/>
          <w:lang w:val="ro-RO"/>
        </w:rPr>
        <w:t>Controalele simultane</w:t>
      </w:r>
      <w:r w:rsidRPr="00401EED">
        <w:rPr>
          <w:rFonts w:ascii="Arial" w:hAnsi="Arial" w:cs="Arial"/>
          <w:lang w:val="ro-RO"/>
        </w:rPr>
        <w:t xml:space="preserve"> - se referă la o înțelegere între două sau mai multe administrații fiscale de a examina în același timp, fiecare în propriul teritoriu, aspectele fiscale ale unuia sau mai multor contribuabili în privința cărora au un interes comun sau asociat, cu scopul de a-și împărtăși reciproc orice informații relevante pe care le-ar obține astfel. Realizarea de controale simultane implică coordonarea activităților întreprinse în cadrul inspecțiilor individuale din cele două (sau mai multe) jurisdicții. </w:t>
      </w:r>
    </w:p>
    <w:p w14:paraId="0BA52E4F" w14:textId="77777777" w:rsidR="00401EED" w:rsidRPr="00401EED" w:rsidRDefault="00401EED" w:rsidP="00830BAD">
      <w:pPr>
        <w:spacing w:after="0" w:line="240" w:lineRule="auto"/>
        <w:rPr>
          <w:rFonts w:ascii="Arial" w:hAnsi="Arial" w:cs="Arial"/>
          <w:lang w:val="ro-RO"/>
        </w:rPr>
      </w:pPr>
    </w:p>
    <w:p w14:paraId="5AEE4592" w14:textId="202FDE53" w:rsidR="00401EED" w:rsidRPr="00401EED" w:rsidRDefault="00401EED" w:rsidP="00830BAD">
      <w:pPr>
        <w:spacing w:after="0" w:line="240" w:lineRule="auto"/>
        <w:rPr>
          <w:rFonts w:ascii="Arial" w:hAnsi="Arial" w:cs="Arial"/>
          <w:lang w:val="ro-RO"/>
        </w:rPr>
      </w:pPr>
      <w:r w:rsidRPr="00401EED">
        <w:rPr>
          <w:rFonts w:ascii="Arial" w:hAnsi="Arial" w:cs="Arial"/>
          <w:lang w:val="ro-RO"/>
        </w:rPr>
        <w:t xml:space="preserve">Controalele simultane pot fi de asemenea combinate cu prezența oficialilor fiscali în străinătate, având astfel un organ de inspecție fiscală controlând simultan aspectele fiscale ale unui contribuabil în </w:t>
      </w:r>
      <w:r w:rsidR="005D5A75" w:rsidRPr="00401EED">
        <w:rPr>
          <w:rFonts w:ascii="Arial" w:hAnsi="Arial" w:cs="Arial"/>
          <w:lang w:val="ro-RO"/>
        </w:rPr>
        <w:t>prezența</w:t>
      </w:r>
      <w:r w:rsidRPr="00401EED">
        <w:rPr>
          <w:rFonts w:ascii="Arial" w:hAnsi="Arial" w:cs="Arial"/>
          <w:lang w:val="ro-RO"/>
        </w:rPr>
        <w:t xml:space="preserve"> oficialilor celeilalte administrații fiscale. </w:t>
      </w:r>
    </w:p>
    <w:p w14:paraId="01EFC6B6" w14:textId="77777777" w:rsidR="00401EED" w:rsidRPr="00401EED" w:rsidRDefault="00401EED" w:rsidP="00830BAD">
      <w:pPr>
        <w:spacing w:after="0" w:line="240" w:lineRule="auto"/>
        <w:rPr>
          <w:rFonts w:ascii="Arial" w:hAnsi="Arial" w:cs="Arial"/>
          <w:lang w:val="ro-RO"/>
        </w:rPr>
      </w:pPr>
    </w:p>
    <w:p w14:paraId="66A6F155" w14:textId="247D83B1" w:rsidR="00401EED" w:rsidRPr="00401EED" w:rsidRDefault="00401EED" w:rsidP="00830BAD">
      <w:pPr>
        <w:spacing w:after="0" w:line="240" w:lineRule="auto"/>
        <w:rPr>
          <w:rFonts w:ascii="Arial" w:hAnsi="Arial" w:cs="Arial"/>
          <w:lang w:val="ro-RO"/>
        </w:rPr>
      </w:pPr>
      <w:r w:rsidRPr="00401EED">
        <w:rPr>
          <w:rFonts w:ascii="Arial" w:hAnsi="Arial" w:cs="Arial"/>
          <w:u w:val="single"/>
          <w:lang w:val="ro-RO"/>
        </w:rPr>
        <w:t>Controalele comune</w:t>
      </w:r>
      <w:r w:rsidRPr="00401EED">
        <w:rPr>
          <w:rFonts w:ascii="Arial" w:hAnsi="Arial" w:cs="Arial"/>
          <w:lang w:val="ro-RO"/>
        </w:rPr>
        <w:t xml:space="preserve"> – conceptul creat de OCDE se referă la un control desfășurat de două sau mai multe administrații fiscale ce se alătură pentru a examina un aspect/o tranzacție al unui/unor contribuabil/contribuabili ce au activitate transfrontalieră. Administrațiile acționează coordonat, interacționează cu contribuabilul și primesc informațiile de la acesta iar oficialii din partea celeilalte administrații fiscale sunt prezenți la control.</w:t>
      </w:r>
    </w:p>
    <w:p w14:paraId="2D853315" w14:textId="77777777" w:rsidR="00401EED" w:rsidRPr="00401EED" w:rsidRDefault="00401EED" w:rsidP="00830BAD">
      <w:pPr>
        <w:spacing w:after="0" w:line="240" w:lineRule="auto"/>
        <w:rPr>
          <w:rFonts w:ascii="Arial" w:hAnsi="Arial" w:cs="Arial"/>
          <w:lang w:val="ro-RO"/>
        </w:rPr>
      </w:pPr>
    </w:p>
    <w:p w14:paraId="6A057801" w14:textId="178ED828" w:rsidR="00401EED" w:rsidRPr="00401EED" w:rsidRDefault="00401EED" w:rsidP="00830BAD">
      <w:pPr>
        <w:spacing w:after="0" w:line="240" w:lineRule="auto"/>
        <w:rPr>
          <w:rFonts w:ascii="Arial" w:hAnsi="Arial" w:cs="Arial"/>
          <w:lang w:val="ro-RO"/>
        </w:rPr>
      </w:pPr>
      <w:r w:rsidRPr="00401EED">
        <w:rPr>
          <w:rFonts w:ascii="Arial" w:hAnsi="Arial" w:cs="Arial"/>
          <w:lang w:val="ro-RO"/>
        </w:rPr>
        <w:t xml:space="preserve">Realizarea unui Control </w:t>
      </w:r>
      <w:r w:rsidRPr="0065024D">
        <w:rPr>
          <w:rFonts w:ascii="Arial" w:hAnsi="Arial" w:cs="Arial"/>
          <w:lang w:val="ro-RO"/>
        </w:rPr>
        <w:t xml:space="preserve">comun nu </w:t>
      </w:r>
      <w:r w:rsidR="005D5A75" w:rsidRPr="0065024D">
        <w:rPr>
          <w:rFonts w:ascii="Arial" w:hAnsi="Arial" w:cs="Arial"/>
          <w:lang w:val="ro-RO"/>
        </w:rPr>
        <w:t>presupune</w:t>
      </w:r>
      <w:r w:rsidRPr="0065024D">
        <w:rPr>
          <w:rFonts w:ascii="Arial" w:hAnsi="Arial" w:cs="Arial"/>
          <w:lang w:val="ro-RO"/>
        </w:rPr>
        <w:t xml:space="preserve"> ca toți participanții la </w:t>
      </w:r>
      <w:r w:rsidR="005D5A75" w:rsidRPr="0065024D">
        <w:rPr>
          <w:rFonts w:ascii="Arial" w:hAnsi="Arial" w:cs="Arial"/>
          <w:lang w:val="ro-RO"/>
        </w:rPr>
        <w:t>ace</w:t>
      </w:r>
      <w:r w:rsidR="00B111F8" w:rsidRPr="0065024D">
        <w:rPr>
          <w:rFonts w:ascii="Arial" w:hAnsi="Arial" w:cs="Arial"/>
          <w:lang w:val="ro-RO"/>
        </w:rPr>
        <w:t>a</w:t>
      </w:r>
      <w:r w:rsidR="005D5A75" w:rsidRPr="0065024D">
        <w:rPr>
          <w:rFonts w:ascii="Arial" w:hAnsi="Arial" w:cs="Arial"/>
          <w:lang w:val="ro-RO"/>
        </w:rPr>
        <w:t xml:space="preserve">stă acțiune să exercite </w:t>
      </w:r>
      <w:r w:rsidRPr="0065024D">
        <w:rPr>
          <w:rFonts w:ascii="Arial" w:hAnsi="Arial" w:cs="Arial"/>
          <w:lang w:val="ro-RO"/>
        </w:rPr>
        <w:t>aceeași autoritate în materie de inspecție fiscală, însă oficialii fiscali implicați sunt coordonați pe deplin și au sarcinile inspecției fiscale departajate.</w:t>
      </w:r>
      <w:r w:rsidRPr="00401EED">
        <w:rPr>
          <w:rFonts w:ascii="Arial" w:hAnsi="Arial" w:cs="Arial"/>
          <w:lang w:val="ro-RO"/>
        </w:rPr>
        <w:t xml:space="preserve"> </w:t>
      </w:r>
    </w:p>
    <w:p w14:paraId="6ED9B439" w14:textId="77777777" w:rsidR="00401EED" w:rsidRPr="00401EED" w:rsidRDefault="00401EED" w:rsidP="00830BAD">
      <w:pPr>
        <w:spacing w:after="0" w:line="240" w:lineRule="auto"/>
        <w:rPr>
          <w:rFonts w:ascii="Arial" w:hAnsi="Arial" w:cs="Arial"/>
          <w:lang w:val="ro-RO"/>
        </w:rPr>
      </w:pPr>
    </w:p>
    <w:p w14:paraId="30E3E432" w14:textId="77777777" w:rsidR="00401EED" w:rsidRPr="00401EED" w:rsidRDefault="00401EED" w:rsidP="00830BAD">
      <w:pPr>
        <w:spacing w:after="0" w:line="240" w:lineRule="auto"/>
        <w:rPr>
          <w:rFonts w:ascii="Arial" w:hAnsi="Arial" w:cs="Arial"/>
          <w:lang w:val="ro-RO"/>
        </w:rPr>
      </w:pPr>
      <w:r w:rsidRPr="00401EED">
        <w:rPr>
          <w:rFonts w:ascii="Arial" w:hAnsi="Arial" w:cs="Arial"/>
          <w:u w:val="single"/>
          <w:lang w:val="ro-RO"/>
        </w:rPr>
        <w:t>Controalele multilaterale</w:t>
      </w:r>
      <w:r w:rsidRPr="00401EED">
        <w:rPr>
          <w:rStyle w:val="Referinnotdesubsol"/>
          <w:rFonts w:ascii="Arial" w:hAnsi="Arial" w:cs="Arial"/>
          <w:u w:val="single"/>
          <w:lang w:val="ro-RO"/>
        </w:rPr>
        <w:footnoteReference w:id="8"/>
      </w:r>
      <w:r w:rsidRPr="00401EED">
        <w:rPr>
          <w:rFonts w:ascii="Arial" w:hAnsi="Arial" w:cs="Arial"/>
          <w:lang w:val="ro-RO"/>
        </w:rPr>
        <w:t xml:space="preserve"> - se referă la o înțelegere între două sau mai multe administrații fiscale de a efectua controale coordonate asupra unuia sau mai multor contribuabili „înrudiți” iar controlul are la bază un interes comun sau complementar.</w:t>
      </w:r>
    </w:p>
    <w:p w14:paraId="31B624D0" w14:textId="77777777" w:rsidR="00401EED" w:rsidRPr="00401EED" w:rsidRDefault="00401EED" w:rsidP="00830BAD">
      <w:pPr>
        <w:spacing w:after="0" w:line="240" w:lineRule="auto"/>
        <w:rPr>
          <w:rFonts w:ascii="Arial" w:hAnsi="Arial" w:cs="Arial"/>
          <w:lang w:val="ro-RO"/>
        </w:rPr>
      </w:pPr>
    </w:p>
    <w:p w14:paraId="33AF0074" w14:textId="77777777" w:rsidR="00401EED" w:rsidRPr="00401EED" w:rsidRDefault="00401EED" w:rsidP="00830BAD">
      <w:pPr>
        <w:spacing w:after="0" w:line="240" w:lineRule="auto"/>
        <w:rPr>
          <w:rFonts w:ascii="Arial" w:hAnsi="Arial" w:cs="Arial"/>
          <w:lang w:val="ro-RO"/>
        </w:rPr>
      </w:pPr>
      <w:r w:rsidRPr="00401EED">
        <w:rPr>
          <w:rFonts w:ascii="Arial" w:hAnsi="Arial" w:cs="Arial"/>
          <w:lang w:val="ro-RO"/>
        </w:rPr>
        <w:t xml:space="preserve">Posibilitatea realizării unor asemenea controale există în legislația română (i.e. în Codul de procedură fiscală) încă din 2012, odată cu transpunerea Directivei 2011/16/UE a Consiliului din 15 februarie 2011 privind cooperarea administrativă în domeniul fiscal prin intermediul Ordonanței Guvernului nr. 2/25.01.2012. </w:t>
      </w:r>
    </w:p>
    <w:p w14:paraId="5BB12127" w14:textId="77777777" w:rsidR="00401EED" w:rsidRPr="00401EED" w:rsidRDefault="00401EED" w:rsidP="00830BAD">
      <w:pPr>
        <w:spacing w:after="0" w:line="240" w:lineRule="auto"/>
        <w:rPr>
          <w:rFonts w:ascii="Arial" w:hAnsi="Arial" w:cs="Arial"/>
          <w:lang w:val="ro-RO"/>
        </w:rPr>
      </w:pPr>
      <w:r w:rsidRPr="00401EED">
        <w:rPr>
          <w:rFonts w:ascii="Arial" w:hAnsi="Arial" w:cs="Arial"/>
          <w:lang w:val="ro-RO"/>
        </w:rPr>
        <w:lastRenderedPageBreak/>
        <w:t>Reglementarea curentă este însă una simplistă și deficitară, neexistând un mecanism prin intermediul căruia ANAF să poată fi solicitat de contribuabilul rezident să declanșeze sau să participe la un asemenea control.</w:t>
      </w:r>
    </w:p>
    <w:p w14:paraId="3551CC28" w14:textId="77777777" w:rsidR="00401EED" w:rsidRPr="00401EED" w:rsidRDefault="00401EED" w:rsidP="00830BAD">
      <w:pPr>
        <w:spacing w:after="0" w:line="240" w:lineRule="auto"/>
        <w:rPr>
          <w:rFonts w:ascii="Arial" w:hAnsi="Arial" w:cs="Arial"/>
          <w:lang w:val="ro-RO"/>
        </w:rPr>
      </w:pPr>
    </w:p>
    <w:p w14:paraId="1E11DF18" w14:textId="21DFC25B" w:rsidR="00401EED" w:rsidRPr="00401EED" w:rsidRDefault="00401EED" w:rsidP="00830BAD">
      <w:pPr>
        <w:spacing w:after="0" w:line="240" w:lineRule="auto"/>
        <w:rPr>
          <w:rFonts w:ascii="Arial" w:hAnsi="Arial" w:cs="Arial"/>
          <w:lang w:val="ro-RO"/>
        </w:rPr>
      </w:pPr>
      <w:r w:rsidRPr="00401EED">
        <w:rPr>
          <w:rFonts w:ascii="Arial" w:hAnsi="Arial" w:cs="Arial"/>
          <w:lang w:val="ro-RO"/>
        </w:rPr>
        <w:t>În consecință, în practică, ANAF recurge foarte rar la aceste tipuri de controale și mai degrabă în vederea „</w:t>
      </w:r>
      <w:r w:rsidRPr="00401EED">
        <w:rPr>
          <w:rFonts w:ascii="Arial" w:hAnsi="Arial" w:cs="Arial"/>
          <w:i/>
          <w:iCs/>
          <w:lang w:val="ro-RO"/>
        </w:rPr>
        <w:t xml:space="preserve">combaterii fraudei în domeniul </w:t>
      </w:r>
      <w:r w:rsidR="005D5A75" w:rsidRPr="00401EED">
        <w:rPr>
          <w:rFonts w:ascii="Arial" w:hAnsi="Arial" w:cs="Arial"/>
          <w:i/>
          <w:iCs/>
          <w:lang w:val="ro-RO"/>
        </w:rPr>
        <w:t>tranzacțiilor</w:t>
      </w:r>
      <w:r w:rsidRPr="00401EED">
        <w:rPr>
          <w:rFonts w:ascii="Arial" w:hAnsi="Arial" w:cs="Arial"/>
          <w:i/>
          <w:iCs/>
          <w:lang w:val="ro-RO"/>
        </w:rPr>
        <w:t xml:space="preserve"> intracomunitare cu autovehicule, electronice, telefoane mobile, produselor de larg consum, produse petroliere</w:t>
      </w:r>
      <w:r w:rsidRPr="00401EED">
        <w:rPr>
          <w:rFonts w:ascii="Arial" w:hAnsi="Arial" w:cs="Arial"/>
          <w:lang w:val="ro-RO"/>
        </w:rPr>
        <w:t>”</w:t>
      </w:r>
      <w:r w:rsidRPr="00401EED">
        <w:rPr>
          <w:rStyle w:val="Referinnotdesubsol"/>
          <w:rFonts w:ascii="Arial" w:hAnsi="Arial" w:cs="Arial"/>
          <w:lang w:val="ro-RO"/>
        </w:rPr>
        <w:footnoteReference w:id="9"/>
      </w:r>
      <w:r w:rsidRPr="00401EED">
        <w:rPr>
          <w:rFonts w:ascii="Arial" w:hAnsi="Arial" w:cs="Arial"/>
          <w:lang w:val="ro-RO"/>
        </w:rPr>
        <w:t>. Din punct de vedere statistic, în ultimii 5 ani și jumătate, potrivit informațiilor publicate de ANAF</w:t>
      </w:r>
      <w:r w:rsidRPr="00401EED">
        <w:rPr>
          <w:rStyle w:val="Referinnotdesubsol"/>
          <w:rFonts w:ascii="Arial" w:hAnsi="Arial" w:cs="Arial"/>
          <w:lang w:val="ro-RO"/>
        </w:rPr>
        <w:footnoteReference w:id="10"/>
      </w:r>
      <w:r w:rsidRPr="00401EED">
        <w:rPr>
          <w:rFonts w:ascii="Arial" w:hAnsi="Arial" w:cs="Arial"/>
          <w:lang w:val="ro-RO"/>
        </w:rPr>
        <w:t xml:space="preserve">, au fost realizate 41 de controale multilaterale și doar 9 din acestea au vizat impozitarea salariilor muncitorilor </w:t>
      </w:r>
      <w:r w:rsidR="005D5A75" w:rsidRPr="00401EED">
        <w:rPr>
          <w:rFonts w:ascii="Arial" w:hAnsi="Arial" w:cs="Arial"/>
          <w:lang w:val="ro-RO"/>
        </w:rPr>
        <w:t>detașați</w:t>
      </w:r>
      <w:r w:rsidRPr="00401EED">
        <w:rPr>
          <w:rFonts w:ascii="Arial" w:hAnsi="Arial" w:cs="Arial"/>
          <w:lang w:val="ro-RO"/>
        </w:rPr>
        <w:t xml:space="preserve"> în alt stat membru </w:t>
      </w:r>
      <w:r w:rsidR="005D5A75" w:rsidRPr="00401EED">
        <w:rPr>
          <w:rFonts w:ascii="Arial" w:hAnsi="Arial" w:cs="Arial"/>
          <w:lang w:val="ro-RO"/>
        </w:rPr>
        <w:t>și</w:t>
      </w:r>
      <w:r w:rsidRPr="00401EED">
        <w:rPr>
          <w:rFonts w:ascii="Arial" w:hAnsi="Arial" w:cs="Arial"/>
          <w:lang w:val="ro-RO"/>
        </w:rPr>
        <w:t xml:space="preserve">, respectiv, </w:t>
      </w:r>
      <w:r w:rsidR="005D5A75" w:rsidRPr="00401EED">
        <w:rPr>
          <w:rFonts w:ascii="Arial" w:hAnsi="Arial" w:cs="Arial"/>
          <w:lang w:val="ro-RO"/>
        </w:rPr>
        <w:t>prețurile</w:t>
      </w:r>
      <w:r w:rsidRPr="00401EED">
        <w:rPr>
          <w:rFonts w:ascii="Arial" w:hAnsi="Arial" w:cs="Arial"/>
          <w:lang w:val="ro-RO"/>
        </w:rPr>
        <w:t xml:space="preserve"> de transfer.</w:t>
      </w:r>
    </w:p>
    <w:p w14:paraId="2EA856EA" w14:textId="77777777" w:rsidR="00401EED" w:rsidRPr="00401EED" w:rsidRDefault="00401EED" w:rsidP="00830BAD">
      <w:pPr>
        <w:spacing w:after="0" w:line="240" w:lineRule="auto"/>
        <w:rPr>
          <w:rFonts w:ascii="Arial" w:hAnsi="Arial" w:cs="Arial"/>
          <w:lang w:val="ro-RO"/>
        </w:rPr>
      </w:pPr>
    </w:p>
    <w:p w14:paraId="0B1B1585" w14:textId="77777777" w:rsidR="00401EED" w:rsidRPr="00401EED" w:rsidRDefault="00401EED" w:rsidP="00830BAD">
      <w:pPr>
        <w:spacing w:after="0" w:line="240" w:lineRule="auto"/>
        <w:rPr>
          <w:rFonts w:ascii="Arial" w:hAnsi="Arial" w:cs="Arial"/>
          <w:lang w:val="ro-RO"/>
        </w:rPr>
      </w:pPr>
      <w:r w:rsidRPr="00401EED">
        <w:rPr>
          <w:rFonts w:ascii="Arial" w:hAnsi="Arial" w:cs="Arial"/>
          <w:lang w:val="ro-RO"/>
        </w:rPr>
        <w:t>Cu toate acestea, tocmai controalele coordonate reprezintă viitorul pentru evitarea cazurilor de dublă-impunere iar nu disputele fiscale, fie ele naționale sau internaționale. Statele vest-europene, inițial refractare, le utilizează deja frecvent și chiar le promovează prin intermediul autorităților fiscale naționale ca un mijloc eficient de a clarifica aspectele de fapt privind tranzacțiile transfrontaliere și regimul de impozitare.</w:t>
      </w:r>
    </w:p>
    <w:p w14:paraId="29153FDF" w14:textId="77777777" w:rsidR="00401EED" w:rsidRPr="00401EED" w:rsidRDefault="00401EED" w:rsidP="00830BAD">
      <w:pPr>
        <w:spacing w:after="0" w:line="240" w:lineRule="auto"/>
        <w:rPr>
          <w:rFonts w:ascii="Arial" w:hAnsi="Arial" w:cs="Arial"/>
          <w:lang w:val="ro-RO"/>
        </w:rPr>
      </w:pPr>
    </w:p>
    <w:p w14:paraId="2F401C77" w14:textId="5E072968" w:rsidR="00401EED" w:rsidRPr="00401EED" w:rsidRDefault="00401EED" w:rsidP="00830BAD">
      <w:pPr>
        <w:spacing w:after="0" w:line="240" w:lineRule="auto"/>
        <w:rPr>
          <w:rFonts w:ascii="Arial" w:hAnsi="Arial" w:cs="Arial"/>
          <w:lang w:val="ro-RO"/>
        </w:rPr>
      </w:pPr>
      <w:r w:rsidRPr="00401EED">
        <w:rPr>
          <w:rFonts w:ascii="Arial" w:hAnsi="Arial" w:cs="Arial"/>
          <w:lang w:val="ro-RO"/>
        </w:rPr>
        <w:t xml:space="preserve">Recent, chiar Comisia Europeană, în </w:t>
      </w:r>
      <w:r w:rsidR="005D5A75">
        <w:rPr>
          <w:rFonts w:ascii="Arial" w:hAnsi="Arial" w:cs="Arial"/>
          <w:lang w:val="ro-RO"/>
        </w:rPr>
        <w:t>r</w:t>
      </w:r>
      <w:r w:rsidR="005D5A75" w:rsidRPr="00401EED">
        <w:rPr>
          <w:rFonts w:ascii="Arial" w:hAnsi="Arial" w:cs="Arial"/>
          <w:lang w:val="ro-RO"/>
        </w:rPr>
        <w:t xml:space="preserve">aportul </w:t>
      </w:r>
      <w:r w:rsidRPr="00401EED">
        <w:rPr>
          <w:rFonts w:ascii="Arial" w:hAnsi="Arial" w:cs="Arial"/>
          <w:lang w:val="ro-RO"/>
        </w:rPr>
        <w:t xml:space="preserve">emis de </w:t>
      </w:r>
      <w:proofErr w:type="spellStart"/>
      <w:r w:rsidRPr="00B111F8">
        <w:rPr>
          <w:rFonts w:ascii="Arial" w:hAnsi="Arial" w:cs="Arial"/>
          <w:bCs/>
          <w:lang w:val="ro-RO"/>
        </w:rPr>
        <w:t>Joint</w:t>
      </w:r>
      <w:proofErr w:type="spellEnd"/>
      <w:r w:rsidRPr="00B111F8">
        <w:rPr>
          <w:rFonts w:ascii="Arial" w:hAnsi="Arial" w:cs="Arial"/>
          <w:bCs/>
          <w:lang w:val="ro-RO"/>
        </w:rPr>
        <w:t xml:space="preserve"> Transfer </w:t>
      </w:r>
      <w:proofErr w:type="spellStart"/>
      <w:r w:rsidRPr="00B111F8">
        <w:rPr>
          <w:rFonts w:ascii="Arial" w:hAnsi="Arial" w:cs="Arial"/>
          <w:bCs/>
          <w:lang w:val="ro-RO"/>
        </w:rPr>
        <w:t>Pricing</w:t>
      </w:r>
      <w:proofErr w:type="spellEnd"/>
      <w:r w:rsidRPr="00B111F8">
        <w:rPr>
          <w:rFonts w:ascii="Arial" w:hAnsi="Arial" w:cs="Arial"/>
          <w:bCs/>
          <w:lang w:val="ro-RO"/>
        </w:rPr>
        <w:t xml:space="preserve"> Forum</w:t>
      </w:r>
      <w:r w:rsidRPr="00401EED">
        <w:rPr>
          <w:rFonts w:ascii="Arial" w:hAnsi="Arial" w:cs="Arial"/>
          <w:lang w:val="ro-RO"/>
        </w:rPr>
        <w:t xml:space="preserve"> în 2018</w:t>
      </w:r>
      <w:r w:rsidRPr="00401EED">
        <w:rPr>
          <w:rStyle w:val="Referinnotdesubsol"/>
          <w:rFonts w:ascii="Arial" w:hAnsi="Arial" w:cs="Arial"/>
          <w:lang w:val="ro-RO"/>
        </w:rPr>
        <w:footnoteReference w:id="11"/>
      </w:r>
      <w:r w:rsidRPr="00401EED">
        <w:rPr>
          <w:rFonts w:ascii="Arial" w:hAnsi="Arial" w:cs="Arial"/>
          <w:lang w:val="ro-RO"/>
        </w:rPr>
        <w:t>, face o serie de recomandări și încurajează statele să efectueze controalele fiscale coordonate în materie de prețuri de transfer, având ca obiectiv eliminarea atât a cazurilor de dublă-impunere cât și a celor de ne-impozitare a contribuabililor.</w:t>
      </w:r>
    </w:p>
    <w:p w14:paraId="4990BB86" w14:textId="77777777" w:rsidR="00401EED" w:rsidRPr="00401EED" w:rsidRDefault="00401EED" w:rsidP="00830BAD">
      <w:pPr>
        <w:spacing w:after="0" w:line="240" w:lineRule="auto"/>
        <w:rPr>
          <w:rFonts w:ascii="Arial" w:hAnsi="Arial" w:cs="Arial"/>
          <w:lang w:val="ro-RO"/>
        </w:rPr>
      </w:pPr>
    </w:p>
    <w:p w14:paraId="5076E9A8" w14:textId="53CC616F" w:rsidR="00401EED" w:rsidRPr="00401EED" w:rsidRDefault="00401EED" w:rsidP="00830BAD">
      <w:pPr>
        <w:spacing w:after="0" w:line="240" w:lineRule="auto"/>
        <w:rPr>
          <w:rFonts w:ascii="Arial" w:hAnsi="Arial" w:cs="Arial"/>
          <w:lang w:val="ro-RO"/>
        </w:rPr>
      </w:pPr>
      <w:r w:rsidRPr="00401EED">
        <w:rPr>
          <w:rFonts w:ascii="Arial" w:hAnsi="Arial" w:cs="Arial"/>
          <w:lang w:val="ro-RO"/>
        </w:rPr>
        <w:t>În plus, Directiva 2021/514 a Consiliului din 22 martie 2021 de modificare a Directivei 2011/16/UE privind cooperarea administrativă în domeniul fiscal – ce urmează a fi implementată de statele membre UE până cel târziu la 31.12.2022</w:t>
      </w:r>
      <w:r w:rsidR="005D5A75">
        <w:rPr>
          <w:rFonts w:ascii="Arial" w:hAnsi="Arial" w:cs="Arial"/>
          <w:lang w:val="ro-RO"/>
        </w:rPr>
        <w:t xml:space="preserve"> - </w:t>
      </w:r>
      <w:r w:rsidRPr="00401EED">
        <w:rPr>
          <w:rFonts w:ascii="Arial" w:hAnsi="Arial" w:cs="Arial"/>
          <w:lang w:val="ro-RO"/>
        </w:rPr>
        <w:t>aduce îmbunătățiri semnificative controalelor multilaterale în sensul organizării și accelerării desfășurării acestora.</w:t>
      </w:r>
    </w:p>
    <w:p w14:paraId="7CEEB409" w14:textId="77777777" w:rsidR="00401EED" w:rsidRPr="00401EED" w:rsidRDefault="00401EED" w:rsidP="00830BAD">
      <w:pPr>
        <w:spacing w:after="0" w:line="240" w:lineRule="auto"/>
        <w:rPr>
          <w:rFonts w:ascii="Arial" w:hAnsi="Arial" w:cs="Arial"/>
          <w:lang w:val="ro-RO"/>
        </w:rPr>
      </w:pPr>
    </w:p>
    <w:p w14:paraId="782106B2" w14:textId="20FAF1DB" w:rsidR="00401EED" w:rsidRPr="00401EED" w:rsidRDefault="00401EED" w:rsidP="00830BAD">
      <w:pPr>
        <w:spacing w:after="0" w:line="240" w:lineRule="auto"/>
        <w:rPr>
          <w:rFonts w:ascii="Arial" w:hAnsi="Arial" w:cs="Arial"/>
          <w:lang w:val="ro-RO"/>
        </w:rPr>
      </w:pPr>
      <w:r w:rsidRPr="00401EED">
        <w:rPr>
          <w:rFonts w:ascii="Arial" w:hAnsi="Arial" w:cs="Arial"/>
          <w:lang w:val="ro-RO"/>
        </w:rPr>
        <w:t>În acest sens, nu ne rămâne altceva de făcut decât să încurajăm, să sprijinim cu propuneri concrete și prin exercitarea unei presiuni din partea mediului de afaceri adoptarea cât mai rapidă a unei legislații naționale care să instituie un tablou clar al drepturilor și obligațiilor atât pentru contribuabili cât și pentru autoritățile fiscale cu privire la inițierea, participarea și desfășurarea unui control coordonat. Astfel, atât contribuabilii</w:t>
      </w:r>
      <w:r w:rsidR="000A371B">
        <w:rPr>
          <w:rFonts w:ascii="Arial" w:hAnsi="Arial" w:cs="Arial"/>
          <w:lang w:val="ro-RO"/>
        </w:rPr>
        <w:t>,</w:t>
      </w:r>
      <w:r w:rsidRPr="00401EED">
        <w:rPr>
          <w:rFonts w:ascii="Arial" w:hAnsi="Arial" w:cs="Arial"/>
          <w:lang w:val="ro-RO"/>
        </w:rPr>
        <w:t xml:space="preserve"> cât mai ales </w:t>
      </w:r>
      <w:r w:rsidR="000A371B">
        <w:rPr>
          <w:rFonts w:ascii="Arial" w:hAnsi="Arial" w:cs="Arial"/>
          <w:lang w:val="ro-RO"/>
        </w:rPr>
        <w:t>s</w:t>
      </w:r>
      <w:r w:rsidR="000A371B" w:rsidRPr="00401EED">
        <w:rPr>
          <w:rFonts w:ascii="Arial" w:hAnsi="Arial" w:cs="Arial"/>
          <w:lang w:val="ro-RO"/>
        </w:rPr>
        <w:t xml:space="preserve">tatul </w:t>
      </w:r>
      <w:r w:rsidRPr="00401EED">
        <w:rPr>
          <w:rFonts w:ascii="Arial" w:hAnsi="Arial" w:cs="Arial"/>
          <w:lang w:val="ro-RO"/>
        </w:rPr>
        <w:t xml:space="preserve">român ar avea de câștigat – bani, stabilitate și </w:t>
      </w:r>
      <w:r>
        <w:rPr>
          <w:rFonts w:ascii="Arial" w:hAnsi="Arial" w:cs="Arial"/>
          <w:lang w:val="ro-RO"/>
        </w:rPr>
        <w:t>certitudine fiscal</w:t>
      </w:r>
      <w:r w:rsidR="00A903D4">
        <w:rPr>
          <w:rFonts w:ascii="Arial" w:hAnsi="Arial" w:cs="Arial"/>
          <w:lang w:val="ro-RO"/>
        </w:rPr>
        <w:t>ă.</w:t>
      </w:r>
    </w:p>
    <w:p w14:paraId="640370EC" w14:textId="73100817" w:rsidR="0060090D" w:rsidRPr="00401EED" w:rsidRDefault="0060090D" w:rsidP="00830BAD">
      <w:pPr>
        <w:spacing w:after="0" w:line="240" w:lineRule="auto"/>
        <w:jc w:val="center"/>
        <w:rPr>
          <w:rFonts w:ascii="Arial" w:hAnsi="Arial" w:cs="Arial"/>
          <w:lang w:val="ro-RO"/>
        </w:rPr>
      </w:pPr>
      <w:r w:rsidRPr="00401EED">
        <w:rPr>
          <w:rFonts w:ascii="Arial" w:hAnsi="Arial" w:cs="Arial"/>
          <w:lang w:val="ro-RO"/>
        </w:rPr>
        <w:t>***</w:t>
      </w:r>
    </w:p>
    <w:p w14:paraId="473E8109" w14:textId="617A14E1" w:rsidR="00D10883" w:rsidRPr="00401EED" w:rsidRDefault="00A05E84" w:rsidP="00401EED">
      <w:pPr>
        <w:spacing w:after="0" w:line="240" w:lineRule="auto"/>
        <w:rPr>
          <w:rFonts w:ascii="Arial" w:hAnsi="Arial" w:cs="Arial"/>
          <w:b/>
          <w:bCs/>
          <w:sz w:val="18"/>
          <w:szCs w:val="18"/>
          <w:lang w:val="ro-RO"/>
        </w:rPr>
      </w:pPr>
      <w:r w:rsidRPr="00401EED">
        <w:rPr>
          <w:rFonts w:ascii="Arial" w:hAnsi="Arial" w:cs="Arial"/>
          <w:b/>
          <w:bCs/>
          <w:sz w:val="18"/>
          <w:szCs w:val="18"/>
          <w:lang w:val="ro-RO"/>
        </w:rPr>
        <w:t>Despre Radu şi Asociații SPRL</w:t>
      </w:r>
    </w:p>
    <w:p w14:paraId="1D19DAF2" w14:textId="237FEEAE" w:rsidR="00AD7CDA" w:rsidRPr="00401EED" w:rsidRDefault="002A2551" w:rsidP="00401EED">
      <w:pPr>
        <w:spacing w:after="0" w:line="240" w:lineRule="auto"/>
        <w:rPr>
          <w:rFonts w:ascii="Arial" w:hAnsi="Arial" w:cs="Arial"/>
          <w:b/>
          <w:bCs/>
          <w:sz w:val="18"/>
          <w:szCs w:val="18"/>
          <w:lang w:val="ro-RO"/>
        </w:rPr>
      </w:pPr>
      <w:r w:rsidRPr="00401EED">
        <w:rPr>
          <w:rFonts w:ascii="Arial" w:hAnsi="Arial" w:cs="Arial"/>
          <w:sz w:val="18"/>
          <w:szCs w:val="18"/>
          <w:lang w:val="ro-RO"/>
        </w:rPr>
        <w:t>Radu și Asociații SPRL este o societate de avocați ce oferă servicii juridice complete, care includ atât servicii de consultanță juridică cât și asistență și reprezentare în fața instanțelor de judecată, având o practică importantă de controverse și dispute fiscale.</w:t>
      </w:r>
    </w:p>
    <w:p w14:paraId="79269F45" w14:textId="7DF4551C" w:rsidR="00AD7CDA" w:rsidRPr="00401EED" w:rsidRDefault="002A2551" w:rsidP="00401EED">
      <w:pPr>
        <w:spacing w:after="0" w:line="240" w:lineRule="auto"/>
        <w:rPr>
          <w:rFonts w:ascii="Arial" w:hAnsi="Arial" w:cs="Arial"/>
          <w:sz w:val="18"/>
          <w:szCs w:val="18"/>
          <w:lang w:val="ro-RO"/>
        </w:rPr>
      </w:pPr>
      <w:r w:rsidRPr="00401EED">
        <w:rPr>
          <w:rFonts w:ascii="Arial" w:hAnsi="Arial" w:cs="Arial"/>
          <w:sz w:val="18"/>
          <w:szCs w:val="18"/>
          <w:lang w:val="ro-RO"/>
        </w:rPr>
        <w:t xml:space="preserve">Radu și Asociații SPRL este membră a societăților din grupul Ernst &amp; Young Global Ltd și face parte din rețeaua globală EY Law, aflată în plină expansiune, în cadrul căreia lucrează peste 2400 de avocați în mai mult de </w:t>
      </w:r>
      <w:r w:rsidR="00A2202D" w:rsidRPr="00401EED">
        <w:rPr>
          <w:rFonts w:ascii="Arial" w:hAnsi="Arial" w:cs="Arial"/>
          <w:sz w:val="18"/>
          <w:szCs w:val="18"/>
          <w:lang w:val="ro-RO"/>
        </w:rPr>
        <w:t>90</w:t>
      </w:r>
      <w:r w:rsidRPr="00401EED">
        <w:rPr>
          <w:rFonts w:ascii="Arial" w:hAnsi="Arial" w:cs="Arial"/>
          <w:sz w:val="18"/>
          <w:szCs w:val="18"/>
          <w:lang w:val="ro-RO"/>
        </w:rPr>
        <w:t xml:space="preserve"> de </w:t>
      </w:r>
      <w:r w:rsidR="00A2202D" w:rsidRPr="00401EED">
        <w:rPr>
          <w:rFonts w:ascii="Arial" w:hAnsi="Arial" w:cs="Arial"/>
          <w:sz w:val="18"/>
          <w:szCs w:val="18"/>
          <w:lang w:val="ro-RO"/>
        </w:rPr>
        <w:t>jurisdicții</w:t>
      </w:r>
      <w:r w:rsidRPr="00401EED">
        <w:rPr>
          <w:rFonts w:ascii="Arial" w:hAnsi="Arial" w:cs="Arial"/>
          <w:sz w:val="18"/>
          <w:szCs w:val="18"/>
          <w:lang w:val="ro-RO"/>
        </w:rPr>
        <w:t>.</w:t>
      </w:r>
      <w:r w:rsidR="00E1459D" w:rsidRPr="00401EED">
        <w:rPr>
          <w:rFonts w:ascii="Arial" w:hAnsi="Arial" w:cs="Arial"/>
          <w:sz w:val="18"/>
          <w:szCs w:val="18"/>
          <w:lang w:val="ro-RO"/>
        </w:rPr>
        <w:t xml:space="preserve"> </w:t>
      </w:r>
    </w:p>
    <w:p w14:paraId="2BD8AA55" w14:textId="21721374" w:rsidR="00AD7CDA" w:rsidRPr="00401EED" w:rsidRDefault="002A2551" w:rsidP="00401EED">
      <w:pPr>
        <w:spacing w:after="0" w:line="240" w:lineRule="auto"/>
        <w:rPr>
          <w:rFonts w:ascii="Arial" w:hAnsi="Arial" w:cs="Arial"/>
          <w:sz w:val="18"/>
          <w:szCs w:val="18"/>
          <w:lang w:val="ro-RO"/>
        </w:rPr>
      </w:pPr>
      <w:r w:rsidRPr="00401EED">
        <w:rPr>
          <w:rFonts w:ascii="Arial" w:hAnsi="Arial" w:cs="Arial"/>
          <w:sz w:val="18"/>
          <w:szCs w:val="18"/>
          <w:lang w:val="ro-RO"/>
        </w:rPr>
        <w:t xml:space="preserve">Experiența noastră a fost recunoscută de piață și de publicații internaționale. </w:t>
      </w:r>
      <w:proofErr w:type="spellStart"/>
      <w:r w:rsidRPr="00401EED">
        <w:rPr>
          <w:rFonts w:ascii="Arial" w:hAnsi="Arial" w:cs="Arial"/>
          <w:sz w:val="18"/>
          <w:szCs w:val="18"/>
          <w:lang w:val="ro-RO"/>
        </w:rPr>
        <w:t>Chambers</w:t>
      </w:r>
      <w:proofErr w:type="spellEnd"/>
      <w:r w:rsidRPr="00401EED">
        <w:rPr>
          <w:rFonts w:ascii="Arial" w:hAnsi="Arial" w:cs="Arial"/>
          <w:sz w:val="18"/>
          <w:szCs w:val="18"/>
          <w:lang w:val="ro-RO"/>
        </w:rPr>
        <w:t xml:space="preserve"> Global 2019 a recunoscut practica noastră de </w:t>
      </w:r>
      <w:proofErr w:type="spellStart"/>
      <w:r w:rsidRPr="00401EED">
        <w:rPr>
          <w:rFonts w:ascii="Arial" w:hAnsi="Arial" w:cs="Arial"/>
          <w:sz w:val="18"/>
          <w:szCs w:val="18"/>
          <w:lang w:val="ro-RO"/>
        </w:rPr>
        <w:t>Corporate</w:t>
      </w:r>
      <w:proofErr w:type="spellEnd"/>
      <w:r w:rsidRPr="00401EED">
        <w:rPr>
          <w:rFonts w:ascii="Arial" w:hAnsi="Arial" w:cs="Arial"/>
          <w:sz w:val="18"/>
          <w:szCs w:val="18"/>
          <w:lang w:val="ro-RO"/>
        </w:rPr>
        <w:t xml:space="preserve">/M&amp;A în timp ce </w:t>
      </w:r>
      <w:proofErr w:type="spellStart"/>
      <w:r w:rsidRPr="00401EED">
        <w:rPr>
          <w:rFonts w:ascii="Arial" w:hAnsi="Arial" w:cs="Arial"/>
          <w:sz w:val="18"/>
          <w:szCs w:val="18"/>
          <w:lang w:val="ro-RO"/>
        </w:rPr>
        <w:t>Chambers</w:t>
      </w:r>
      <w:proofErr w:type="spellEnd"/>
      <w:r w:rsidRPr="00401EED">
        <w:rPr>
          <w:rFonts w:ascii="Arial" w:hAnsi="Arial" w:cs="Arial"/>
          <w:sz w:val="18"/>
          <w:szCs w:val="18"/>
          <w:lang w:val="ro-RO"/>
        </w:rPr>
        <w:t xml:space="preserve"> Europe 2019 și 2020 au plasat practica noastră de Controverse și Dispute Fiscale pe banda 1. Totodată, The Legal 500 Europe, </w:t>
      </w:r>
      <w:proofErr w:type="spellStart"/>
      <w:r w:rsidRPr="00401EED">
        <w:rPr>
          <w:rFonts w:ascii="Arial" w:hAnsi="Arial" w:cs="Arial"/>
          <w:sz w:val="18"/>
          <w:szCs w:val="18"/>
          <w:lang w:val="ro-RO"/>
        </w:rPr>
        <w:t>Middle</w:t>
      </w:r>
      <w:proofErr w:type="spellEnd"/>
      <w:r w:rsidRPr="00401EED">
        <w:rPr>
          <w:rFonts w:ascii="Arial" w:hAnsi="Arial" w:cs="Arial"/>
          <w:sz w:val="18"/>
          <w:szCs w:val="18"/>
          <w:lang w:val="ro-RO"/>
        </w:rPr>
        <w:t xml:space="preserve"> </w:t>
      </w:r>
      <w:proofErr w:type="spellStart"/>
      <w:r w:rsidRPr="00401EED">
        <w:rPr>
          <w:rFonts w:ascii="Arial" w:hAnsi="Arial" w:cs="Arial"/>
          <w:sz w:val="18"/>
          <w:szCs w:val="18"/>
          <w:lang w:val="ro-RO"/>
        </w:rPr>
        <w:t>East</w:t>
      </w:r>
      <w:proofErr w:type="spellEnd"/>
      <w:r w:rsidRPr="00401EED">
        <w:rPr>
          <w:rFonts w:ascii="Arial" w:hAnsi="Arial" w:cs="Arial"/>
          <w:sz w:val="18"/>
          <w:szCs w:val="18"/>
          <w:lang w:val="ro-RO"/>
        </w:rPr>
        <w:t xml:space="preserve"> </w:t>
      </w:r>
      <w:proofErr w:type="spellStart"/>
      <w:r w:rsidRPr="00401EED">
        <w:rPr>
          <w:rFonts w:ascii="Arial" w:hAnsi="Arial" w:cs="Arial"/>
          <w:sz w:val="18"/>
          <w:szCs w:val="18"/>
          <w:lang w:val="ro-RO"/>
        </w:rPr>
        <w:t>and</w:t>
      </w:r>
      <w:proofErr w:type="spellEnd"/>
      <w:r w:rsidRPr="00401EED">
        <w:rPr>
          <w:rFonts w:ascii="Arial" w:hAnsi="Arial" w:cs="Arial"/>
          <w:sz w:val="18"/>
          <w:szCs w:val="18"/>
          <w:lang w:val="ro-RO"/>
        </w:rPr>
        <w:t xml:space="preserve"> Africa 2019 și 2020 au premiat practica noastră de Drept Comercial, Drept Societar și M&amp;A, ediția 2020 plasând practica de Controverse și Dispute Fiscale pe poziția 1.</w:t>
      </w:r>
    </w:p>
    <w:p w14:paraId="6E3BF15D" w14:textId="300E5856" w:rsidR="00743C1B" w:rsidRPr="008B41A0" w:rsidRDefault="00743C1B" w:rsidP="008B41A0">
      <w:pPr>
        <w:spacing w:after="0" w:line="240" w:lineRule="auto"/>
        <w:rPr>
          <w:rFonts w:ascii="Arial" w:hAnsi="Arial" w:cs="Arial"/>
          <w:sz w:val="18"/>
          <w:szCs w:val="18"/>
          <w:lang w:val="ro-RO"/>
        </w:rPr>
      </w:pPr>
      <w:r w:rsidRPr="00401EED">
        <w:rPr>
          <w:rFonts w:ascii="Arial" w:hAnsi="Arial" w:cs="Arial"/>
          <w:sz w:val="18"/>
          <w:szCs w:val="18"/>
          <w:lang w:val="ro-RO"/>
        </w:rPr>
        <w:t xml:space="preserve">Pentru informații suplimentare cu privire la societatea noastră de avocați vă rugăm accesați </w:t>
      </w:r>
      <w:hyperlink r:id="rId12" w:history="1">
        <w:r w:rsidR="00AD7CDA" w:rsidRPr="00401EED">
          <w:rPr>
            <w:rStyle w:val="Hyperlink"/>
            <w:rFonts w:ascii="Arial" w:hAnsi="Arial" w:cs="Arial"/>
            <w:sz w:val="18"/>
            <w:szCs w:val="18"/>
            <w:lang w:val="ro-RO"/>
          </w:rPr>
          <w:t>www.ra-law.ro</w:t>
        </w:r>
      </w:hyperlink>
      <w:r w:rsidR="00AD7CDA" w:rsidRPr="00401EED">
        <w:rPr>
          <w:rFonts w:ascii="Arial" w:hAnsi="Arial" w:cs="Arial"/>
          <w:sz w:val="18"/>
          <w:szCs w:val="18"/>
          <w:lang w:val="ro-RO"/>
        </w:rPr>
        <w:t xml:space="preserve">. </w:t>
      </w:r>
    </w:p>
    <w:sectPr w:rsidR="00743C1B" w:rsidRPr="008B41A0" w:rsidSect="006B533F">
      <w:headerReference w:type="default" r:id="rId13"/>
      <w:pgSz w:w="12240" w:h="15840"/>
      <w:pgMar w:top="0" w:right="1152" w:bottom="115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F0CC6" w14:textId="77777777" w:rsidR="001F3D8F" w:rsidRDefault="001F3D8F" w:rsidP="00A05E84">
      <w:pPr>
        <w:spacing w:after="0" w:line="240" w:lineRule="auto"/>
      </w:pPr>
      <w:r>
        <w:separator/>
      </w:r>
    </w:p>
  </w:endnote>
  <w:endnote w:type="continuationSeparator" w:id="0">
    <w:p w14:paraId="064FE584" w14:textId="77777777" w:rsidR="001F3D8F" w:rsidRDefault="001F3D8F" w:rsidP="00A05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YInterstate">
    <w:altName w:val="Corbel"/>
    <w:charset w:val="00"/>
    <w:family w:val="auto"/>
    <w:pitch w:val="variable"/>
    <w:sig w:usb0="800002AF" w:usb1="5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81F8D" w14:textId="77777777" w:rsidR="001F3D8F" w:rsidRDefault="001F3D8F" w:rsidP="00A05E84">
      <w:pPr>
        <w:spacing w:after="0" w:line="240" w:lineRule="auto"/>
      </w:pPr>
      <w:r>
        <w:separator/>
      </w:r>
    </w:p>
  </w:footnote>
  <w:footnote w:type="continuationSeparator" w:id="0">
    <w:p w14:paraId="63979954" w14:textId="77777777" w:rsidR="001F3D8F" w:rsidRDefault="001F3D8F" w:rsidP="00A05E84">
      <w:pPr>
        <w:spacing w:after="0" w:line="240" w:lineRule="auto"/>
      </w:pPr>
      <w:r>
        <w:continuationSeparator/>
      </w:r>
    </w:p>
  </w:footnote>
  <w:footnote w:id="1">
    <w:p w14:paraId="45B8F5B3" w14:textId="77777777" w:rsidR="00401EED" w:rsidRPr="00401EED" w:rsidRDefault="00401EED" w:rsidP="00401EED">
      <w:pPr>
        <w:pStyle w:val="Textnotdesubsol"/>
        <w:jc w:val="both"/>
        <w:rPr>
          <w:rFonts w:ascii="Arial" w:hAnsi="Arial" w:cs="Arial"/>
          <w:sz w:val="16"/>
          <w:szCs w:val="16"/>
          <w:lang w:val="ro-RO"/>
        </w:rPr>
      </w:pPr>
      <w:r w:rsidRPr="00401EED">
        <w:rPr>
          <w:rStyle w:val="Referinnotdesubsol"/>
          <w:rFonts w:ascii="Arial" w:hAnsi="Arial" w:cs="Arial"/>
          <w:sz w:val="16"/>
          <w:szCs w:val="16"/>
          <w:lang w:val="ro-RO"/>
        </w:rPr>
        <w:footnoteRef/>
      </w:r>
      <w:r w:rsidRPr="00401EED">
        <w:rPr>
          <w:rFonts w:ascii="Arial" w:hAnsi="Arial" w:cs="Arial"/>
          <w:sz w:val="16"/>
          <w:szCs w:val="16"/>
          <w:lang w:val="ro-RO"/>
        </w:rPr>
        <w:t xml:space="preserve"> A se vedea Manualul pentru derularea eficientă a procedurilor amiabile emis de OCDE, aliniatul 1.1.2, disponibil în limba engleză la </w:t>
      </w:r>
      <w:hyperlink r:id="rId1" w:history="1">
        <w:r w:rsidRPr="00401EED">
          <w:rPr>
            <w:rStyle w:val="Hyperlink"/>
            <w:rFonts w:ascii="Arial" w:hAnsi="Arial" w:cs="Arial"/>
            <w:sz w:val="16"/>
            <w:szCs w:val="16"/>
            <w:lang w:val="ro-RO"/>
          </w:rPr>
          <w:t>https://www.oecd.org/ctp/transfer-pricing/1background-11whatisataxconvention-112doubletaxation-juridicalandeconomic.htm</w:t>
        </w:r>
      </w:hyperlink>
      <w:r w:rsidRPr="00401EED">
        <w:rPr>
          <w:rFonts w:ascii="Arial" w:hAnsi="Arial" w:cs="Arial"/>
          <w:sz w:val="16"/>
          <w:szCs w:val="16"/>
          <w:lang w:val="ro-RO"/>
        </w:rPr>
        <w:t xml:space="preserve"> </w:t>
      </w:r>
    </w:p>
  </w:footnote>
  <w:footnote w:id="2">
    <w:p w14:paraId="63B69DC1" w14:textId="77777777" w:rsidR="00401EED" w:rsidRPr="00E829AB" w:rsidRDefault="00401EED" w:rsidP="00401EED">
      <w:pPr>
        <w:pStyle w:val="Textnotdesubsol"/>
        <w:jc w:val="both"/>
        <w:rPr>
          <w:rFonts w:ascii="EYInterstate" w:hAnsi="EYInterstate"/>
          <w:sz w:val="16"/>
          <w:szCs w:val="16"/>
          <w:lang w:val="ro-RO"/>
        </w:rPr>
      </w:pPr>
      <w:r w:rsidRPr="00401EED">
        <w:rPr>
          <w:rStyle w:val="Referinnotdesubsol"/>
          <w:rFonts w:ascii="Arial" w:hAnsi="Arial" w:cs="Arial"/>
          <w:sz w:val="16"/>
          <w:szCs w:val="16"/>
          <w:lang w:val="ro-RO"/>
        </w:rPr>
        <w:footnoteRef/>
      </w:r>
      <w:r w:rsidRPr="00401EED">
        <w:rPr>
          <w:rFonts w:ascii="Arial" w:hAnsi="Arial" w:cs="Arial"/>
          <w:sz w:val="16"/>
          <w:szCs w:val="16"/>
          <w:lang w:val="ro-RO"/>
        </w:rPr>
        <w:t xml:space="preserve"> Manualul pentru derularea eficientă a procedurilor amiabile emis de OCDE, aliniatul 1.1.2.</w:t>
      </w:r>
    </w:p>
  </w:footnote>
  <w:footnote w:id="3">
    <w:p w14:paraId="6FCEEB1F" w14:textId="06551256" w:rsidR="00401EED" w:rsidRPr="00401EED" w:rsidRDefault="00401EED" w:rsidP="00401EED">
      <w:pPr>
        <w:pStyle w:val="Textnotdesubsol"/>
        <w:rPr>
          <w:rFonts w:ascii="Arial" w:hAnsi="Arial" w:cs="Arial"/>
          <w:sz w:val="16"/>
          <w:szCs w:val="16"/>
          <w:lang w:val="ro-RO"/>
        </w:rPr>
      </w:pPr>
      <w:r w:rsidRPr="00401EED">
        <w:rPr>
          <w:rStyle w:val="Referinnotdesubsol"/>
          <w:rFonts w:ascii="Arial" w:hAnsi="Arial" w:cs="Arial"/>
          <w:sz w:val="16"/>
          <w:szCs w:val="16"/>
        </w:rPr>
        <w:footnoteRef/>
      </w:r>
      <w:r w:rsidRPr="00401EED">
        <w:rPr>
          <w:rFonts w:ascii="Arial" w:hAnsi="Arial" w:cs="Arial"/>
          <w:sz w:val="16"/>
          <w:szCs w:val="16"/>
        </w:rPr>
        <w:t xml:space="preserve"> </w:t>
      </w:r>
      <w:r w:rsidRPr="00401EED">
        <w:rPr>
          <w:rFonts w:ascii="Arial" w:hAnsi="Arial" w:cs="Arial"/>
          <w:sz w:val="16"/>
          <w:szCs w:val="16"/>
          <w:lang w:val="ro-RO"/>
        </w:rPr>
        <w:t xml:space="preserve">Trebuie subliniat că nu există în acest moment o sub-specializare recunoscută a experților judiciari în fiscalitate pentru zona prețurilor de transfer. </w:t>
      </w:r>
      <w:r w:rsidRPr="00401EED">
        <w:rPr>
          <w:rFonts w:ascii="Arial" w:hAnsi="Arial" w:cs="Arial"/>
          <w:sz w:val="16"/>
          <w:szCs w:val="16"/>
          <w:lang w:val="ro-RO"/>
        </w:rPr>
        <w:t xml:space="preserve">Există o listă a experților fiscali „care și-au exprimat disponibilitatea de a efectua expertize fiscale judiciare în domeniul prețurilor de transfer” creată de Camera Consultanților Fiscali (disponibila la: </w:t>
      </w:r>
      <w:hyperlink r:id="rId2" w:history="1">
        <w:r w:rsidRPr="00401EED">
          <w:rPr>
            <w:rStyle w:val="Hyperlink"/>
            <w:rFonts w:ascii="Arial" w:hAnsi="Arial" w:cs="Arial"/>
            <w:sz w:val="16"/>
            <w:szCs w:val="16"/>
            <w:lang w:val="ro-RO"/>
          </w:rPr>
          <w:t>https://www.ccfiscali.ro/optiuni-expertize-fiscale</w:t>
        </w:r>
      </w:hyperlink>
      <w:r w:rsidRPr="00401EED">
        <w:rPr>
          <w:rFonts w:ascii="Arial" w:hAnsi="Arial" w:cs="Arial"/>
          <w:sz w:val="16"/>
          <w:szCs w:val="16"/>
          <w:lang w:val="ro-RO"/>
        </w:rPr>
        <w:t>) care însă nu garantează că persoanele respective sunt specialiști în acest domeniu dar cel puțin că vor să trate</w:t>
      </w:r>
      <w:r w:rsidR="003320C1">
        <w:rPr>
          <w:rFonts w:ascii="Arial" w:hAnsi="Arial" w:cs="Arial"/>
          <w:sz w:val="16"/>
          <w:szCs w:val="16"/>
          <w:lang w:val="ro-RO"/>
        </w:rPr>
        <w:t>ze cu atenție asemenea probleme.</w:t>
      </w:r>
    </w:p>
  </w:footnote>
  <w:footnote w:id="4">
    <w:p w14:paraId="701F07AF" w14:textId="08AD0F7D" w:rsidR="00401EED" w:rsidRPr="00F33F0B" w:rsidRDefault="00401EED" w:rsidP="00401EED">
      <w:pPr>
        <w:pStyle w:val="Textnotdesubsol"/>
        <w:rPr>
          <w:lang w:val="ro-RO"/>
        </w:rPr>
      </w:pPr>
      <w:r w:rsidRPr="00401EED">
        <w:rPr>
          <w:rStyle w:val="Referinnotdesubsol"/>
          <w:rFonts w:ascii="Arial" w:hAnsi="Arial" w:cs="Arial"/>
          <w:sz w:val="16"/>
          <w:szCs w:val="16"/>
        </w:rPr>
        <w:footnoteRef/>
      </w:r>
      <w:r w:rsidRPr="00401EED">
        <w:rPr>
          <w:rFonts w:ascii="Arial" w:hAnsi="Arial" w:cs="Arial"/>
          <w:sz w:val="16"/>
          <w:szCs w:val="16"/>
        </w:rPr>
        <w:t xml:space="preserve"> </w:t>
      </w:r>
      <w:r w:rsidRPr="00401EED">
        <w:rPr>
          <w:rFonts w:ascii="Arial" w:hAnsi="Arial" w:cs="Arial"/>
          <w:sz w:val="16"/>
          <w:szCs w:val="16"/>
          <w:lang w:val="ro-RO"/>
        </w:rPr>
        <w:t>În art. 1 se precizează că „</w:t>
      </w:r>
      <w:r w:rsidRPr="00401EED">
        <w:rPr>
          <w:rFonts w:ascii="Arial" w:hAnsi="Arial" w:cs="Arial"/>
          <w:i/>
          <w:iCs/>
          <w:sz w:val="16"/>
          <w:szCs w:val="16"/>
          <w:lang w:val="ro-RO"/>
        </w:rPr>
        <w:t xml:space="preserve">Prezenta convenție se aplică în cazul în care, în scopul impunerii, profiturile care sunt incluse în profiturile unei întreprinderi a unui stat contractant sunt sau urmează să fie, de asemenea, incluse în profiturile unei întreprinderi a unui alt stat contractant </w:t>
      </w:r>
      <w:r w:rsidRPr="00401EED">
        <w:rPr>
          <w:rFonts w:ascii="Arial" w:hAnsi="Arial" w:cs="Arial"/>
          <w:i/>
          <w:iCs/>
          <w:sz w:val="16"/>
          <w:szCs w:val="16"/>
        </w:rPr>
        <w:t>[…]</w:t>
      </w:r>
      <w:r w:rsidRPr="00401EED">
        <w:rPr>
          <w:rFonts w:ascii="Arial" w:hAnsi="Arial" w:cs="Arial"/>
          <w:sz w:val="16"/>
          <w:szCs w:val="16"/>
          <w:lang w:val="ro-RO"/>
        </w:rPr>
        <w:t>”</w:t>
      </w:r>
      <w:r w:rsidR="003320C1">
        <w:rPr>
          <w:rFonts w:ascii="Arial" w:hAnsi="Arial" w:cs="Arial"/>
          <w:sz w:val="16"/>
          <w:szCs w:val="16"/>
          <w:lang w:val="ro-RO"/>
        </w:rPr>
        <w:t>.</w:t>
      </w:r>
      <w:bookmarkStart w:id="1" w:name="_GoBack"/>
      <w:bookmarkEnd w:id="1"/>
    </w:p>
  </w:footnote>
  <w:footnote w:id="5">
    <w:p w14:paraId="7176B57D" w14:textId="64DD7192" w:rsidR="00401EED" w:rsidRPr="00401EED" w:rsidRDefault="00401EED" w:rsidP="00401EED">
      <w:pPr>
        <w:pStyle w:val="Textnotdesubsol"/>
        <w:rPr>
          <w:sz w:val="16"/>
          <w:szCs w:val="16"/>
          <w:lang w:val="ro-RO"/>
        </w:rPr>
      </w:pPr>
      <w:r w:rsidRPr="00401EED">
        <w:rPr>
          <w:rStyle w:val="Referinnotdesubsol"/>
          <w:sz w:val="16"/>
          <w:szCs w:val="16"/>
        </w:rPr>
        <w:footnoteRef/>
      </w:r>
      <w:r w:rsidRPr="00401EED">
        <w:rPr>
          <w:sz w:val="16"/>
          <w:szCs w:val="16"/>
          <w:lang w:val="ro-RO"/>
        </w:rPr>
        <w:t xml:space="preserve"> </w:t>
      </w:r>
      <w:hyperlink r:id="rId3" w:history="1">
        <w:r w:rsidRPr="00401EED">
          <w:rPr>
            <w:rStyle w:val="Hyperlink"/>
            <w:sz w:val="16"/>
            <w:szCs w:val="16"/>
            <w:lang w:val="ro-RO"/>
          </w:rPr>
          <w:t>https://static.anaf.ro/static/10/Anaf/Informatii_R/Raport_performanta_07072020.pdf</w:t>
        </w:r>
      </w:hyperlink>
      <w:r w:rsidR="003320C1">
        <w:rPr>
          <w:rStyle w:val="Hyperlink"/>
          <w:sz w:val="16"/>
          <w:szCs w:val="16"/>
          <w:lang w:val="ro-RO"/>
        </w:rPr>
        <w:t>.</w:t>
      </w:r>
    </w:p>
  </w:footnote>
  <w:footnote w:id="6">
    <w:p w14:paraId="721D726B" w14:textId="20B7BA9B" w:rsidR="00401EED" w:rsidRPr="000A55B8" w:rsidRDefault="00401EED" w:rsidP="00401EED">
      <w:pPr>
        <w:pStyle w:val="Textnotdesubsol"/>
        <w:rPr>
          <w:lang w:val="ro-RO"/>
        </w:rPr>
      </w:pPr>
      <w:r w:rsidRPr="00401EED">
        <w:rPr>
          <w:rStyle w:val="Referinnotdesubsol"/>
          <w:sz w:val="16"/>
          <w:szCs w:val="16"/>
        </w:rPr>
        <w:footnoteRef/>
      </w:r>
      <w:r w:rsidRPr="00401EED">
        <w:rPr>
          <w:sz w:val="16"/>
          <w:szCs w:val="16"/>
          <w:lang w:val="ro-RO"/>
        </w:rPr>
        <w:t xml:space="preserve"> </w:t>
      </w:r>
      <w:hyperlink r:id="rId4" w:history="1">
        <w:r w:rsidRPr="00401EED">
          <w:rPr>
            <w:rStyle w:val="Hyperlink"/>
            <w:sz w:val="16"/>
            <w:szCs w:val="16"/>
            <w:lang w:val="ro-RO"/>
          </w:rPr>
          <w:t>https://static.anaf.ro/static/10/Anaf/Informatii_R/Raport_activitateS1_11122020.pdf</w:t>
        </w:r>
      </w:hyperlink>
      <w:r w:rsidR="003320C1">
        <w:rPr>
          <w:lang w:val="ro-RO"/>
        </w:rPr>
        <w:t>.</w:t>
      </w:r>
    </w:p>
  </w:footnote>
  <w:footnote w:id="7">
    <w:p w14:paraId="6EBB765E" w14:textId="130FEC00" w:rsidR="00401EED" w:rsidRPr="00401EED" w:rsidRDefault="00401EED" w:rsidP="00401EED">
      <w:pPr>
        <w:pStyle w:val="Textnotdesubsol"/>
        <w:rPr>
          <w:rFonts w:ascii="Arial" w:hAnsi="Arial" w:cs="Arial"/>
          <w:sz w:val="16"/>
          <w:szCs w:val="16"/>
          <w:lang w:val="ro-RO"/>
        </w:rPr>
      </w:pPr>
      <w:r w:rsidRPr="00401EED">
        <w:rPr>
          <w:rStyle w:val="Referinnotdesubsol"/>
          <w:rFonts w:ascii="Arial" w:hAnsi="Arial" w:cs="Arial"/>
          <w:sz w:val="16"/>
          <w:szCs w:val="16"/>
        </w:rPr>
        <w:footnoteRef/>
      </w:r>
      <w:r w:rsidRPr="00401EED">
        <w:rPr>
          <w:rFonts w:ascii="Arial" w:hAnsi="Arial" w:cs="Arial"/>
          <w:sz w:val="16"/>
          <w:szCs w:val="16"/>
        </w:rPr>
        <w:t xml:space="preserve"> </w:t>
      </w:r>
      <w:r w:rsidRPr="00401EED">
        <w:rPr>
          <w:rFonts w:ascii="Arial" w:hAnsi="Arial" w:cs="Arial"/>
          <w:sz w:val="16"/>
          <w:szCs w:val="16"/>
          <w:lang w:val="ro-RO"/>
        </w:rPr>
        <w:t xml:space="preserve">Mai recent, a se vedea și </w:t>
      </w:r>
      <w:r w:rsidRPr="00401EED">
        <w:rPr>
          <w:rFonts w:ascii="Arial" w:hAnsi="Arial" w:cs="Arial"/>
          <w:sz w:val="16"/>
          <w:szCs w:val="16"/>
        </w:rPr>
        <w:t xml:space="preserve">OECD (2019), </w:t>
      </w:r>
      <w:r w:rsidR="003320C1">
        <w:rPr>
          <w:rFonts w:ascii="Arial" w:hAnsi="Arial" w:cs="Arial"/>
          <w:sz w:val="16"/>
          <w:szCs w:val="16"/>
        </w:rPr>
        <w:t>„</w:t>
      </w:r>
      <w:r w:rsidRPr="00401EED">
        <w:rPr>
          <w:rFonts w:ascii="Arial" w:hAnsi="Arial" w:cs="Arial"/>
          <w:sz w:val="16"/>
          <w:szCs w:val="16"/>
        </w:rPr>
        <w:t xml:space="preserve">Joint Audits within international tax co-operation”, in </w:t>
      </w:r>
      <w:r w:rsidRPr="00401EED">
        <w:rPr>
          <w:rFonts w:ascii="Arial" w:hAnsi="Arial" w:cs="Arial"/>
          <w:i/>
          <w:sz w:val="16"/>
          <w:szCs w:val="16"/>
        </w:rPr>
        <w:t>Joint Audit 2019 – Enhancing Tax Co-operation and Improving Tax Certainty: Forum on Tax Administration</w:t>
      </w:r>
      <w:r w:rsidRPr="00401EED">
        <w:rPr>
          <w:rFonts w:ascii="Arial" w:hAnsi="Arial" w:cs="Arial"/>
          <w:sz w:val="16"/>
          <w:szCs w:val="16"/>
        </w:rPr>
        <w:t>, OECD Publishing, Paris</w:t>
      </w:r>
      <w:r w:rsidR="003320C1">
        <w:rPr>
          <w:rFonts w:ascii="Arial" w:hAnsi="Arial" w:cs="Arial"/>
          <w:sz w:val="16"/>
          <w:szCs w:val="16"/>
        </w:rPr>
        <w:t>.</w:t>
      </w:r>
    </w:p>
  </w:footnote>
  <w:footnote w:id="8">
    <w:p w14:paraId="28B8EBF6" w14:textId="272553E8" w:rsidR="00401EED" w:rsidRPr="00656959" w:rsidRDefault="00401EED" w:rsidP="00401EED">
      <w:pPr>
        <w:pStyle w:val="Textnotdesubsol"/>
        <w:rPr>
          <w:lang w:val="ro-RO"/>
        </w:rPr>
      </w:pPr>
      <w:r w:rsidRPr="00401EED">
        <w:rPr>
          <w:rStyle w:val="Referinnotdesubsol"/>
          <w:rFonts w:ascii="Arial" w:hAnsi="Arial" w:cs="Arial"/>
          <w:sz w:val="16"/>
          <w:szCs w:val="16"/>
        </w:rPr>
        <w:footnoteRef/>
      </w:r>
      <w:r w:rsidRPr="00401EED">
        <w:rPr>
          <w:rFonts w:ascii="Arial" w:hAnsi="Arial" w:cs="Arial"/>
          <w:sz w:val="16"/>
          <w:szCs w:val="16"/>
        </w:rPr>
        <w:t xml:space="preserve"> </w:t>
      </w:r>
      <w:r w:rsidRPr="00401EED">
        <w:rPr>
          <w:rFonts w:ascii="Arial" w:hAnsi="Arial" w:cs="Arial"/>
          <w:sz w:val="16"/>
          <w:szCs w:val="16"/>
          <w:lang w:val="ro-RO"/>
        </w:rPr>
        <w:t>A se vedea art. 7 din Regulamentul (UE) nr. 1286/2013 al Parlamentului European și al Consiliului de instituire a unui program de acțiune pentru a îmbunătăți funcționarea sistemelor de impozitare în Uniunea Europeană pentru perioada 2014-2020 (</w:t>
      </w:r>
      <w:proofErr w:type="spellStart"/>
      <w:r w:rsidRPr="00401EED">
        <w:rPr>
          <w:rFonts w:ascii="Arial" w:hAnsi="Arial" w:cs="Arial"/>
          <w:sz w:val="16"/>
          <w:szCs w:val="16"/>
          <w:lang w:val="ro-RO"/>
        </w:rPr>
        <w:t>Fiscalis</w:t>
      </w:r>
      <w:proofErr w:type="spellEnd"/>
      <w:r w:rsidRPr="00401EED">
        <w:rPr>
          <w:rFonts w:ascii="Arial" w:hAnsi="Arial" w:cs="Arial"/>
          <w:sz w:val="16"/>
          <w:szCs w:val="16"/>
          <w:lang w:val="ro-RO"/>
        </w:rPr>
        <w:t xml:space="preserve"> 2020) și de abrogare a Deciziei nr. 1482/2007/CE</w:t>
      </w:r>
      <w:r w:rsidR="003320C1">
        <w:rPr>
          <w:rFonts w:ascii="Arial" w:hAnsi="Arial" w:cs="Arial"/>
          <w:sz w:val="16"/>
          <w:szCs w:val="16"/>
          <w:lang w:val="ro-RO"/>
        </w:rPr>
        <w:t>.</w:t>
      </w:r>
    </w:p>
  </w:footnote>
  <w:footnote w:id="9">
    <w:p w14:paraId="594100ED" w14:textId="454410E4" w:rsidR="00401EED" w:rsidRPr="00401EED" w:rsidRDefault="00401EED" w:rsidP="00401EED">
      <w:pPr>
        <w:pStyle w:val="Textnotdesubsol"/>
        <w:rPr>
          <w:rFonts w:ascii="Arial" w:hAnsi="Arial" w:cs="Arial"/>
          <w:sz w:val="16"/>
          <w:szCs w:val="16"/>
          <w:lang w:val="ro-RO"/>
        </w:rPr>
      </w:pPr>
      <w:r w:rsidRPr="00401EED">
        <w:rPr>
          <w:rStyle w:val="Referinnotdesubsol"/>
          <w:rFonts w:ascii="Arial" w:hAnsi="Arial" w:cs="Arial"/>
          <w:sz w:val="16"/>
          <w:szCs w:val="16"/>
        </w:rPr>
        <w:footnoteRef/>
      </w:r>
      <w:r w:rsidRPr="00401EED">
        <w:rPr>
          <w:rFonts w:ascii="Arial" w:hAnsi="Arial" w:cs="Arial"/>
          <w:sz w:val="16"/>
          <w:szCs w:val="16"/>
          <w:lang w:val="ro-RO"/>
        </w:rPr>
        <w:t xml:space="preserve"> </w:t>
      </w:r>
      <w:r w:rsidRPr="00401EED">
        <w:rPr>
          <w:rFonts w:ascii="Arial" w:hAnsi="Arial" w:cs="Arial"/>
          <w:sz w:val="16"/>
          <w:szCs w:val="16"/>
          <w:lang w:val="ro-RO"/>
        </w:rPr>
        <w:t>https://static.anaf.ro/static/10/Anaf/Informatii_R/Raport_activitateS1_11122020.pdf</w:t>
      </w:r>
      <w:r w:rsidR="003320C1">
        <w:rPr>
          <w:rFonts w:ascii="Arial" w:hAnsi="Arial" w:cs="Arial"/>
          <w:sz w:val="16"/>
          <w:szCs w:val="16"/>
          <w:lang w:val="ro-RO"/>
        </w:rPr>
        <w:t>.</w:t>
      </w:r>
    </w:p>
  </w:footnote>
  <w:footnote w:id="10">
    <w:p w14:paraId="2DCD65A8" w14:textId="6D890B29" w:rsidR="00401EED" w:rsidRPr="00401EED" w:rsidRDefault="00401EED" w:rsidP="00401EED">
      <w:pPr>
        <w:pStyle w:val="Textnotdesubsol"/>
        <w:rPr>
          <w:rFonts w:ascii="Arial" w:hAnsi="Arial" w:cs="Arial"/>
          <w:sz w:val="16"/>
          <w:szCs w:val="16"/>
          <w:lang w:val="ro-RO"/>
        </w:rPr>
      </w:pPr>
      <w:r w:rsidRPr="00401EED">
        <w:rPr>
          <w:rStyle w:val="Referinnotdesubsol"/>
          <w:rFonts w:ascii="Arial" w:hAnsi="Arial" w:cs="Arial"/>
          <w:sz w:val="16"/>
          <w:szCs w:val="16"/>
        </w:rPr>
        <w:footnoteRef/>
      </w:r>
      <w:r w:rsidRPr="00401EED">
        <w:rPr>
          <w:rFonts w:ascii="Arial" w:hAnsi="Arial" w:cs="Arial"/>
          <w:sz w:val="16"/>
          <w:szCs w:val="16"/>
        </w:rPr>
        <w:t xml:space="preserve"> </w:t>
      </w:r>
      <w:r w:rsidRPr="00401EED">
        <w:rPr>
          <w:rFonts w:ascii="Arial" w:hAnsi="Arial" w:cs="Arial"/>
          <w:sz w:val="16"/>
          <w:szCs w:val="16"/>
          <w:lang w:val="ro-RO"/>
        </w:rPr>
        <w:t xml:space="preserve">Disponibile aici: </w:t>
      </w:r>
      <w:hyperlink r:id="rId5" w:history="1">
        <w:r w:rsidRPr="00401EED">
          <w:rPr>
            <w:rStyle w:val="Hyperlink"/>
            <w:rFonts w:ascii="Arial" w:hAnsi="Arial" w:cs="Arial"/>
            <w:sz w:val="16"/>
            <w:szCs w:val="16"/>
            <w:lang w:val="ro-RO"/>
          </w:rPr>
          <w:t>https://www.anaf.ro/anaf/internet/ANAF/despre_anaf/strategii_anaf/rapoarte_studii/!ut/p/a1/jZCxDoIwEIafhpU7QRp0w4XKBCYE6GLAlEIClJQqry-wmWjxtrt8X_LfDwxyYEP5akWpWzmU3bozcqcHSqjjOxHSBDHxLtebF8aIlCxAYQBOrskPj7jjI_nPxx8T4F7-DJgRWT8wAmvEDTBkiICJTlZbn0UwVK4vgClec8WV_VTLudF6nM4WWjjPsy2kFB23H7K38JvSyElD_knC2Kdpjm3cZ_70BjTR6b8!/dl5/d5/L2dBISEvZ0FBIS9nQSEh/</w:t>
        </w:r>
      </w:hyperlink>
      <w:r w:rsidR="003320C1">
        <w:rPr>
          <w:rStyle w:val="Hyperlink"/>
          <w:rFonts w:ascii="Arial" w:hAnsi="Arial" w:cs="Arial"/>
          <w:sz w:val="16"/>
          <w:szCs w:val="16"/>
          <w:lang w:val="ro-RO"/>
        </w:rPr>
        <w:t>.</w:t>
      </w:r>
    </w:p>
  </w:footnote>
  <w:footnote w:id="11">
    <w:p w14:paraId="3BC1A48A" w14:textId="3D7E08D3" w:rsidR="00401EED" w:rsidRPr="001D0FBC" w:rsidRDefault="00401EED" w:rsidP="00401EED">
      <w:pPr>
        <w:pStyle w:val="Textnotdesubsol"/>
        <w:rPr>
          <w:lang w:val="ro-RO"/>
        </w:rPr>
      </w:pPr>
      <w:r w:rsidRPr="00401EED">
        <w:rPr>
          <w:rStyle w:val="Referinnotdesubsol"/>
          <w:rFonts w:ascii="Arial" w:hAnsi="Arial" w:cs="Arial"/>
          <w:sz w:val="16"/>
          <w:szCs w:val="16"/>
        </w:rPr>
        <w:footnoteRef/>
      </w:r>
      <w:r w:rsidRPr="00401EED">
        <w:rPr>
          <w:rFonts w:ascii="Arial" w:hAnsi="Arial" w:cs="Arial"/>
          <w:sz w:val="16"/>
          <w:szCs w:val="16"/>
        </w:rPr>
        <w:t xml:space="preserve"> </w:t>
      </w:r>
      <w:proofErr w:type="spellStart"/>
      <w:r w:rsidRPr="00401EED">
        <w:rPr>
          <w:rFonts w:ascii="Arial" w:hAnsi="Arial" w:cs="Arial"/>
          <w:sz w:val="16"/>
          <w:szCs w:val="16"/>
        </w:rPr>
        <w:t>Disponibil</w:t>
      </w:r>
      <w:proofErr w:type="spellEnd"/>
      <w:r w:rsidRPr="00401EED">
        <w:rPr>
          <w:rFonts w:ascii="Arial" w:hAnsi="Arial" w:cs="Arial"/>
          <w:sz w:val="16"/>
          <w:szCs w:val="16"/>
        </w:rPr>
        <w:t xml:space="preserve"> </w:t>
      </w:r>
      <w:proofErr w:type="spellStart"/>
      <w:r w:rsidRPr="00401EED">
        <w:rPr>
          <w:rFonts w:ascii="Arial" w:hAnsi="Arial" w:cs="Arial"/>
          <w:sz w:val="16"/>
          <w:szCs w:val="16"/>
        </w:rPr>
        <w:t>aici</w:t>
      </w:r>
      <w:proofErr w:type="spellEnd"/>
      <w:r w:rsidRPr="00401EED">
        <w:rPr>
          <w:rFonts w:ascii="Arial" w:hAnsi="Arial" w:cs="Arial"/>
          <w:sz w:val="16"/>
          <w:szCs w:val="16"/>
        </w:rPr>
        <w:t xml:space="preserve">: </w:t>
      </w:r>
      <w:hyperlink r:id="rId6" w:history="1">
        <w:r w:rsidRPr="00401EED">
          <w:rPr>
            <w:rStyle w:val="Hyperlink"/>
            <w:rFonts w:ascii="Arial" w:hAnsi="Arial" w:cs="Arial"/>
            <w:sz w:val="16"/>
            <w:szCs w:val="16"/>
          </w:rPr>
          <w:t>https://ec.europa.eu/taxation_customs/sites/taxation/files/jtpf_report_on_a_coordinated_approach_to_transfer_pricing_controls_within_the_eu_en.pdf</w:t>
        </w:r>
      </w:hyperlink>
      <w:r w:rsidRPr="00401EED">
        <w:rPr>
          <w:sz w:val="22"/>
        </w:rPr>
        <w:t xml:space="preserve"> </w:t>
      </w:r>
      <w:r w:rsidR="003320C1">
        <w:rPr>
          <w:sz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DD000" w14:textId="6F324D22" w:rsidR="00A05E84" w:rsidRDefault="00A05E84">
    <w:pPr>
      <w:pStyle w:val="Antet"/>
    </w:pPr>
    <w:r>
      <w:rPr>
        <w:rFonts w:ascii="Times New Roman" w:hAnsi="Times New Roman"/>
        <w:noProof/>
        <w:sz w:val="24"/>
        <w:lang w:val="ro-RO" w:eastAsia="ro-RO"/>
      </w:rPr>
      <mc:AlternateContent>
        <mc:Choice Requires="wps">
          <w:drawing>
            <wp:anchor distT="0" distB="0" distL="114300" distR="114300" simplePos="0" relativeHeight="251659264" behindDoc="0" locked="1" layoutInCell="1" allowOverlap="1" wp14:anchorId="77C601BE" wp14:editId="023DC18D">
              <wp:simplePos x="0" y="0"/>
              <wp:positionH relativeFrom="page">
                <wp:posOffset>3610610</wp:posOffset>
              </wp:positionH>
              <wp:positionV relativeFrom="page">
                <wp:posOffset>377190</wp:posOffset>
              </wp:positionV>
              <wp:extent cx="3962400" cy="571500"/>
              <wp:effectExtent l="0" t="0" r="0" b="0"/>
              <wp:wrapSquare wrapText="bothSides"/>
              <wp:docPr id="10" name="Casetă tex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142"/>
                            <w:gridCol w:w="2835"/>
                          </w:tblGrid>
                          <w:tr w:rsidR="00A05E84" w14:paraId="49DFFA5E" w14:textId="77777777">
                            <w:tc>
                              <w:tcPr>
                                <w:tcW w:w="3119" w:type="dxa"/>
                                <w:hideMark/>
                              </w:tcPr>
                              <w:p w14:paraId="5AB2ABCA" w14:textId="77777777" w:rsidR="00A05E84" w:rsidRDefault="00A05E84">
                                <w:pPr>
                                  <w:pStyle w:val="EYBusinessaddress"/>
                                  <w:rPr>
                                    <w:color w:val="auto"/>
                                    <w:lang w:val="ro-RO"/>
                                  </w:rPr>
                                </w:pPr>
                                <w:r>
                                  <w:rPr>
                                    <w:color w:val="auto"/>
                                    <w:lang w:val="ro-RO"/>
                                  </w:rPr>
                                  <w:t>Radu si Asociații SPRL</w:t>
                                </w:r>
                              </w:p>
                              <w:p w14:paraId="137541E5" w14:textId="77777777" w:rsidR="00A05E84" w:rsidRDefault="00A05E84">
                                <w:pPr>
                                  <w:pStyle w:val="EYBusinessaddress"/>
                                  <w:rPr>
                                    <w:color w:val="auto"/>
                                    <w:lang w:val="ro-RO"/>
                                  </w:rPr>
                                </w:pPr>
                                <w:proofErr w:type="spellStart"/>
                                <w:r>
                                  <w:rPr>
                                    <w:color w:val="auto"/>
                                    <w:lang w:val="ro-RO"/>
                                  </w:rPr>
                                  <w:t>Bucharest</w:t>
                                </w:r>
                                <w:proofErr w:type="spellEnd"/>
                                <w:r>
                                  <w:rPr>
                                    <w:color w:val="auto"/>
                                    <w:lang w:val="ro-RO"/>
                                  </w:rPr>
                                  <w:t xml:space="preserve"> </w:t>
                                </w:r>
                                <w:proofErr w:type="spellStart"/>
                                <w:r>
                                  <w:rPr>
                                    <w:color w:val="auto"/>
                                    <w:lang w:val="ro-RO"/>
                                  </w:rPr>
                                  <w:t>Tower</w:t>
                                </w:r>
                                <w:proofErr w:type="spellEnd"/>
                                <w:r>
                                  <w:rPr>
                                    <w:color w:val="auto"/>
                                    <w:lang w:val="ro-RO"/>
                                  </w:rPr>
                                  <w:t xml:space="preserve"> Center Building, 22</w:t>
                                </w:r>
                                <w:r>
                                  <w:rPr>
                                    <w:color w:val="auto"/>
                                    <w:vertAlign w:val="superscript"/>
                                    <w:lang w:val="ro-RO"/>
                                  </w:rPr>
                                  <w:t>nd</w:t>
                                </w:r>
                                <w:r>
                                  <w:rPr>
                                    <w:color w:val="auto"/>
                                    <w:lang w:val="ro-RO"/>
                                  </w:rPr>
                                  <w:t xml:space="preserve"> </w:t>
                                </w:r>
                                <w:proofErr w:type="spellStart"/>
                                <w:r>
                                  <w:rPr>
                                    <w:color w:val="auto"/>
                                    <w:lang w:val="ro-RO"/>
                                  </w:rPr>
                                  <w:t>Floor</w:t>
                                </w:r>
                                <w:proofErr w:type="spellEnd"/>
                              </w:p>
                              <w:p w14:paraId="146DBC0B" w14:textId="77777777" w:rsidR="00A05E84" w:rsidRDefault="00A05E84">
                                <w:pPr>
                                  <w:pStyle w:val="EYBusinessaddress"/>
                                  <w:rPr>
                                    <w:color w:val="auto"/>
                                    <w:lang w:val="ro-RO"/>
                                  </w:rPr>
                                </w:pPr>
                                <w:r>
                                  <w:rPr>
                                    <w:color w:val="auto"/>
                                    <w:lang w:val="ro-RO"/>
                                  </w:rPr>
                                  <w:t xml:space="preserve">15-17 Ion Mihalache </w:t>
                                </w:r>
                                <w:proofErr w:type="spellStart"/>
                                <w:r>
                                  <w:rPr>
                                    <w:color w:val="auto"/>
                                    <w:lang w:val="ro-RO"/>
                                  </w:rPr>
                                  <w:t>Blvd</w:t>
                                </w:r>
                                <w:proofErr w:type="spellEnd"/>
                                <w:r>
                                  <w:rPr>
                                    <w:color w:val="auto"/>
                                    <w:lang w:val="ro-RO"/>
                                  </w:rPr>
                                  <w:t>., Sector 1</w:t>
                                </w:r>
                              </w:p>
                              <w:p w14:paraId="50D3C145" w14:textId="77777777" w:rsidR="00A05E84" w:rsidRDefault="00A05E84">
                                <w:pPr>
                                  <w:pStyle w:val="EYBusinessaddress"/>
                                  <w:rPr>
                                    <w:color w:val="auto"/>
                                    <w:lang w:val="ro-RO"/>
                                  </w:rPr>
                                </w:pPr>
                                <w:r>
                                  <w:rPr>
                                    <w:color w:val="auto"/>
                                    <w:lang w:val="ro-RO"/>
                                  </w:rPr>
                                  <w:t xml:space="preserve">011171 </w:t>
                                </w:r>
                                <w:proofErr w:type="spellStart"/>
                                <w:r>
                                  <w:rPr>
                                    <w:color w:val="auto"/>
                                    <w:lang w:val="ro-RO"/>
                                  </w:rPr>
                                  <w:t>Bucharest</w:t>
                                </w:r>
                                <w:proofErr w:type="spellEnd"/>
                                <w:r>
                                  <w:rPr>
                                    <w:color w:val="auto"/>
                                    <w:lang w:val="ro-RO"/>
                                  </w:rPr>
                                  <w:t>, Romania</w:t>
                                </w:r>
                              </w:p>
                            </w:tc>
                            <w:tc>
                              <w:tcPr>
                                <w:tcW w:w="142" w:type="dxa"/>
                              </w:tcPr>
                              <w:p w14:paraId="66AA54A6" w14:textId="77777777" w:rsidR="00A05E84" w:rsidRDefault="00A05E84">
                                <w:pPr>
                                  <w:pStyle w:val="EYBusinessaddress"/>
                                  <w:rPr>
                                    <w:color w:val="auto"/>
                                    <w:lang w:val="ro-RO"/>
                                  </w:rPr>
                                </w:pPr>
                              </w:p>
                            </w:tc>
                            <w:tc>
                              <w:tcPr>
                                <w:tcW w:w="2835" w:type="dxa"/>
                                <w:hideMark/>
                              </w:tcPr>
                              <w:p w14:paraId="2F7E4351" w14:textId="77777777" w:rsidR="00A05E84" w:rsidRDefault="00A05E84">
                                <w:pPr>
                                  <w:pStyle w:val="EYBusinessaddress"/>
                                  <w:rPr>
                                    <w:color w:val="auto"/>
                                    <w:lang w:val="ro-RO"/>
                                  </w:rPr>
                                </w:pPr>
                                <w:r>
                                  <w:rPr>
                                    <w:color w:val="auto"/>
                                    <w:lang w:val="ro-RO"/>
                                  </w:rPr>
                                  <w:t>Tel:  +40 21 402 4000</w:t>
                                </w:r>
                              </w:p>
                              <w:p w14:paraId="19E93A31" w14:textId="77777777" w:rsidR="00A05E84" w:rsidRDefault="00A05E84">
                                <w:pPr>
                                  <w:pStyle w:val="EYBusinessaddress"/>
                                  <w:rPr>
                                    <w:color w:val="auto"/>
                                    <w:lang w:val="ro-RO"/>
                                  </w:rPr>
                                </w:pPr>
                                <w:r>
                                  <w:rPr>
                                    <w:color w:val="auto"/>
                                    <w:lang w:val="ro-RO"/>
                                  </w:rPr>
                                  <w:t>Fax: +40 21 310 6987</w:t>
                                </w:r>
                              </w:p>
                              <w:p w14:paraId="236A3362" w14:textId="77777777" w:rsidR="00A05E84" w:rsidRDefault="00A05E84">
                                <w:pPr>
                                  <w:pStyle w:val="EYBusinessaddress"/>
                                  <w:rPr>
                                    <w:color w:val="auto"/>
                                    <w:lang w:val="ro-RO"/>
                                  </w:rPr>
                                </w:pPr>
                                <w:r>
                                  <w:rPr>
                                    <w:color w:val="auto"/>
                                    <w:lang w:val="ro-RO"/>
                                  </w:rPr>
                                  <w:t>E-mail: office@ra-law.ro</w:t>
                                </w:r>
                              </w:p>
                              <w:p w14:paraId="3C41F850" w14:textId="77777777" w:rsidR="00A05E84" w:rsidRDefault="00A05E84">
                                <w:pPr>
                                  <w:pStyle w:val="EYBusinessaddress"/>
                                  <w:rPr>
                                    <w:color w:val="auto"/>
                                    <w:lang w:val="ro-RO"/>
                                  </w:rPr>
                                </w:pPr>
                                <w:r>
                                  <w:rPr>
                                    <w:color w:val="auto"/>
                                    <w:lang w:val="ro-RO"/>
                                  </w:rPr>
                                  <w:t>www.</w:t>
                                </w:r>
                                <w:hyperlink r:id="rId1" w:history="1">
                                  <w:r>
                                    <w:rPr>
                                      <w:rStyle w:val="Hyperlink"/>
                                      <w:lang w:val="ro-RO"/>
                                    </w:rPr>
                                    <w:t>ra</w:t>
                                  </w:r>
                                </w:hyperlink>
                                <w:r>
                                  <w:rPr>
                                    <w:rStyle w:val="Hyperlink"/>
                                    <w:lang w:val="ro-RO"/>
                                  </w:rPr>
                                  <w:t>-law.ro</w:t>
                                </w:r>
                                <w:r>
                                  <w:rPr>
                                    <w:color w:val="auto"/>
                                    <w:lang w:val="ro-RO"/>
                                  </w:rPr>
                                  <w:t xml:space="preserve"> </w:t>
                                </w:r>
                              </w:p>
                            </w:tc>
                          </w:tr>
                        </w:tbl>
                        <w:p w14:paraId="3094B1CE" w14:textId="77777777" w:rsidR="00A05E84" w:rsidRDefault="00A05E84" w:rsidP="00A05E84">
                          <w:pPr>
                            <w:pStyle w:val="EYBusinessaddres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0" o:spid="_x0000_s1026" type="#_x0000_t202" style="position:absolute;margin-left:284.3pt;margin-top:29.7pt;width:312pt;height: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" filled="f" stroked="f">
              <v:textbox inset="0,0,0,0">
                <w:txbxContent>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142"/>
                      <w:gridCol w:w="2835"/>
                    </w:tblGrid>
                    <w:tr w:rsidR="00A05E84" w14:paraId="49DFFA5E" w14:textId="77777777">
                      <w:tc>
                        <w:tcPr>
                          <w:tcW w:w="3119" w:type="dxa"/>
                          <w:hideMark/>
                        </w:tcPr>
                        <w:p w14:paraId="5AB2ABCA" w14:textId="77777777" w:rsidR="00A05E84" w:rsidRDefault="00A05E84">
                          <w:pPr>
                            <w:pStyle w:val="EYBusinessaddress"/>
                            <w:rPr>
                              <w:color w:val="auto"/>
                              <w:lang w:val="ro-RO"/>
                            </w:rPr>
                          </w:pPr>
                          <w:r>
                            <w:rPr>
                              <w:color w:val="auto"/>
                              <w:lang w:val="ro-RO"/>
                            </w:rPr>
                            <w:t>Radu si Asociații SPRL</w:t>
                          </w:r>
                        </w:p>
                        <w:p w14:paraId="137541E5" w14:textId="77777777" w:rsidR="00A05E84" w:rsidRDefault="00A05E84">
                          <w:pPr>
                            <w:pStyle w:val="EYBusinessaddress"/>
                            <w:rPr>
                              <w:color w:val="auto"/>
                              <w:lang w:val="ro-RO"/>
                            </w:rPr>
                          </w:pPr>
                          <w:proofErr w:type="spellStart"/>
                          <w:r>
                            <w:rPr>
                              <w:color w:val="auto"/>
                              <w:lang w:val="ro-RO"/>
                            </w:rPr>
                            <w:t>Bucharest</w:t>
                          </w:r>
                          <w:proofErr w:type="spellEnd"/>
                          <w:r>
                            <w:rPr>
                              <w:color w:val="auto"/>
                              <w:lang w:val="ro-RO"/>
                            </w:rPr>
                            <w:t xml:space="preserve"> </w:t>
                          </w:r>
                          <w:proofErr w:type="spellStart"/>
                          <w:r>
                            <w:rPr>
                              <w:color w:val="auto"/>
                              <w:lang w:val="ro-RO"/>
                            </w:rPr>
                            <w:t>Tower</w:t>
                          </w:r>
                          <w:proofErr w:type="spellEnd"/>
                          <w:r>
                            <w:rPr>
                              <w:color w:val="auto"/>
                              <w:lang w:val="ro-RO"/>
                            </w:rPr>
                            <w:t xml:space="preserve"> Center Building, 22</w:t>
                          </w:r>
                          <w:r>
                            <w:rPr>
                              <w:color w:val="auto"/>
                              <w:vertAlign w:val="superscript"/>
                              <w:lang w:val="ro-RO"/>
                            </w:rPr>
                            <w:t>nd</w:t>
                          </w:r>
                          <w:r>
                            <w:rPr>
                              <w:color w:val="auto"/>
                              <w:lang w:val="ro-RO"/>
                            </w:rPr>
                            <w:t xml:space="preserve"> </w:t>
                          </w:r>
                          <w:proofErr w:type="spellStart"/>
                          <w:r>
                            <w:rPr>
                              <w:color w:val="auto"/>
                              <w:lang w:val="ro-RO"/>
                            </w:rPr>
                            <w:t>Floor</w:t>
                          </w:r>
                          <w:proofErr w:type="spellEnd"/>
                        </w:p>
                        <w:p w14:paraId="146DBC0B" w14:textId="77777777" w:rsidR="00A05E84" w:rsidRDefault="00A05E84">
                          <w:pPr>
                            <w:pStyle w:val="EYBusinessaddress"/>
                            <w:rPr>
                              <w:color w:val="auto"/>
                              <w:lang w:val="ro-RO"/>
                            </w:rPr>
                          </w:pPr>
                          <w:r>
                            <w:rPr>
                              <w:color w:val="auto"/>
                              <w:lang w:val="ro-RO"/>
                            </w:rPr>
                            <w:t xml:space="preserve">15-17 Ion Mihalache </w:t>
                          </w:r>
                          <w:proofErr w:type="spellStart"/>
                          <w:r>
                            <w:rPr>
                              <w:color w:val="auto"/>
                              <w:lang w:val="ro-RO"/>
                            </w:rPr>
                            <w:t>Blvd</w:t>
                          </w:r>
                          <w:proofErr w:type="spellEnd"/>
                          <w:r>
                            <w:rPr>
                              <w:color w:val="auto"/>
                              <w:lang w:val="ro-RO"/>
                            </w:rPr>
                            <w:t>., Sector 1</w:t>
                          </w:r>
                        </w:p>
                        <w:p w14:paraId="50D3C145" w14:textId="77777777" w:rsidR="00A05E84" w:rsidRDefault="00A05E84">
                          <w:pPr>
                            <w:pStyle w:val="EYBusinessaddress"/>
                            <w:rPr>
                              <w:color w:val="auto"/>
                              <w:lang w:val="ro-RO"/>
                            </w:rPr>
                          </w:pPr>
                          <w:r>
                            <w:rPr>
                              <w:color w:val="auto"/>
                              <w:lang w:val="ro-RO"/>
                            </w:rPr>
                            <w:t xml:space="preserve">011171 </w:t>
                          </w:r>
                          <w:proofErr w:type="spellStart"/>
                          <w:r>
                            <w:rPr>
                              <w:color w:val="auto"/>
                              <w:lang w:val="ro-RO"/>
                            </w:rPr>
                            <w:t>Bucharest</w:t>
                          </w:r>
                          <w:proofErr w:type="spellEnd"/>
                          <w:r>
                            <w:rPr>
                              <w:color w:val="auto"/>
                              <w:lang w:val="ro-RO"/>
                            </w:rPr>
                            <w:t>, Romania</w:t>
                          </w:r>
                        </w:p>
                      </w:tc>
                      <w:tc>
                        <w:tcPr>
                          <w:tcW w:w="142" w:type="dxa"/>
                        </w:tcPr>
                        <w:p w14:paraId="66AA54A6" w14:textId="77777777" w:rsidR="00A05E84" w:rsidRDefault="00A05E84">
                          <w:pPr>
                            <w:pStyle w:val="EYBusinessaddress"/>
                            <w:rPr>
                              <w:color w:val="auto"/>
                              <w:lang w:val="ro-RO"/>
                            </w:rPr>
                          </w:pPr>
                        </w:p>
                      </w:tc>
                      <w:tc>
                        <w:tcPr>
                          <w:tcW w:w="2835" w:type="dxa"/>
                          <w:hideMark/>
                        </w:tcPr>
                        <w:p w14:paraId="2F7E4351" w14:textId="77777777" w:rsidR="00A05E84" w:rsidRDefault="00A05E84">
                          <w:pPr>
                            <w:pStyle w:val="EYBusinessaddress"/>
                            <w:rPr>
                              <w:color w:val="auto"/>
                              <w:lang w:val="ro-RO"/>
                            </w:rPr>
                          </w:pPr>
                          <w:r>
                            <w:rPr>
                              <w:color w:val="auto"/>
                              <w:lang w:val="ro-RO"/>
                            </w:rPr>
                            <w:t>Tel:  +40 21 402 4000</w:t>
                          </w:r>
                        </w:p>
                        <w:p w14:paraId="19E93A31" w14:textId="77777777" w:rsidR="00A05E84" w:rsidRDefault="00A05E84">
                          <w:pPr>
                            <w:pStyle w:val="EYBusinessaddress"/>
                            <w:rPr>
                              <w:color w:val="auto"/>
                              <w:lang w:val="ro-RO"/>
                            </w:rPr>
                          </w:pPr>
                          <w:r>
                            <w:rPr>
                              <w:color w:val="auto"/>
                              <w:lang w:val="ro-RO"/>
                            </w:rPr>
                            <w:t>Fax: +40 21 310 6987</w:t>
                          </w:r>
                        </w:p>
                        <w:p w14:paraId="236A3362" w14:textId="77777777" w:rsidR="00A05E84" w:rsidRDefault="00A05E84">
                          <w:pPr>
                            <w:pStyle w:val="EYBusinessaddress"/>
                            <w:rPr>
                              <w:color w:val="auto"/>
                              <w:lang w:val="ro-RO"/>
                            </w:rPr>
                          </w:pPr>
                          <w:r>
                            <w:rPr>
                              <w:color w:val="auto"/>
                              <w:lang w:val="ro-RO"/>
                            </w:rPr>
                            <w:t>E-mail: office@ra-law.ro</w:t>
                          </w:r>
                        </w:p>
                        <w:p w14:paraId="3C41F850" w14:textId="77777777" w:rsidR="00A05E84" w:rsidRDefault="00A05E84">
                          <w:pPr>
                            <w:pStyle w:val="EYBusinessaddress"/>
                            <w:rPr>
                              <w:color w:val="auto"/>
                              <w:lang w:val="ro-RO"/>
                            </w:rPr>
                          </w:pPr>
                          <w:r>
                            <w:rPr>
                              <w:color w:val="auto"/>
                              <w:lang w:val="ro-RO"/>
                            </w:rPr>
                            <w:t>www.</w:t>
                          </w:r>
                          <w:hyperlink r:id="rId2" w:history="1">
                            <w:r>
                              <w:rPr>
                                <w:rStyle w:val="Hyperlink"/>
                                <w:lang w:val="ro-RO"/>
                              </w:rPr>
                              <w:t>ra</w:t>
                            </w:r>
                          </w:hyperlink>
                          <w:r>
                            <w:rPr>
                              <w:rStyle w:val="Hyperlink"/>
                              <w:lang w:val="ro-RO"/>
                            </w:rPr>
                            <w:t>-law.ro</w:t>
                          </w:r>
                          <w:r>
                            <w:rPr>
                              <w:color w:val="auto"/>
                              <w:lang w:val="ro-RO"/>
                            </w:rPr>
                            <w:t xml:space="preserve"> </w:t>
                          </w:r>
                        </w:p>
                      </w:tc>
                    </w:tr>
                  </w:tbl>
                  <w:p w14:paraId="3094B1CE" w14:textId="77777777" w:rsidR="00A05E84" w:rsidRDefault="00A05E84" w:rsidP="00A05E84">
                    <w:pPr>
                      <w:pStyle w:val="EYBusinessaddress"/>
                    </w:pPr>
                  </w:p>
                </w:txbxContent>
              </v:textbox>
              <w10:wrap type="square" anchorx="page" anchory="page"/>
              <w10:anchorlock/>
            </v:shape>
          </w:pict>
        </mc:Fallback>
      </mc:AlternateContent>
    </w:r>
    <w:r>
      <w:rPr>
        <w:noProof/>
        <w:lang w:val="ro-RO" w:eastAsia="ro-RO"/>
      </w:rPr>
      <w:drawing>
        <wp:inline distT="0" distB="0" distL="0" distR="0" wp14:anchorId="79D5F1D3" wp14:editId="1FAB3500">
          <wp:extent cx="2106295" cy="6673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2106295" cy="66738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763"/>
    <w:rsid w:val="00004B53"/>
    <w:rsid w:val="00005D04"/>
    <w:rsid w:val="00016E00"/>
    <w:rsid w:val="00017EB9"/>
    <w:rsid w:val="00034E95"/>
    <w:rsid w:val="00041FE3"/>
    <w:rsid w:val="00042216"/>
    <w:rsid w:val="000427B0"/>
    <w:rsid w:val="000458A3"/>
    <w:rsid w:val="00046BEA"/>
    <w:rsid w:val="000612D8"/>
    <w:rsid w:val="00065741"/>
    <w:rsid w:val="00066F6E"/>
    <w:rsid w:val="00072CC6"/>
    <w:rsid w:val="00074FBA"/>
    <w:rsid w:val="000758EF"/>
    <w:rsid w:val="00084C4F"/>
    <w:rsid w:val="00091DDC"/>
    <w:rsid w:val="000A371B"/>
    <w:rsid w:val="000A637F"/>
    <w:rsid w:val="000B0771"/>
    <w:rsid w:val="000C246A"/>
    <w:rsid w:val="000E3D75"/>
    <w:rsid w:val="000F52A7"/>
    <w:rsid w:val="000F70E1"/>
    <w:rsid w:val="00104D97"/>
    <w:rsid w:val="00143F74"/>
    <w:rsid w:val="00150188"/>
    <w:rsid w:val="00154702"/>
    <w:rsid w:val="0016001F"/>
    <w:rsid w:val="00163C9C"/>
    <w:rsid w:val="0016523E"/>
    <w:rsid w:val="00165339"/>
    <w:rsid w:val="00182956"/>
    <w:rsid w:val="00193C68"/>
    <w:rsid w:val="001A4449"/>
    <w:rsid w:val="001B3FE3"/>
    <w:rsid w:val="001C0D0E"/>
    <w:rsid w:val="001C78E2"/>
    <w:rsid w:val="001C7AB4"/>
    <w:rsid w:val="001C7E4D"/>
    <w:rsid w:val="001E4F28"/>
    <w:rsid w:val="001E5A88"/>
    <w:rsid w:val="001E75C9"/>
    <w:rsid w:val="001F3D8F"/>
    <w:rsid w:val="00200BCA"/>
    <w:rsid w:val="002061C9"/>
    <w:rsid w:val="002107BF"/>
    <w:rsid w:val="0021147D"/>
    <w:rsid w:val="00213071"/>
    <w:rsid w:val="002220ED"/>
    <w:rsid w:val="00222F69"/>
    <w:rsid w:val="0022392B"/>
    <w:rsid w:val="00224B1A"/>
    <w:rsid w:val="0022592F"/>
    <w:rsid w:val="002445E7"/>
    <w:rsid w:val="00252973"/>
    <w:rsid w:val="00256C24"/>
    <w:rsid w:val="00271686"/>
    <w:rsid w:val="00272E0C"/>
    <w:rsid w:val="0027535B"/>
    <w:rsid w:val="00297687"/>
    <w:rsid w:val="002A041E"/>
    <w:rsid w:val="002A2551"/>
    <w:rsid w:val="002A45CE"/>
    <w:rsid w:val="002A5155"/>
    <w:rsid w:val="002B7169"/>
    <w:rsid w:val="002C0E38"/>
    <w:rsid w:val="002C4731"/>
    <w:rsid w:val="002D5DF8"/>
    <w:rsid w:val="002D7D84"/>
    <w:rsid w:val="002D7F22"/>
    <w:rsid w:val="002F0AEA"/>
    <w:rsid w:val="002F281F"/>
    <w:rsid w:val="002F63FD"/>
    <w:rsid w:val="002F7123"/>
    <w:rsid w:val="003170E1"/>
    <w:rsid w:val="00321C4B"/>
    <w:rsid w:val="00322C5F"/>
    <w:rsid w:val="003320C1"/>
    <w:rsid w:val="0033220D"/>
    <w:rsid w:val="003442DA"/>
    <w:rsid w:val="0034591B"/>
    <w:rsid w:val="00351C2B"/>
    <w:rsid w:val="00364C0A"/>
    <w:rsid w:val="00374BE6"/>
    <w:rsid w:val="00391EEA"/>
    <w:rsid w:val="00395058"/>
    <w:rsid w:val="00397B40"/>
    <w:rsid w:val="003A64D0"/>
    <w:rsid w:val="003B553C"/>
    <w:rsid w:val="003C67A2"/>
    <w:rsid w:val="003D0AA6"/>
    <w:rsid w:val="003D0CF5"/>
    <w:rsid w:val="003F022C"/>
    <w:rsid w:val="003F17E6"/>
    <w:rsid w:val="003F3253"/>
    <w:rsid w:val="00401EED"/>
    <w:rsid w:val="004020C2"/>
    <w:rsid w:val="00402E70"/>
    <w:rsid w:val="004039DF"/>
    <w:rsid w:val="004055AB"/>
    <w:rsid w:val="00413513"/>
    <w:rsid w:val="00417A10"/>
    <w:rsid w:val="0042107F"/>
    <w:rsid w:val="0042336A"/>
    <w:rsid w:val="004453DA"/>
    <w:rsid w:val="004529B0"/>
    <w:rsid w:val="0046184E"/>
    <w:rsid w:val="004623B5"/>
    <w:rsid w:val="00466177"/>
    <w:rsid w:val="004714C5"/>
    <w:rsid w:val="00472F50"/>
    <w:rsid w:val="00476548"/>
    <w:rsid w:val="00487985"/>
    <w:rsid w:val="0049202F"/>
    <w:rsid w:val="0049520D"/>
    <w:rsid w:val="004955C7"/>
    <w:rsid w:val="004977B4"/>
    <w:rsid w:val="004A2840"/>
    <w:rsid w:val="004B1D55"/>
    <w:rsid w:val="004C01E2"/>
    <w:rsid w:val="004C0AE9"/>
    <w:rsid w:val="004C643D"/>
    <w:rsid w:val="004D130F"/>
    <w:rsid w:val="004D5CA7"/>
    <w:rsid w:val="004E08F8"/>
    <w:rsid w:val="004E306F"/>
    <w:rsid w:val="004F63B8"/>
    <w:rsid w:val="00505A66"/>
    <w:rsid w:val="0051314E"/>
    <w:rsid w:val="0051591D"/>
    <w:rsid w:val="005211B5"/>
    <w:rsid w:val="00526C81"/>
    <w:rsid w:val="00530C4C"/>
    <w:rsid w:val="005408B9"/>
    <w:rsid w:val="00547F4D"/>
    <w:rsid w:val="00557ECF"/>
    <w:rsid w:val="00560E2D"/>
    <w:rsid w:val="005763AD"/>
    <w:rsid w:val="005A77E9"/>
    <w:rsid w:val="005C718D"/>
    <w:rsid w:val="005C7882"/>
    <w:rsid w:val="005D58CD"/>
    <w:rsid w:val="005D5A75"/>
    <w:rsid w:val="005E0901"/>
    <w:rsid w:val="005E2B7F"/>
    <w:rsid w:val="005E6D8C"/>
    <w:rsid w:val="0060090D"/>
    <w:rsid w:val="00602485"/>
    <w:rsid w:val="00612DC0"/>
    <w:rsid w:val="00616C45"/>
    <w:rsid w:val="00621448"/>
    <w:rsid w:val="00623BC4"/>
    <w:rsid w:val="006305FC"/>
    <w:rsid w:val="00635010"/>
    <w:rsid w:val="00636845"/>
    <w:rsid w:val="0063763D"/>
    <w:rsid w:val="00637BFF"/>
    <w:rsid w:val="0065024D"/>
    <w:rsid w:val="00660611"/>
    <w:rsid w:val="00664F95"/>
    <w:rsid w:val="00680837"/>
    <w:rsid w:val="0068715F"/>
    <w:rsid w:val="00687B3E"/>
    <w:rsid w:val="00697080"/>
    <w:rsid w:val="00697B81"/>
    <w:rsid w:val="006A5298"/>
    <w:rsid w:val="006B305D"/>
    <w:rsid w:val="006B533F"/>
    <w:rsid w:val="006B54C1"/>
    <w:rsid w:val="006B7B92"/>
    <w:rsid w:val="006C252E"/>
    <w:rsid w:val="006C5AC6"/>
    <w:rsid w:val="006D57CB"/>
    <w:rsid w:val="006F1C81"/>
    <w:rsid w:val="006F5847"/>
    <w:rsid w:val="00705D18"/>
    <w:rsid w:val="00713351"/>
    <w:rsid w:val="00715B27"/>
    <w:rsid w:val="00720814"/>
    <w:rsid w:val="00743C1B"/>
    <w:rsid w:val="00754078"/>
    <w:rsid w:val="00755498"/>
    <w:rsid w:val="007556B1"/>
    <w:rsid w:val="00766401"/>
    <w:rsid w:val="00767116"/>
    <w:rsid w:val="0077196C"/>
    <w:rsid w:val="0077690C"/>
    <w:rsid w:val="00780F36"/>
    <w:rsid w:val="00790610"/>
    <w:rsid w:val="00793C9F"/>
    <w:rsid w:val="00796921"/>
    <w:rsid w:val="007A178B"/>
    <w:rsid w:val="007A646B"/>
    <w:rsid w:val="007B0B12"/>
    <w:rsid w:val="007B225F"/>
    <w:rsid w:val="007D2B9A"/>
    <w:rsid w:val="007D50BE"/>
    <w:rsid w:val="007E1C86"/>
    <w:rsid w:val="007E6025"/>
    <w:rsid w:val="007F1AC7"/>
    <w:rsid w:val="007F619E"/>
    <w:rsid w:val="00804E98"/>
    <w:rsid w:val="00814CE3"/>
    <w:rsid w:val="00816D4B"/>
    <w:rsid w:val="00817CA7"/>
    <w:rsid w:val="0082040C"/>
    <w:rsid w:val="00820664"/>
    <w:rsid w:val="00830BAD"/>
    <w:rsid w:val="00836FB0"/>
    <w:rsid w:val="00841712"/>
    <w:rsid w:val="008451E5"/>
    <w:rsid w:val="00845ADC"/>
    <w:rsid w:val="008661BB"/>
    <w:rsid w:val="0087306F"/>
    <w:rsid w:val="00875463"/>
    <w:rsid w:val="00876DA0"/>
    <w:rsid w:val="00882CAA"/>
    <w:rsid w:val="008B41A0"/>
    <w:rsid w:val="008C212C"/>
    <w:rsid w:val="008C4F5F"/>
    <w:rsid w:val="008C5BCD"/>
    <w:rsid w:val="008D002B"/>
    <w:rsid w:val="008D3427"/>
    <w:rsid w:val="008E3BD8"/>
    <w:rsid w:val="008F3707"/>
    <w:rsid w:val="0090100B"/>
    <w:rsid w:val="00903393"/>
    <w:rsid w:val="009056C6"/>
    <w:rsid w:val="00906FB8"/>
    <w:rsid w:val="00914768"/>
    <w:rsid w:val="00933540"/>
    <w:rsid w:val="00935CEF"/>
    <w:rsid w:val="0094734A"/>
    <w:rsid w:val="00947970"/>
    <w:rsid w:val="00953E66"/>
    <w:rsid w:val="00976197"/>
    <w:rsid w:val="009810D9"/>
    <w:rsid w:val="00986B44"/>
    <w:rsid w:val="009905A7"/>
    <w:rsid w:val="00993C5E"/>
    <w:rsid w:val="009B5AEE"/>
    <w:rsid w:val="009B794C"/>
    <w:rsid w:val="009D2BC7"/>
    <w:rsid w:val="009D5A78"/>
    <w:rsid w:val="009D5FD8"/>
    <w:rsid w:val="009E19A2"/>
    <w:rsid w:val="009E4D92"/>
    <w:rsid w:val="009F5F92"/>
    <w:rsid w:val="009F63EA"/>
    <w:rsid w:val="00A01FFC"/>
    <w:rsid w:val="00A05E84"/>
    <w:rsid w:val="00A14287"/>
    <w:rsid w:val="00A16952"/>
    <w:rsid w:val="00A2202D"/>
    <w:rsid w:val="00A24928"/>
    <w:rsid w:val="00A3396F"/>
    <w:rsid w:val="00A36CC0"/>
    <w:rsid w:val="00A43178"/>
    <w:rsid w:val="00A55A82"/>
    <w:rsid w:val="00A55D30"/>
    <w:rsid w:val="00A6120E"/>
    <w:rsid w:val="00A72EB7"/>
    <w:rsid w:val="00A730F0"/>
    <w:rsid w:val="00A755ED"/>
    <w:rsid w:val="00A7702D"/>
    <w:rsid w:val="00A903D4"/>
    <w:rsid w:val="00AA78DF"/>
    <w:rsid w:val="00AB7556"/>
    <w:rsid w:val="00AB7C49"/>
    <w:rsid w:val="00AC29EA"/>
    <w:rsid w:val="00AC332C"/>
    <w:rsid w:val="00AC37E0"/>
    <w:rsid w:val="00AC3B88"/>
    <w:rsid w:val="00AD7CDA"/>
    <w:rsid w:val="00AE197F"/>
    <w:rsid w:val="00AE1F88"/>
    <w:rsid w:val="00B111F8"/>
    <w:rsid w:val="00B11447"/>
    <w:rsid w:val="00B17018"/>
    <w:rsid w:val="00B24722"/>
    <w:rsid w:val="00B41FA8"/>
    <w:rsid w:val="00B65289"/>
    <w:rsid w:val="00B66D8A"/>
    <w:rsid w:val="00B81AC2"/>
    <w:rsid w:val="00B83BC0"/>
    <w:rsid w:val="00BA43B5"/>
    <w:rsid w:val="00BA730F"/>
    <w:rsid w:val="00BB4C50"/>
    <w:rsid w:val="00BC422A"/>
    <w:rsid w:val="00BD51DE"/>
    <w:rsid w:val="00BD52DE"/>
    <w:rsid w:val="00BE3087"/>
    <w:rsid w:val="00BF2C74"/>
    <w:rsid w:val="00BF3F78"/>
    <w:rsid w:val="00C11508"/>
    <w:rsid w:val="00C14DF8"/>
    <w:rsid w:val="00C210A6"/>
    <w:rsid w:val="00C27219"/>
    <w:rsid w:val="00C72836"/>
    <w:rsid w:val="00C72F58"/>
    <w:rsid w:val="00C74763"/>
    <w:rsid w:val="00C75307"/>
    <w:rsid w:val="00C77CB8"/>
    <w:rsid w:val="00C857D5"/>
    <w:rsid w:val="00C95E8F"/>
    <w:rsid w:val="00CB2604"/>
    <w:rsid w:val="00CB530C"/>
    <w:rsid w:val="00CB5C6A"/>
    <w:rsid w:val="00CD2851"/>
    <w:rsid w:val="00CD4414"/>
    <w:rsid w:val="00CE3363"/>
    <w:rsid w:val="00CE6DFF"/>
    <w:rsid w:val="00CF2B04"/>
    <w:rsid w:val="00D01468"/>
    <w:rsid w:val="00D01B14"/>
    <w:rsid w:val="00D10883"/>
    <w:rsid w:val="00D16199"/>
    <w:rsid w:val="00D205C3"/>
    <w:rsid w:val="00D37242"/>
    <w:rsid w:val="00D4799A"/>
    <w:rsid w:val="00D50045"/>
    <w:rsid w:val="00D52C96"/>
    <w:rsid w:val="00D57A17"/>
    <w:rsid w:val="00D57AEA"/>
    <w:rsid w:val="00D61C50"/>
    <w:rsid w:val="00D73B1B"/>
    <w:rsid w:val="00D75012"/>
    <w:rsid w:val="00D8314B"/>
    <w:rsid w:val="00D84CFD"/>
    <w:rsid w:val="00D92B68"/>
    <w:rsid w:val="00DA0F1E"/>
    <w:rsid w:val="00DA523E"/>
    <w:rsid w:val="00DB406D"/>
    <w:rsid w:val="00DB72DD"/>
    <w:rsid w:val="00DC256B"/>
    <w:rsid w:val="00DC2A7A"/>
    <w:rsid w:val="00DE1598"/>
    <w:rsid w:val="00DE4DC1"/>
    <w:rsid w:val="00DE6C30"/>
    <w:rsid w:val="00E056E6"/>
    <w:rsid w:val="00E07619"/>
    <w:rsid w:val="00E113F7"/>
    <w:rsid w:val="00E1459D"/>
    <w:rsid w:val="00E23F34"/>
    <w:rsid w:val="00E244D9"/>
    <w:rsid w:val="00E342EE"/>
    <w:rsid w:val="00E54348"/>
    <w:rsid w:val="00E57C3E"/>
    <w:rsid w:val="00E659D7"/>
    <w:rsid w:val="00E65E5F"/>
    <w:rsid w:val="00E734E0"/>
    <w:rsid w:val="00E737FB"/>
    <w:rsid w:val="00E76CDD"/>
    <w:rsid w:val="00E83F10"/>
    <w:rsid w:val="00E8489B"/>
    <w:rsid w:val="00E972B8"/>
    <w:rsid w:val="00EA49CA"/>
    <w:rsid w:val="00ED25A1"/>
    <w:rsid w:val="00ED6630"/>
    <w:rsid w:val="00F06F82"/>
    <w:rsid w:val="00F1358E"/>
    <w:rsid w:val="00F176D4"/>
    <w:rsid w:val="00F30C62"/>
    <w:rsid w:val="00F34D21"/>
    <w:rsid w:val="00F46B99"/>
    <w:rsid w:val="00F654CD"/>
    <w:rsid w:val="00F67AD7"/>
    <w:rsid w:val="00F7200A"/>
    <w:rsid w:val="00F82C81"/>
    <w:rsid w:val="00F8319E"/>
    <w:rsid w:val="00F85C78"/>
    <w:rsid w:val="00F86131"/>
    <w:rsid w:val="00F94593"/>
    <w:rsid w:val="00F950DC"/>
    <w:rsid w:val="00FA7B14"/>
    <w:rsid w:val="00FB653B"/>
    <w:rsid w:val="00FC6C46"/>
    <w:rsid w:val="00FD17AB"/>
    <w:rsid w:val="00FD375F"/>
    <w:rsid w:val="00FD5402"/>
    <w:rsid w:val="00FE2B24"/>
    <w:rsid w:val="00FF3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9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A05E84"/>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05E84"/>
  </w:style>
  <w:style w:type="paragraph" w:styleId="Subsol">
    <w:name w:val="footer"/>
    <w:basedOn w:val="Normal"/>
    <w:link w:val="SubsolCaracter"/>
    <w:uiPriority w:val="99"/>
    <w:unhideWhenUsed/>
    <w:rsid w:val="00A05E84"/>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05E84"/>
  </w:style>
  <w:style w:type="table" w:styleId="GrilTabel">
    <w:name w:val="Table Grid"/>
    <w:aliases w:val="CV table"/>
    <w:basedOn w:val="TabelNormal"/>
    <w:rsid w:val="00A05E84"/>
    <w:pPr>
      <w:spacing w:after="0" w:line="240" w:lineRule="auto"/>
    </w:pPr>
    <w:rPr>
      <w:rFonts w:ascii="Times New Roman" w:eastAsia="Times New Roman" w:hAnsi="Times New Roman"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rsid w:val="00A05E84"/>
    <w:rPr>
      <w:color w:val="0000FF"/>
      <w:u w:val="single"/>
    </w:rPr>
  </w:style>
  <w:style w:type="paragraph" w:customStyle="1" w:styleId="EYBusinessaddress">
    <w:name w:val="EY Business address"/>
    <w:basedOn w:val="Normal"/>
    <w:uiPriority w:val="99"/>
    <w:semiHidden/>
    <w:rsid w:val="00A05E84"/>
    <w:pPr>
      <w:suppressAutoHyphens/>
      <w:spacing w:after="0" w:line="170" w:lineRule="atLeast"/>
    </w:pPr>
    <w:rPr>
      <w:rFonts w:ascii="Arial" w:eastAsia="Times New Roman" w:hAnsi="Arial" w:cs="Times New Roman"/>
      <w:color w:val="666666"/>
      <w:kern w:val="12"/>
      <w:sz w:val="15"/>
      <w:szCs w:val="24"/>
      <w:lang w:val="en-GB"/>
    </w:rPr>
  </w:style>
  <w:style w:type="character" w:customStyle="1" w:styleId="EYBodytextwithparaspaceChar">
    <w:name w:val="EY Body text (with para space) Char"/>
    <w:basedOn w:val="Fontdeparagrafimplicit"/>
    <w:link w:val="EYBodytextwithparaspace"/>
    <w:rsid w:val="003D0CF5"/>
    <w:rPr>
      <w:rFonts w:ascii="Arial" w:hAnsi="Arial"/>
      <w:kern w:val="12"/>
      <w:szCs w:val="24"/>
    </w:rPr>
  </w:style>
  <w:style w:type="paragraph" w:customStyle="1" w:styleId="EYBodytextwithparaspace">
    <w:name w:val="EY Body text (with para space)"/>
    <w:basedOn w:val="Normal"/>
    <w:link w:val="EYBodytextwithparaspaceChar"/>
    <w:rsid w:val="003D0CF5"/>
    <w:pPr>
      <w:tabs>
        <w:tab w:val="left" w:pos="907"/>
      </w:tabs>
      <w:suppressAutoHyphens/>
      <w:spacing w:after="400" w:line="360" w:lineRule="auto"/>
    </w:pPr>
    <w:rPr>
      <w:rFonts w:ascii="Arial" w:hAnsi="Arial"/>
      <w:kern w:val="12"/>
      <w:szCs w:val="24"/>
    </w:rPr>
  </w:style>
  <w:style w:type="paragraph" w:styleId="TextnBalon">
    <w:name w:val="Balloon Text"/>
    <w:basedOn w:val="Normal"/>
    <w:link w:val="TextnBalonCaracter"/>
    <w:uiPriority w:val="99"/>
    <w:semiHidden/>
    <w:unhideWhenUsed/>
    <w:rsid w:val="0042107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2107F"/>
    <w:rPr>
      <w:rFonts w:ascii="Segoe UI" w:hAnsi="Segoe UI" w:cs="Segoe UI"/>
      <w:sz w:val="18"/>
      <w:szCs w:val="18"/>
    </w:rPr>
  </w:style>
  <w:style w:type="character" w:customStyle="1" w:styleId="MeniuneNerezolvat1">
    <w:name w:val="Mențiune Nerezolvat1"/>
    <w:basedOn w:val="Fontdeparagrafimplicit"/>
    <w:uiPriority w:val="99"/>
    <w:semiHidden/>
    <w:unhideWhenUsed/>
    <w:rsid w:val="00743C1B"/>
    <w:rPr>
      <w:color w:val="605E5C"/>
      <w:shd w:val="clear" w:color="auto" w:fill="E1DFDD"/>
    </w:rPr>
  </w:style>
  <w:style w:type="paragraph" w:styleId="Textnotdesubsol">
    <w:name w:val="footnote text"/>
    <w:basedOn w:val="Normal"/>
    <w:link w:val="TextnotdesubsolCaracter"/>
    <w:uiPriority w:val="99"/>
    <w:unhideWhenUsed/>
    <w:rsid w:val="00401EED"/>
    <w:pPr>
      <w:spacing w:after="0" w:line="240" w:lineRule="auto"/>
    </w:pPr>
    <w:rPr>
      <w:rFonts w:ascii="Calibri" w:eastAsia="Calibri" w:hAnsi="Calibri" w:cs="Times New Roman"/>
      <w:sz w:val="20"/>
      <w:szCs w:val="20"/>
    </w:rPr>
  </w:style>
  <w:style w:type="character" w:customStyle="1" w:styleId="TextnotdesubsolCaracter">
    <w:name w:val="Text notă de subsol Caracter"/>
    <w:basedOn w:val="Fontdeparagrafimplicit"/>
    <w:link w:val="Textnotdesubsol"/>
    <w:uiPriority w:val="99"/>
    <w:rsid w:val="00401EED"/>
    <w:rPr>
      <w:rFonts w:ascii="Calibri" w:eastAsia="Calibri" w:hAnsi="Calibri" w:cs="Times New Roman"/>
      <w:sz w:val="20"/>
      <w:szCs w:val="20"/>
    </w:rPr>
  </w:style>
  <w:style w:type="character" w:styleId="Referinnotdesubsol">
    <w:name w:val="footnote reference"/>
    <w:basedOn w:val="Fontdeparagrafimplicit"/>
    <w:uiPriority w:val="99"/>
    <w:semiHidden/>
    <w:unhideWhenUsed/>
    <w:rsid w:val="00401EED"/>
    <w:rPr>
      <w:vertAlign w:val="superscript"/>
    </w:rPr>
  </w:style>
  <w:style w:type="character" w:styleId="Referincomentariu">
    <w:name w:val="annotation reference"/>
    <w:basedOn w:val="Fontdeparagrafimplicit"/>
    <w:uiPriority w:val="99"/>
    <w:semiHidden/>
    <w:unhideWhenUsed/>
    <w:rsid w:val="00D61C50"/>
    <w:rPr>
      <w:sz w:val="16"/>
      <w:szCs w:val="16"/>
    </w:rPr>
  </w:style>
  <w:style w:type="paragraph" w:styleId="Textcomentariu">
    <w:name w:val="annotation text"/>
    <w:basedOn w:val="Normal"/>
    <w:link w:val="TextcomentariuCaracter"/>
    <w:uiPriority w:val="99"/>
    <w:semiHidden/>
    <w:unhideWhenUsed/>
    <w:rsid w:val="00D61C50"/>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D61C50"/>
    <w:rPr>
      <w:sz w:val="20"/>
      <w:szCs w:val="20"/>
    </w:rPr>
  </w:style>
  <w:style w:type="paragraph" w:styleId="SubiectComentariu">
    <w:name w:val="annotation subject"/>
    <w:basedOn w:val="Textcomentariu"/>
    <w:next w:val="Textcomentariu"/>
    <w:link w:val="SubiectComentariuCaracter"/>
    <w:uiPriority w:val="99"/>
    <w:semiHidden/>
    <w:unhideWhenUsed/>
    <w:rsid w:val="00D61C50"/>
    <w:rPr>
      <w:b/>
      <w:bCs/>
    </w:rPr>
  </w:style>
  <w:style w:type="character" w:customStyle="1" w:styleId="SubiectComentariuCaracter">
    <w:name w:val="Subiect Comentariu Caracter"/>
    <w:basedOn w:val="TextcomentariuCaracter"/>
    <w:link w:val="SubiectComentariu"/>
    <w:uiPriority w:val="99"/>
    <w:semiHidden/>
    <w:rsid w:val="00D61C5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A05E84"/>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05E84"/>
  </w:style>
  <w:style w:type="paragraph" w:styleId="Subsol">
    <w:name w:val="footer"/>
    <w:basedOn w:val="Normal"/>
    <w:link w:val="SubsolCaracter"/>
    <w:uiPriority w:val="99"/>
    <w:unhideWhenUsed/>
    <w:rsid w:val="00A05E84"/>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05E84"/>
  </w:style>
  <w:style w:type="table" w:styleId="GrilTabel">
    <w:name w:val="Table Grid"/>
    <w:aliases w:val="CV table"/>
    <w:basedOn w:val="TabelNormal"/>
    <w:rsid w:val="00A05E84"/>
    <w:pPr>
      <w:spacing w:after="0" w:line="240" w:lineRule="auto"/>
    </w:pPr>
    <w:rPr>
      <w:rFonts w:ascii="Times New Roman" w:eastAsia="Times New Roman" w:hAnsi="Times New Roman"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rsid w:val="00A05E84"/>
    <w:rPr>
      <w:color w:val="0000FF"/>
      <w:u w:val="single"/>
    </w:rPr>
  </w:style>
  <w:style w:type="paragraph" w:customStyle="1" w:styleId="EYBusinessaddress">
    <w:name w:val="EY Business address"/>
    <w:basedOn w:val="Normal"/>
    <w:uiPriority w:val="99"/>
    <w:semiHidden/>
    <w:rsid w:val="00A05E84"/>
    <w:pPr>
      <w:suppressAutoHyphens/>
      <w:spacing w:after="0" w:line="170" w:lineRule="atLeast"/>
    </w:pPr>
    <w:rPr>
      <w:rFonts w:ascii="Arial" w:eastAsia="Times New Roman" w:hAnsi="Arial" w:cs="Times New Roman"/>
      <w:color w:val="666666"/>
      <w:kern w:val="12"/>
      <w:sz w:val="15"/>
      <w:szCs w:val="24"/>
      <w:lang w:val="en-GB"/>
    </w:rPr>
  </w:style>
  <w:style w:type="character" w:customStyle="1" w:styleId="EYBodytextwithparaspaceChar">
    <w:name w:val="EY Body text (with para space) Char"/>
    <w:basedOn w:val="Fontdeparagrafimplicit"/>
    <w:link w:val="EYBodytextwithparaspace"/>
    <w:rsid w:val="003D0CF5"/>
    <w:rPr>
      <w:rFonts w:ascii="Arial" w:hAnsi="Arial"/>
      <w:kern w:val="12"/>
      <w:szCs w:val="24"/>
    </w:rPr>
  </w:style>
  <w:style w:type="paragraph" w:customStyle="1" w:styleId="EYBodytextwithparaspace">
    <w:name w:val="EY Body text (with para space)"/>
    <w:basedOn w:val="Normal"/>
    <w:link w:val="EYBodytextwithparaspaceChar"/>
    <w:rsid w:val="003D0CF5"/>
    <w:pPr>
      <w:tabs>
        <w:tab w:val="left" w:pos="907"/>
      </w:tabs>
      <w:suppressAutoHyphens/>
      <w:spacing w:after="400" w:line="360" w:lineRule="auto"/>
    </w:pPr>
    <w:rPr>
      <w:rFonts w:ascii="Arial" w:hAnsi="Arial"/>
      <w:kern w:val="12"/>
      <w:szCs w:val="24"/>
    </w:rPr>
  </w:style>
  <w:style w:type="paragraph" w:styleId="TextnBalon">
    <w:name w:val="Balloon Text"/>
    <w:basedOn w:val="Normal"/>
    <w:link w:val="TextnBalonCaracter"/>
    <w:uiPriority w:val="99"/>
    <w:semiHidden/>
    <w:unhideWhenUsed/>
    <w:rsid w:val="0042107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2107F"/>
    <w:rPr>
      <w:rFonts w:ascii="Segoe UI" w:hAnsi="Segoe UI" w:cs="Segoe UI"/>
      <w:sz w:val="18"/>
      <w:szCs w:val="18"/>
    </w:rPr>
  </w:style>
  <w:style w:type="character" w:customStyle="1" w:styleId="MeniuneNerezolvat1">
    <w:name w:val="Mențiune Nerezolvat1"/>
    <w:basedOn w:val="Fontdeparagrafimplicit"/>
    <w:uiPriority w:val="99"/>
    <w:semiHidden/>
    <w:unhideWhenUsed/>
    <w:rsid w:val="00743C1B"/>
    <w:rPr>
      <w:color w:val="605E5C"/>
      <w:shd w:val="clear" w:color="auto" w:fill="E1DFDD"/>
    </w:rPr>
  </w:style>
  <w:style w:type="paragraph" w:styleId="Textnotdesubsol">
    <w:name w:val="footnote text"/>
    <w:basedOn w:val="Normal"/>
    <w:link w:val="TextnotdesubsolCaracter"/>
    <w:uiPriority w:val="99"/>
    <w:unhideWhenUsed/>
    <w:rsid w:val="00401EED"/>
    <w:pPr>
      <w:spacing w:after="0" w:line="240" w:lineRule="auto"/>
    </w:pPr>
    <w:rPr>
      <w:rFonts w:ascii="Calibri" w:eastAsia="Calibri" w:hAnsi="Calibri" w:cs="Times New Roman"/>
      <w:sz w:val="20"/>
      <w:szCs w:val="20"/>
    </w:rPr>
  </w:style>
  <w:style w:type="character" w:customStyle="1" w:styleId="TextnotdesubsolCaracter">
    <w:name w:val="Text notă de subsol Caracter"/>
    <w:basedOn w:val="Fontdeparagrafimplicit"/>
    <w:link w:val="Textnotdesubsol"/>
    <w:uiPriority w:val="99"/>
    <w:rsid w:val="00401EED"/>
    <w:rPr>
      <w:rFonts w:ascii="Calibri" w:eastAsia="Calibri" w:hAnsi="Calibri" w:cs="Times New Roman"/>
      <w:sz w:val="20"/>
      <w:szCs w:val="20"/>
    </w:rPr>
  </w:style>
  <w:style w:type="character" w:styleId="Referinnotdesubsol">
    <w:name w:val="footnote reference"/>
    <w:basedOn w:val="Fontdeparagrafimplicit"/>
    <w:uiPriority w:val="99"/>
    <w:semiHidden/>
    <w:unhideWhenUsed/>
    <w:rsid w:val="00401EED"/>
    <w:rPr>
      <w:vertAlign w:val="superscript"/>
    </w:rPr>
  </w:style>
  <w:style w:type="character" w:styleId="Referincomentariu">
    <w:name w:val="annotation reference"/>
    <w:basedOn w:val="Fontdeparagrafimplicit"/>
    <w:uiPriority w:val="99"/>
    <w:semiHidden/>
    <w:unhideWhenUsed/>
    <w:rsid w:val="00D61C50"/>
    <w:rPr>
      <w:sz w:val="16"/>
      <w:szCs w:val="16"/>
    </w:rPr>
  </w:style>
  <w:style w:type="paragraph" w:styleId="Textcomentariu">
    <w:name w:val="annotation text"/>
    <w:basedOn w:val="Normal"/>
    <w:link w:val="TextcomentariuCaracter"/>
    <w:uiPriority w:val="99"/>
    <w:semiHidden/>
    <w:unhideWhenUsed/>
    <w:rsid w:val="00D61C50"/>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D61C50"/>
    <w:rPr>
      <w:sz w:val="20"/>
      <w:szCs w:val="20"/>
    </w:rPr>
  </w:style>
  <w:style w:type="paragraph" w:styleId="SubiectComentariu">
    <w:name w:val="annotation subject"/>
    <w:basedOn w:val="Textcomentariu"/>
    <w:next w:val="Textcomentariu"/>
    <w:link w:val="SubiectComentariuCaracter"/>
    <w:uiPriority w:val="99"/>
    <w:semiHidden/>
    <w:unhideWhenUsed/>
    <w:rsid w:val="00D61C50"/>
    <w:rPr>
      <w:b/>
      <w:bCs/>
    </w:rPr>
  </w:style>
  <w:style w:type="character" w:customStyle="1" w:styleId="SubiectComentariuCaracter">
    <w:name w:val="Subiect Comentariu Caracter"/>
    <w:basedOn w:val="TextcomentariuCaracter"/>
    <w:link w:val="SubiectComentariu"/>
    <w:uiPriority w:val="99"/>
    <w:semiHidden/>
    <w:rsid w:val="00D61C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244024">
      <w:bodyDiv w:val="1"/>
      <w:marLeft w:val="0"/>
      <w:marRight w:val="0"/>
      <w:marTop w:val="0"/>
      <w:marBottom w:val="0"/>
      <w:divBdr>
        <w:top w:val="none" w:sz="0" w:space="0" w:color="auto"/>
        <w:left w:val="none" w:sz="0" w:space="0" w:color="auto"/>
        <w:bottom w:val="none" w:sz="0" w:space="0" w:color="auto"/>
        <w:right w:val="none" w:sz="0" w:space="0" w:color="auto"/>
      </w:divBdr>
    </w:div>
    <w:div w:id="1190340834">
      <w:bodyDiv w:val="1"/>
      <w:marLeft w:val="0"/>
      <w:marRight w:val="0"/>
      <w:marTop w:val="0"/>
      <w:marBottom w:val="0"/>
      <w:divBdr>
        <w:top w:val="none" w:sz="0" w:space="0" w:color="auto"/>
        <w:left w:val="none" w:sz="0" w:space="0" w:color="auto"/>
        <w:bottom w:val="none" w:sz="0" w:space="0" w:color="auto"/>
        <w:right w:val="none" w:sz="0" w:space="0" w:color="auto"/>
      </w:divBdr>
    </w:div>
    <w:div w:id="1647931864">
      <w:bodyDiv w:val="1"/>
      <w:marLeft w:val="0"/>
      <w:marRight w:val="0"/>
      <w:marTop w:val="0"/>
      <w:marBottom w:val="0"/>
      <w:divBdr>
        <w:top w:val="none" w:sz="0" w:space="0" w:color="auto"/>
        <w:left w:val="none" w:sz="0" w:space="0" w:color="auto"/>
        <w:bottom w:val="none" w:sz="0" w:space="0" w:color="auto"/>
        <w:right w:val="none" w:sz="0" w:space="0" w:color="auto"/>
      </w:divBdr>
    </w:div>
    <w:div w:id="1754620364">
      <w:bodyDiv w:val="1"/>
      <w:marLeft w:val="0"/>
      <w:marRight w:val="0"/>
      <w:marTop w:val="0"/>
      <w:marBottom w:val="0"/>
      <w:divBdr>
        <w:top w:val="none" w:sz="0" w:space="0" w:color="auto"/>
        <w:left w:val="none" w:sz="0" w:space="0" w:color="auto"/>
        <w:bottom w:val="none" w:sz="0" w:space="0" w:color="auto"/>
        <w:right w:val="none" w:sz="0" w:space="0" w:color="auto"/>
      </w:divBdr>
      <w:divsChild>
        <w:div w:id="1937013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a-law.r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nda.hutanu@ro.ey.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tatic.anaf.ro/static/10/Anaf/Informatii_R/Raport_performanta_07072020.pdf" TargetMode="External"/><Relationship Id="rId2" Type="http://schemas.openxmlformats.org/officeDocument/2006/relationships/hyperlink" Target="https://www.ccfiscali.ro/optiuni-expertize-fiscale" TargetMode="External"/><Relationship Id="rId1" Type="http://schemas.openxmlformats.org/officeDocument/2006/relationships/hyperlink" Target="https://www.oecd.org/ctp/transfer-pricing/1background-11whatisataxconvention-112doubletaxation-juridicalandeconomic.htm" TargetMode="External"/><Relationship Id="rId6" Type="http://schemas.openxmlformats.org/officeDocument/2006/relationships/hyperlink" Target="https://ec.europa.eu/taxation_customs/sites/taxation/files/jtpf_report_on_a_coordinated_approach_to_transfer_pricing_controls_within_the_eu_en.pdf" TargetMode="External"/><Relationship Id="rId5" Type="http://schemas.openxmlformats.org/officeDocument/2006/relationships/hyperlink" Target="https://www.anaf.ro/anaf/internet/ANAF/despre_anaf/strategii_anaf/rapoarte_studii/!ut/p/a1/jZCxDoIwEIafhpU7QRp0w4XKBCYE6GLAlEIClJQqry-wmWjxtrt8X_LfDwxyYEP5akWpWzmU3bozcqcHSqjjOxHSBDHxLtebF8aIlCxAYQBOrskPj7jjI_nPxx8T4F7-DJgRWT8wAmvEDTBkiICJTlZbn0UwVK4vgClec8WV_VTLudF6nM4WWjjPsy2kFB23H7K38JvSyElD_knC2Kdpjm3cZ_70BjTR6b8!/dl5/d5/L2dBISEvZ0FBIS9nQSEh/" TargetMode="External"/><Relationship Id="rId4" Type="http://schemas.openxmlformats.org/officeDocument/2006/relationships/hyperlink" Target="https://static.anaf.ro/static/10/Anaf/Informatii_R/Raport_activitateS1_11122020.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radusiasociatii.com" TargetMode="External"/><Relationship Id="rId1" Type="http://schemas.openxmlformats.org/officeDocument/2006/relationships/hyperlink" Target="http://www.radusiasociati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FBF0B9CEACA34A981A7F46EA19F3F9" ma:contentTypeVersion="12" ma:contentTypeDescription="Create a new document." ma:contentTypeScope="" ma:versionID="cc8ffc874984966ee79012f110195910">
  <xsd:schema xmlns:xsd="http://www.w3.org/2001/XMLSchema" xmlns:xs="http://www.w3.org/2001/XMLSchema" xmlns:p="http://schemas.microsoft.com/office/2006/metadata/properties" xmlns:ns3="fd550b8b-0dd7-4de3-a8e6-af527f15a8ac" xmlns:ns4="45cbc027-4fdb-4325-ba4c-14e20f088a7f" targetNamespace="http://schemas.microsoft.com/office/2006/metadata/properties" ma:root="true" ma:fieldsID="0b4085e1d47cf19cc0ca9c96945ecf35" ns3:_="" ns4:_="">
    <xsd:import namespace="fd550b8b-0dd7-4de3-a8e6-af527f15a8ac"/>
    <xsd:import namespace="45cbc027-4fdb-4325-ba4c-14e20f088a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50b8b-0dd7-4de3-a8e6-af527f15a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bc027-4fdb-4325-ba4c-14e20f088a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33B61-788B-4455-A0A4-3D627D69F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50b8b-0dd7-4de3-a8e6-af527f15a8ac"/>
    <ds:schemaRef ds:uri="45cbc027-4fdb-4325-ba4c-14e20f08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035EFB-A099-4199-8D76-CCA129A722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13CC8B-47A4-4E0E-8BF2-CA60CDD2C596}">
  <ds:schemaRefs>
    <ds:schemaRef ds:uri="http://schemas.microsoft.com/sharepoint/v3/contenttype/forms"/>
  </ds:schemaRefs>
</ds:datastoreItem>
</file>

<file path=customXml/itemProps4.xml><?xml version="1.0" encoding="utf-8"?>
<ds:datastoreItem xmlns:ds="http://schemas.openxmlformats.org/officeDocument/2006/customXml" ds:itemID="{DF5BD0B9-BE6D-48FB-BC2E-91A7AAC2A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6</Pages>
  <Words>2758</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Diaconu</dc:creator>
  <cp:keywords/>
  <dc:description/>
  <cp:lastModifiedBy>m.cristian.ccm@gmail.com</cp:lastModifiedBy>
  <cp:revision>18</cp:revision>
  <dcterms:created xsi:type="dcterms:W3CDTF">2021-04-19T09:45:00Z</dcterms:created>
  <dcterms:modified xsi:type="dcterms:W3CDTF">2021-04-20T08:59:00Z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0x010100B7FBF0B9CEACA34A981A7F46EA19F3F9</vt:lpwstr>
  </property>
</Properties>
</file>