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836"/>
        <w:tblW w:w="9271" w:type="dxa"/>
        <w:tblLook w:val="01E0" w:firstRow="1" w:lastRow="1" w:firstColumn="1" w:lastColumn="1" w:noHBand="0" w:noVBand="0"/>
      </w:tblPr>
      <w:tblGrid>
        <w:gridCol w:w="1701"/>
        <w:gridCol w:w="7570"/>
      </w:tblGrid>
      <w:tr w:rsidR="000A30C3" w:rsidRPr="00BF3CC1" w14:paraId="4B6F66F6" w14:textId="77777777" w:rsidTr="00650B62">
        <w:trPr>
          <w:trHeight w:val="902"/>
        </w:trPr>
        <w:tc>
          <w:tcPr>
            <w:tcW w:w="9271" w:type="dxa"/>
            <w:gridSpan w:val="2"/>
            <w:tcMar>
              <w:top w:w="0" w:type="dxa"/>
              <w:left w:w="0" w:type="dxa"/>
              <w:bottom w:w="0" w:type="dxa"/>
              <w:right w:w="0" w:type="dxa"/>
            </w:tcMar>
            <w:hideMark/>
          </w:tcPr>
          <w:p w14:paraId="1E9EC16E" w14:textId="00860C43" w:rsidR="000A30C3" w:rsidRPr="00BF3CC1" w:rsidRDefault="00D14D17" w:rsidP="00650B62">
            <w:pPr>
              <w:pStyle w:val="EYDocumenttitle"/>
              <w:rPr>
                <w:rFonts w:cs="Arial"/>
              </w:rPr>
            </w:pPr>
            <w:r>
              <w:rPr>
                <w:rFonts w:cs="Arial"/>
              </w:rPr>
              <w:t>Punct de vedere</w:t>
            </w:r>
          </w:p>
        </w:tc>
      </w:tr>
      <w:tr w:rsidR="000A30C3" w:rsidRPr="00BF3CC1" w14:paraId="7094AE1A" w14:textId="77777777" w:rsidTr="00650B62">
        <w:trPr>
          <w:trHeight w:val="373"/>
        </w:trPr>
        <w:tc>
          <w:tcPr>
            <w:tcW w:w="9271" w:type="dxa"/>
            <w:gridSpan w:val="2"/>
            <w:shd w:val="clear" w:color="auto" w:fill="auto"/>
            <w:tcMar>
              <w:top w:w="0" w:type="dxa"/>
              <w:left w:w="0" w:type="dxa"/>
              <w:bottom w:w="0" w:type="dxa"/>
              <w:right w:w="0" w:type="dxa"/>
            </w:tcMar>
            <w:hideMark/>
          </w:tcPr>
          <w:p w14:paraId="0BCDC895" w14:textId="30A673D3" w:rsidR="000A30C3" w:rsidRPr="00BF3CC1" w:rsidRDefault="00020EDA" w:rsidP="00650B62">
            <w:pPr>
              <w:pStyle w:val="EYDocumentpromptsbold"/>
              <w:rPr>
                <w:rFonts w:ascii="Arial" w:hAnsi="Arial" w:cs="Arial"/>
                <w:highlight w:val="yellow"/>
              </w:rPr>
            </w:pPr>
            <w:r>
              <w:rPr>
                <w:rFonts w:ascii="Arial" w:hAnsi="Arial" w:cs="Arial"/>
              </w:rPr>
              <w:t xml:space="preserve">8 </w:t>
            </w:r>
            <w:r w:rsidR="00F067E1">
              <w:rPr>
                <w:rFonts w:ascii="Arial" w:hAnsi="Arial" w:cs="Arial"/>
              </w:rPr>
              <w:t>april</w:t>
            </w:r>
            <w:r w:rsidR="000A30C3">
              <w:rPr>
                <w:rFonts w:ascii="Arial" w:hAnsi="Arial" w:cs="Arial"/>
              </w:rPr>
              <w:t>ie 202</w:t>
            </w:r>
            <w:r w:rsidR="000D61B9">
              <w:rPr>
                <w:rFonts w:ascii="Arial" w:hAnsi="Arial" w:cs="Arial"/>
              </w:rPr>
              <w:t>2</w:t>
            </w:r>
          </w:p>
        </w:tc>
      </w:tr>
      <w:tr w:rsidR="000A30C3" w:rsidRPr="00BF3CC1" w14:paraId="71163D50" w14:textId="77777777" w:rsidTr="00650B62">
        <w:trPr>
          <w:trHeight w:val="20"/>
        </w:trPr>
        <w:tc>
          <w:tcPr>
            <w:tcW w:w="1701" w:type="dxa"/>
            <w:tcMar>
              <w:top w:w="0" w:type="dxa"/>
              <w:left w:w="0" w:type="dxa"/>
              <w:bottom w:w="0" w:type="dxa"/>
              <w:right w:w="0" w:type="dxa"/>
            </w:tcMar>
            <w:hideMark/>
          </w:tcPr>
          <w:p w14:paraId="12E82192" w14:textId="77777777" w:rsidR="000A30C3" w:rsidRPr="00BF3CC1" w:rsidRDefault="000A30C3" w:rsidP="00650B62">
            <w:pPr>
              <w:pStyle w:val="EYDocumentprompts"/>
              <w:rPr>
                <w:rFonts w:cs="Arial"/>
                <w:lang w:val="ro-RO"/>
              </w:rPr>
            </w:pPr>
            <w:r w:rsidRPr="00BF3CC1">
              <w:rPr>
                <w:rFonts w:cs="Arial"/>
                <w:lang w:val="ro-RO"/>
              </w:rPr>
              <w:t>Contact:</w:t>
            </w:r>
          </w:p>
        </w:tc>
        <w:tc>
          <w:tcPr>
            <w:tcW w:w="7570" w:type="dxa"/>
            <w:tcMar>
              <w:top w:w="0" w:type="dxa"/>
              <w:left w:w="0" w:type="dxa"/>
              <w:bottom w:w="0" w:type="dxa"/>
              <w:right w:w="0" w:type="dxa"/>
            </w:tcMar>
            <w:hideMark/>
          </w:tcPr>
          <w:p w14:paraId="6E5C96E8" w14:textId="77777777" w:rsidR="000A30C3" w:rsidRPr="00BF3CC1" w:rsidRDefault="000A30C3" w:rsidP="00650B62">
            <w:pPr>
              <w:pStyle w:val="EYDocumentprompts"/>
              <w:rPr>
                <w:rFonts w:cs="Arial"/>
                <w:lang w:val="ro-RO"/>
              </w:rPr>
            </w:pPr>
            <w:r>
              <w:rPr>
                <w:rFonts w:cs="Arial"/>
                <w:lang w:val="ro-RO"/>
              </w:rPr>
              <w:t>Anda Huțanu</w:t>
            </w:r>
          </w:p>
        </w:tc>
      </w:tr>
      <w:tr w:rsidR="000A30C3" w:rsidRPr="00BF3CC1" w14:paraId="04BF7DC3" w14:textId="77777777" w:rsidTr="00650B62">
        <w:trPr>
          <w:trHeight w:val="20"/>
        </w:trPr>
        <w:tc>
          <w:tcPr>
            <w:tcW w:w="1701" w:type="dxa"/>
            <w:tcMar>
              <w:top w:w="0" w:type="dxa"/>
              <w:left w:w="0" w:type="dxa"/>
              <w:bottom w:w="0" w:type="dxa"/>
              <w:right w:w="0" w:type="dxa"/>
            </w:tcMar>
            <w:hideMark/>
          </w:tcPr>
          <w:p w14:paraId="7D3B09CA" w14:textId="77777777" w:rsidR="000A30C3" w:rsidRPr="00BF3CC1" w:rsidRDefault="000A30C3" w:rsidP="00650B62">
            <w:pPr>
              <w:pStyle w:val="EYDocumentprompts"/>
              <w:rPr>
                <w:rFonts w:cs="Arial"/>
                <w:lang w:val="ro-RO"/>
              </w:rPr>
            </w:pPr>
            <w:r w:rsidRPr="00BF3CC1">
              <w:rPr>
                <w:rFonts w:cs="Arial"/>
                <w:lang w:val="ro-RO"/>
              </w:rPr>
              <w:t>Companie:</w:t>
            </w:r>
          </w:p>
        </w:tc>
        <w:tc>
          <w:tcPr>
            <w:tcW w:w="7570" w:type="dxa"/>
            <w:tcMar>
              <w:top w:w="0" w:type="dxa"/>
              <w:left w:w="0" w:type="dxa"/>
              <w:bottom w:w="0" w:type="dxa"/>
              <w:right w:w="0" w:type="dxa"/>
            </w:tcMar>
            <w:hideMark/>
          </w:tcPr>
          <w:p w14:paraId="5CF38198" w14:textId="77777777" w:rsidR="000A30C3" w:rsidRPr="00BF3CC1" w:rsidRDefault="000A30C3" w:rsidP="00650B62">
            <w:pPr>
              <w:pStyle w:val="EYDocumentprompts"/>
              <w:rPr>
                <w:rFonts w:cs="Arial"/>
                <w:lang w:val="ro-RO"/>
              </w:rPr>
            </w:pPr>
            <w:r>
              <w:rPr>
                <w:rFonts w:cs="Arial"/>
                <w:lang w:val="ro-RO"/>
              </w:rPr>
              <w:t>EY Româ</w:t>
            </w:r>
            <w:r w:rsidRPr="00BF3CC1">
              <w:rPr>
                <w:rFonts w:cs="Arial"/>
                <w:lang w:val="ro-RO"/>
              </w:rPr>
              <w:t>nia</w:t>
            </w:r>
          </w:p>
        </w:tc>
      </w:tr>
      <w:tr w:rsidR="000A30C3" w:rsidRPr="00BF3CC1" w14:paraId="15922916" w14:textId="77777777" w:rsidTr="00650B62">
        <w:trPr>
          <w:trHeight w:val="20"/>
        </w:trPr>
        <w:tc>
          <w:tcPr>
            <w:tcW w:w="1701" w:type="dxa"/>
            <w:tcMar>
              <w:top w:w="0" w:type="dxa"/>
              <w:left w:w="0" w:type="dxa"/>
              <w:bottom w:w="0" w:type="dxa"/>
              <w:right w:w="0" w:type="dxa"/>
            </w:tcMar>
            <w:hideMark/>
          </w:tcPr>
          <w:p w14:paraId="414857A3" w14:textId="77777777" w:rsidR="000A30C3" w:rsidRPr="00BF3CC1" w:rsidRDefault="000A30C3" w:rsidP="00650B62">
            <w:pPr>
              <w:pStyle w:val="EYDocumentprompts"/>
              <w:rPr>
                <w:rFonts w:cs="Arial"/>
                <w:lang w:val="ro-RO"/>
              </w:rPr>
            </w:pPr>
            <w:r w:rsidRPr="00BF3CC1">
              <w:rPr>
                <w:rFonts w:cs="Arial"/>
                <w:lang w:val="ro-RO"/>
              </w:rPr>
              <w:t>Tel:</w:t>
            </w:r>
          </w:p>
        </w:tc>
        <w:tc>
          <w:tcPr>
            <w:tcW w:w="7570" w:type="dxa"/>
            <w:tcMar>
              <w:top w:w="0" w:type="dxa"/>
              <w:left w:w="0" w:type="dxa"/>
              <w:bottom w:w="0" w:type="dxa"/>
              <w:right w:w="0" w:type="dxa"/>
            </w:tcMar>
            <w:hideMark/>
          </w:tcPr>
          <w:p w14:paraId="0F56F218" w14:textId="77777777" w:rsidR="000A30C3" w:rsidRPr="00BF3CC1" w:rsidRDefault="000A30C3" w:rsidP="00650B62">
            <w:pPr>
              <w:pStyle w:val="EYDocumentprompts"/>
              <w:rPr>
                <w:rFonts w:cs="Arial"/>
                <w:lang w:val="ro-RO"/>
              </w:rPr>
            </w:pPr>
            <w:r w:rsidRPr="00BF3CC1">
              <w:rPr>
                <w:rFonts w:cs="Arial"/>
                <w:lang w:val="ro-RO"/>
              </w:rPr>
              <w:t>+40 21 402 4000</w:t>
            </w:r>
          </w:p>
        </w:tc>
      </w:tr>
      <w:tr w:rsidR="000A30C3" w:rsidRPr="00BF3CC1" w14:paraId="3E6A8718" w14:textId="77777777" w:rsidTr="00650B62">
        <w:trPr>
          <w:trHeight w:val="80"/>
        </w:trPr>
        <w:tc>
          <w:tcPr>
            <w:tcW w:w="1701" w:type="dxa"/>
            <w:tcMar>
              <w:top w:w="0" w:type="dxa"/>
              <w:left w:w="0" w:type="dxa"/>
              <w:bottom w:w="0" w:type="dxa"/>
              <w:right w:w="0" w:type="dxa"/>
            </w:tcMar>
            <w:hideMark/>
          </w:tcPr>
          <w:p w14:paraId="233EE478" w14:textId="77777777" w:rsidR="000A30C3" w:rsidRPr="00BF3CC1" w:rsidRDefault="000A30C3" w:rsidP="00650B62">
            <w:pPr>
              <w:pStyle w:val="EYDocumentprompts"/>
              <w:rPr>
                <w:rFonts w:cs="Arial"/>
                <w:lang w:val="ro-RO"/>
              </w:rPr>
            </w:pPr>
            <w:r w:rsidRPr="00BF3CC1">
              <w:rPr>
                <w:rFonts w:cs="Arial"/>
                <w:lang w:val="ro-RO"/>
              </w:rPr>
              <w:t>E-mail:</w:t>
            </w:r>
          </w:p>
        </w:tc>
        <w:tc>
          <w:tcPr>
            <w:tcW w:w="7570" w:type="dxa"/>
            <w:tcMar>
              <w:top w:w="0" w:type="dxa"/>
              <w:left w:w="0" w:type="dxa"/>
              <w:bottom w:w="0" w:type="dxa"/>
              <w:right w:w="0" w:type="dxa"/>
            </w:tcMar>
            <w:hideMark/>
          </w:tcPr>
          <w:p w14:paraId="3ECFA144" w14:textId="77777777" w:rsidR="000A30C3" w:rsidRPr="00BF3CC1" w:rsidRDefault="001D3D60" w:rsidP="00650B62">
            <w:pPr>
              <w:pStyle w:val="EYDocumentprompts"/>
              <w:rPr>
                <w:rFonts w:cs="Arial"/>
                <w:color w:val="0000FF"/>
                <w:u w:val="single"/>
                <w:lang w:val="ro-RO"/>
              </w:rPr>
            </w:pPr>
            <w:hyperlink r:id="rId11" w:history="1">
              <w:r w:rsidR="000A30C3" w:rsidRPr="00D539DF">
                <w:rPr>
                  <w:rStyle w:val="Hyperlink"/>
                  <w:rFonts w:cs="Arial"/>
                  <w:lang w:val="ro-RO"/>
                </w:rPr>
                <w:t>anda.hutanu@ro.ey.com</w:t>
              </w:r>
            </w:hyperlink>
          </w:p>
        </w:tc>
      </w:tr>
    </w:tbl>
    <w:p w14:paraId="17CD71F2" w14:textId="0DE12A2B" w:rsidR="00A37BE0" w:rsidRPr="009F6FB0" w:rsidRDefault="00A37BE0" w:rsidP="000A30C3">
      <w:pPr>
        <w:pStyle w:val="EYBodytextwithparaspace"/>
        <w:spacing w:after="0" w:line="240" w:lineRule="auto"/>
        <w:contextualSpacing/>
        <w:rPr>
          <w:rFonts w:cs="Arial"/>
          <w:b/>
          <w:bCs/>
          <w:sz w:val="28"/>
          <w:szCs w:val="28"/>
        </w:rPr>
      </w:pPr>
    </w:p>
    <w:p w14:paraId="34E21920" w14:textId="11CF6A30" w:rsidR="000402A8" w:rsidRPr="009F6FB0" w:rsidRDefault="00BE131B" w:rsidP="000402A8">
      <w:pPr>
        <w:jc w:val="both"/>
        <w:rPr>
          <w:rFonts w:cstheme="minorHAnsi"/>
          <w:b/>
          <w:bCs/>
          <w:sz w:val="28"/>
          <w:szCs w:val="28"/>
        </w:rPr>
      </w:pPr>
      <w:r w:rsidRPr="009F6FB0">
        <w:rPr>
          <w:rFonts w:cstheme="minorHAnsi"/>
          <w:b/>
          <w:bCs/>
          <w:sz w:val="28"/>
          <w:szCs w:val="28"/>
        </w:rPr>
        <w:t xml:space="preserve">Când pot </w:t>
      </w:r>
      <w:r w:rsidR="009F6FB0" w:rsidRPr="009F6FB0">
        <w:rPr>
          <w:rFonts w:cstheme="minorHAnsi"/>
          <w:b/>
          <w:bCs/>
          <w:sz w:val="28"/>
          <w:szCs w:val="28"/>
        </w:rPr>
        <w:t xml:space="preserve">companiile </w:t>
      </w:r>
      <w:r w:rsidRPr="009F6FB0">
        <w:rPr>
          <w:rFonts w:cstheme="minorHAnsi"/>
          <w:b/>
          <w:bCs/>
          <w:sz w:val="28"/>
          <w:szCs w:val="28"/>
        </w:rPr>
        <w:t xml:space="preserve">să invoce </w:t>
      </w:r>
      <w:r w:rsidR="009F6FB0">
        <w:rPr>
          <w:rFonts w:cstheme="minorHAnsi"/>
          <w:b/>
          <w:bCs/>
          <w:sz w:val="28"/>
          <w:szCs w:val="28"/>
        </w:rPr>
        <w:t>situa</w:t>
      </w:r>
      <w:r w:rsidR="000B0185">
        <w:rPr>
          <w:rFonts w:cstheme="minorHAnsi"/>
          <w:b/>
          <w:bCs/>
          <w:sz w:val="28"/>
          <w:szCs w:val="28"/>
        </w:rPr>
        <w:t xml:space="preserve">ţia </w:t>
      </w:r>
      <w:r w:rsidRPr="009F6FB0">
        <w:rPr>
          <w:rFonts w:cstheme="minorHAnsi"/>
          <w:b/>
          <w:bCs/>
          <w:sz w:val="28"/>
          <w:szCs w:val="28"/>
        </w:rPr>
        <w:t xml:space="preserve">de forţă majoră şi </w:t>
      </w:r>
      <w:r w:rsidR="00566C2A" w:rsidRPr="009F6FB0">
        <w:rPr>
          <w:rFonts w:cstheme="minorHAnsi"/>
          <w:b/>
          <w:bCs/>
          <w:sz w:val="28"/>
          <w:szCs w:val="28"/>
        </w:rPr>
        <w:t xml:space="preserve">cum s-ar putea încadra </w:t>
      </w:r>
      <w:r w:rsidR="009F6FB0" w:rsidRPr="009F6FB0">
        <w:rPr>
          <w:rFonts w:cstheme="minorHAnsi"/>
          <w:b/>
          <w:bCs/>
          <w:sz w:val="28"/>
          <w:szCs w:val="28"/>
        </w:rPr>
        <w:t xml:space="preserve">în această categorie </w:t>
      </w:r>
      <w:r w:rsidR="00566C2A" w:rsidRPr="009F6FB0">
        <w:rPr>
          <w:rFonts w:cstheme="minorHAnsi"/>
          <w:b/>
          <w:bCs/>
          <w:sz w:val="28"/>
          <w:szCs w:val="28"/>
        </w:rPr>
        <w:t>sancţiunile</w:t>
      </w:r>
      <w:r w:rsidR="009F6FB0" w:rsidRPr="009F6FB0">
        <w:rPr>
          <w:rFonts w:cstheme="minorHAnsi"/>
          <w:b/>
          <w:bCs/>
          <w:sz w:val="28"/>
          <w:szCs w:val="28"/>
        </w:rPr>
        <w:t xml:space="preserve"> împotriva Rusiei</w:t>
      </w:r>
    </w:p>
    <w:p w14:paraId="5CB6A286" w14:textId="77777777" w:rsidR="009F6FB0" w:rsidRDefault="009F6FB0" w:rsidP="000402A8">
      <w:pPr>
        <w:jc w:val="both"/>
        <w:rPr>
          <w:rFonts w:cstheme="minorHAnsi"/>
          <w:i/>
          <w:iCs/>
          <w:sz w:val="22"/>
          <w:szCs w:val="22"/>
        </w:rPr>
      </w:pPr>
    </w:p>
    <w:p w14:paraId="2984E853" w14:textId="3DCC4C6C" w:rsidR="000402A8" w:rsidRDefault="000402A8" w:rsidP="000402A8">
      <w:pPr>
        <w:jc w:val="both"/>
        <w:rPr>
          <w:rFonts w:cstheme="minorHAnsi"/>
          <w:i/>
          <w:iCs/>
          <w:sz w:val="22"/>
          <w:szCs w:val="22"/>
        </w:rPr>
      </w:pPr>
      <w:r w:rsidRPr="000402A8">
        <w:rPr>
          <w:rFonts w:cstheme="minorHAnsi"/>
          <w:i/>
          <w:iCs/>
          <w:sz w:val="22"/>
          <w:szCs w:val="22"/>
        </w:rPr>
        <w:t>Autor: Roxana Dudău, Partener, Băncilă Diaconu și Asociații</w:t>
      </w:r>
    </w:p>
    <w:p w14:paraId="619C9F3A" w14:textId="77777777" w:rsidR="00B35DE2" w:rsidRPr="000402A8" w:rsidRDefault="00B35DE2" w:rsidP="000402A8">
      <w:pPr>
        <w:jc w:val="both"/>
        <w:rPr>
          <w:rFonts w:cstheme="minorHAnsi"/>
          <w:i/>
          <w:iCs/>
          <w:sz w:val="22"/>
          <w:szCs w:val="22"/>
        </w:rPr>
      </w:pPr>
    </w:p>
    <w:p w14:paraId="7D756D6A" w14:textId="7B85E439" w:rsidR="00B35DE2" w:rsidRPr="00B35DE2" w:rsidRDefault="00B35DE2" w:rsidP="00B35DE2">
      <w:pPr>
        <w:rPr>
          <w:rFonts w:eastAsiaTheme="minorHAnsi" w:cs="Arial"/>
          <w:bCs/>
          <w:kern w:val="12"/>
          <w:sz w:val="22"/>
          <w:szCs w:val="22"/>
        </w:rPr>
      </w:pPr>
      <w:r w:rsidRPr="00B35DE2">
        <w:rPr>
          <w:rFonts w:eastAsiaTheme="minorHAnsi" w:cs="Arial"/>
          <w:bCs/>
          <w:kern w:val="12"/>
          <w:sz w:val="22"/>
          <w:szCs w:val="22"/>
        </w:rPr>
        <w:t>Contractul și legislația aplicabilă sunt cele două elemente în funcție de care companiile pot să invoce existența unui caz de forță majoră</w:t>
      </w:r>
      <w:r w:rsidR="00686F9A">
        <w:rPr>
          <w:rFonts w:eastAsiaTheme="minorHAnsi" w:cs="Arial"/>
          <w:bCs/>
          <w:kern w:val="12"/>
          <w:sz w:val="22"/>
          <w:szCs w:val="22"/>
        </w:rPr>
        <w:t>,</w:t>
      </w:r>
      <w:r w:rsidRPr="00B35DE2">
        <w:rPr>
          <w:rFonts w:eastAsiaTheme="minorHAnsi" w:cs="Arial"/>
          <w:bCs/>
          <w:kern w:val="12"/>
          <w:sz w:val="22"/>
          <w:szCs w:val="22"/>
        </w:rPr>
        <w:t xml:space="preserve"> dar</w:t>
      </w:r>
      <w:r w:rsidR="003367D0">
        <w:rPr>
          <w:rFonts w:eastAsiaTheme="minorHAnsi" w:cs="Arial"/>
          <w:bCs/>
          <w:kern w:val="12"/>
          <w:sz w:val="22"/>
          <w:szCs w:val="22"/>
        </w:rPr>
        <w:t xml:space="preserve">, </w:t>
      </w:r>
      <w:r w:rsidRPr="00B35DE2">
        <w:rPr>
          <w:rFonts w:eastAsiaTheme="minorHAnsi" w:cs="Arial"/>
          <w:bCs/>
          <w:kern w:val="12"/>
          <w:sz w:val="22"/>
          <w:szCs w:val="22"/>
        </w:rPr>
        <w:t xml:space="preserve">mai ales, să stabilească dacă sancțiunile impuse </w:t>
      </w:r>
      <w:r w:rsidR="00020EDA" w:rsidRPr="00B35DE2">
        <w:rPr>
          <w:rFonts w:eastAsiaTheme="minorHAnsi" w:cs="Arial"/>
          <w:bCs/>
          <w:kern w:val="12"/>
          <w:sz w:val="22"/>
          <w:szCs w:val="22"/>
        </w:rPr>
        <w:t xml:space="preserve">Rusiei </w:t>
      </w:r>
      <w:r w:rsidRPr="00B35DE2">
        <w:rPr>
          <w:rFonts w:eastAsiaTheme="minorHAnsi" w:cs="Arial"/>
          <w:bCs/>
          <w:kern w:val="12"/>
          <w:sz w:val="22"/>
          <w:szCs w:val="22"/>
        </w:rPr>
        <w:t>de Uniunea Europeană reprezintă o astfel de situație. De ce este important de știut? Forța majoră atrage, după caz, încetarea de drept a valabilității contractelor semnate, dacă suntem în prezența unei imposibilități totale și definitive de executare a obligațiilor asumate, respectiv suspendarea executării obligațiilor contractuale, dacă imposibilitatea de executare este doar temporară. Cum este definită, deci, forța majoră și ce o deosebește de cazurile fortuite sau de situațiile de impreviziune? Ce trebuie să facă operatorii economici care sunt în prezența unui caz de forță majoră?</w:t>
      </w:r>
      <w:r w:rsidR="00020EDA">
        <w:rPr>
          <w:rFonts w:eastAsiaTheme="minorHAnsi" w:cs="Arial"/>
          <w:bCs/>
          <w:kern w:val="12"/>
          <w:sz w:val="22"/>
          <w:szCs w:val="22"/>
        </w:rPr>
        <w:t xml:space="preserve"> </w:t>
      </w:r>
    </w:p>
    <w:p w14:paraId="5B78C45F" w14:textId="77777777" w:rsidR="00B35DE2" w:rsidRPr="00B35DE2" w:rsidRDefault="00B35DE2" w:rsidP="00B35DE2">
      <w:pPr>
        <w:rPr>
          <w:rFonts w:eastAsiaTheme="minorHAnsi" w:cs="Arial"/>
          <w:bCs/>
          <w:kern w:val="12"/>
          <w:sz w:val="22"/>
          <w:szCs w:val="22"/>
        </w:rPr>
      </w:pPr>
    </w:p>
    <w:p w14:paraId="4312567D" w14:textId="48337CA2" w:rsidR="00B35DE2" w:rsidRPr="00B35DE2" w:rsidRDefault="00B35DE2" w:rsidP="00B35DE2">
      <w:pPr>
        <w:rPr>
          <w:rFonts w:eastAsiaTheme="minorHAnsi" w:cs="Arial"/>
          <w:bCs/>
          <w:kern w:val="12"/>
          <w:sz w:val="22"/>
          <w:szCs w:val="22"/>
        </w:rPr>
      </w:pPr>
      <w:r w:rsidRPr="00B35DE2">
        <w:rPr>
          <w:rFonts w:eastAsiaTheme="minorHAnsi" w:cs="Arial"/>
          <w:bCs/>
          <w:kern w:val="12"/>
          <w:sz w:val="22"/>
          <w:szCs w:val="22"/>
        </w:rPr>
        <w:t>Forța majoră reprezintă o clauză de exonerare a răspunderii civile, fiind o veritabilă excepție de la principiul forței obligatorii a contractului între părți. Cu alte cuvinte, în mod obișnuit, părțile sunt ținute să-și execute întocmai obligațiile asumate, însă, în situația intervenirii unui caz de forță majoră, acestea sunt exonerate/eliberate de obligațiile asumate, total sau parțial.</w:t>
      </w:r>
      <w:r w:rsidR="00DB6562">
        <w:rPr>
          <w:rFonts w:eastAsiaTheme="minorHAnsi" w:cs="Arial"/>
          <w:bCs/>
          <w:kern w:val="12"/>
          <w:sz w:val="22"/>
          <w:szCs w:val="22"/>
        </w:rPr>
        <w:t xml:space="preserve"> </w:t>
      </w:r>
    </w:p>
    <w:p w14:paraId="480BAF7E" w14:textId="77777777" w:rsidR="00BD1584" w:rsidRDefault="00BD1584" w:rsidP="00B35DE2">
      <w:pPr>
        <w:rPr>
          <w:rFonts w:eastAsiaTheme="minorHAnsi" w:cs="Arial"/>
          <w:bCs/>
          <w:kern w:val="12"/>
          <w:sz w:val="22"/>
          <w:szCs w:val="22"/>
        </w:rPr>
      </w:pPr>
    </w:p>
    <w:p w14:paraId="318CDB6B" w14:textId="14777377" w:rsidR="00B35DE2" w:rsidRDefault="00B35DE2" w:rsidP="00B35DE2">
      <w:pPr>
        <w:rPr>
          <w:rFonts w:eastAsiaTheme="minorHAnsi" w:cs="Arial"/>
          <w:bCs/>
          <w:kern w:val="12"/>
          <w:sz w:val="22"/>
          <w:szCs w:val="22"/>
        </w:rPr>
      </w:pPr>
      <w:r w:rsidRPr="00B35DE2">
        <w:rPr>
          <w:rFonts w:eastAsiaTheme="minorHAnsi" w:cs="Arial"/>
          <w:bCs/>
          <w:kern w:val="12"/>
          <w:sz w:val="22"/>
          <w:szCs w:val="22"/>
        </w:rPr>
        <w:t xml:space="preserve">În </w:t>
      </w:r>
      <w:r w:rsidR="00020EDA">
        <w:rPr>
          <w:rFonts w:eastAsiaTheme="minorHAnsi" w:cs="Arial"/>
          <w:bCs/>
          <w:kern w:val="12"/>
          <w:sz w:val="22"/>
          <w:szCs w:val="22"/>
        </w:rPr>
        <w:t>C</w:t>
      </w:r>
      <w:r w:rsidRPr="00B35DE2">
        <w:rPr>
          <w:rFonts w:eastAsiaTheme="minorHAnsi" w:cs="Arial"/>
          <w:bCs/>
          <w:kern w:val="12"/>
          <w:sz w:val="22"/>
          <w:szCs w:val="22"/>
        </w:rPr>
        <w:t xml:space="preserve">odul </w:t>
      </w:r>
      <w:r w:rsidR="00020EDA">
        <w:rPr>
          <w:rFonts w:eastAsiaTheme="minorHAnsi" w:cs="Arial"/>
          <w:bCs/>
          <w:kern w:val="12"/>
          <w:sz w:val="22"/>
          <w:szCs w:val="22"/>
        </w:rPr>
        <w:t>C</w:t>
      </w:r>
      <w:r w:rsidRPr="00B35DE2">
        <w:rPr>
          <w:rFonts w:eastAsiaTheme="minorHAnsi" w:cs="Arial"/>
          <w:bCs/>
          <w:kern w:val="12"/>
          <w:sz w:val="22"/>
          <w:szCs w:val="22"/>
        </w:rPr>
        <w:t xml:space="preserve">ivil român, forța majoră este definită ca fiind „orice eveniment extern, imprevizibil, absolut invincibil și inevitabil”. Codul nu dă exemple de astfel de evenimente, ele putând fi stabilite fie contractual de către părți, prin inserarea în contracte a unei clauze extensive de forță majoră, fie, în lipsa unei prevederi contractuale, de către instanța de judecată sau cea arbitrală învestită cu soluționarea diferendelor dintre părți în acest sens. </w:t>
      </w:r>
    </w:p>
    <w:p w14:paraId="0E69EC53" w14:textId="77777777" w:rsidR="00B35DE2" w:rsidRPr="00B35DE2" w:rsidRDefault="00B35DE2" w:rsidP="00B35DE2">
      <w:pPr>
        <w:rPr>
          <w:rFonts w:eastAsiaTheme="minorHAnsi" w:cs="Arial"/>
          <w:bCs/>
          <w:kern w:val="12"/>
          <w:sz w:val="22"/>
          <w:szCs w:val="22"/>
        </w:rPr>
      </w:pPr>
    </w:p>
    <w:p w14:paraId="03CA61D4" w14:textId="5814290D" w:rsidR="00B35DE2" w:rsidRDefault="00B35DE2" w:rsidP="00B35DE2">
      <w:pPr>
        <w:rPr>
          <w:rFonts w:eastAsiaTheme="minorHAnsi" w:cs="Arial"/>
          <w:bCs/>
          <w:kern w:val="12"/>
          <w:sz w:val="22"/>
          <w:szCs w:val="22"/>
        </w:rPr>
      </w:pPr>
      <w:r w:rsidRPr="00B35DE2">
        <w:rPr>
          <w:rFonts w:eastAsiaTheme="minorHAnsi" w:cs="Arial"/>
          <w:bCs/>
          <w:kern w:val="12"/>
          <w:sz w:val="22"/>
          <w:szCs w:val="22"/>
        </w:rPr>
        <w:t>La stabilirea clauzei de forță majoră, părțile se pot inspira din anumite clauze standard propuse de diverse foruri arbitrale internaționale, cea mai des folosită fiind clauza model a Camerei de Comerț Internațional (CCI) din Paris. Între situațiile propuse de clauza standard CCI Paris, se regăsesc și situațiile de război, de conflict armat, sau actele autorităților etc.</w:t>
      </w:r>
      <w:r w:rsidR="00DB6562">
        <w:rPr>
          <w:rFonts w:eastAsiaTheme="minorHAnsi" w:cs="Arial"/>
          <w:bCs/>
          <w:kern w:val="12"/>
          <w:sz w:val="22"/>
          <w:szCs w:val="22"/>
        </w:rPr>
        <w:t xml:space="preserve"> </w:t>
      </w:r>
    </w:p>
    <w:p w14:paraId="4680196E" w14:textId="77777777" w:rsidR="00B35DE2" w:rsidRPr="00B35DE2" w:rsidRDefault="00B35DE2" w:rsidP="00B35DE2">
      <w:pPr>
        <w:rPr>
          <w:rFonts w:eastAsiaTheme="minorHAnsi" w:cs="Arial"/>
          <w:bCs/>
          <w:kern w:val="12"/>
          <w:sz w:val="22"/>
          <w:szCs w:val="22"/>
        </w:rPr>
      </w:pPr>
    </w:p>
    <w:p w14:paraId="0617C036" w14:textId="7329CAB6" w:rsidR="00B35DE2" w:rsidRDefault="00B35DE2" w:rsidP="00B35DE2">
      <w:pPr>
        <w:rPr>
          <w:rFonts w:eastAsiaTheme="minorHAnsi" w:cs="Arial"/>
          <w:bCs/>
          <w:kern w:val="12"/>
          <w:sz w:val="22"/>
          <w:szCs w:val="22"/>
        </w:rPr>
      </w:pPr>
      <w:r w:rsidRPr="00B35DE2">
        <w:rPr>
          <w:rFonts w:eastAsiaTheme="minorHAnsi" w:cs="Arial"/>
          <w:bCs/>
          <w:kern w:val="12"/>
          <w:sz w:val="22"/>
          <w:szCs w:val="22"/>
        </w:rPr>
        <w:t xml:space="preserve">Totodată, Codul </w:t>
      </w:r>
      <w:r w:rsidR="00020EDA">
        <w:rPr>
          <w:rFonts w:eastAsiaTheme="minorHAnsi" w:cs="Arial"/>
          <w:bCs/>
          <w:kern w:val="12"/>
          <w:sz w:val="22"/>
          <w:szCs w:val="22"/>
        </w:rPr>
        <w:t>C</w:t>
      </w:r>
      <w:r w:rsidRPr="00B35DE2">
        <w:rPr>
          <w:rFonts w:eastAsiaTheme="minorHAnsi" w:cs="Arial"/>
          <w:bCs/>
          <w:kern w:val="12"/>
          <w:sz w:val="22"/>
          <w:szCs w:val="22"/>
        </w:rPr>
        <w:t>ivil român prevede că o astfel de situație de forță majoră înlătură răspunderea contractuală</w:t>
      </w:r>
      <w:r w:rsidR="00020EDA">
        <w:rPr>
          <w:rFonts w:eastAsiaTheme="minorHAnsi" w:cs="Arial"/>
          <w:bCs/>
          <w:kern w:val="12"/>
          <w:sz w:val="22"/>
          <w:szCs w:val="22"/>
        </w:rPr>
        <w:t>,</w:t>
      </w:r>
      <w:r w:rsidRPr="00B35DE2">
        <w:rPr>
          <w:rFonts w:eastAsiaTheme="minorHAnsi" w:cs="Arial"/>
          <w:bCs/>
          <w:kern w:val="12"/>
          <w:sz w:val="22"/>
          <w:szCs w:val="22"/>
        </w:rPr>
        <w:t xml:space="preserve"> câtă vreme legea nu prevede altfel sau părțile nu stabilesc contrariul. Cu alte cuvinte, este important de subliniat că părțile pot agrea prin contractele semnate să răspundă inclusiv în situații de forță majoră (deși e greu de crezut că vor alege să facă acest lucru). Ce este important de reținut este că doar imposibilitatea totală de executare este suficientă pentru a scuza neexecutarea obligațiilor contractuale. Cu alte cuvinte, partea care invocă forța majoră trebuie să se asigure că nu există alte posibilități de îndeplinire a obligațiilor asumate, altele decât cele expres prevăzute în contract. </w:t>
      </w:r>
    </w:p>
    <w:p w14:paraId="6873E4F6" w14:textId="77777777" w:rsidR="00B35DE2" w:rsidRPr="00B35DE2" w:rsidRDefault="00B35DE2" w:rsidP="00B35DE2">
      <w:pPr>
        <w:rPr>
          <w:rFonts w:eastAsiaTheme="minorHAnsi" w:cs="Arial"/>
          <w:bCs/>
          <w:kern w:val="12"/>
          <w:sz w:val="22"/>
          <w:szCs w:val="22"/>
        </w:rPr>
      </w:pPr>
    </w:p>
    <w:p w14:paraId="583581F3" w14:textId="2FF550FE" w:rsidR="00B35DE2" w:rsidRDefault="00B35DE2" w:rsidP="00B35DE2">
      <w:pPr>
        <w:rPr>
          <w:rFonts w:eastAsiaTheme="minorHAnsi" w:cs="Arial"/>
          <w:bCs/>
          <w:kern w:val="12"/>
          <w:sz w:val="22"/>
          <w:szCs w:val="22"/>
        </w:rPr>
      </w:pPr>
      <w:r w:rsidRPr="00B35DE2">
        <w:rPr>
          <w:rFonts w:eastAsiaTheme="minorHAnsi" w:cs="Arial"/>
          <w:bCs/>
          <w:kern w:val="12"/>
          <w:sz w:val="22"/>
          <w:szCs w:val="22"/>
        </w:rPr>
        <w:t>Care sunt efectele forței majore? Principalul efect este acela de a-l scuti pe debitor de a plăti daune-interese și ne referim la dobânzi sau penalități de întârziere. De asemenea, în cazul întârzierii executării obligației, debitorul are dreptul la un interval de timp suplimentar pentru îndeplinirea acesteia (suspendarea efectelor contractului). Dacă vorbim de o imposibilitate totală și definitivă de executare a obligațiilor asumate, efectul este acela al încetării contractului. În plus, trebuie știut că forța majoră operează în virtutea legii, fără a fi necesar să fie prevăzută în contract (Cas., s. com. decizia nr. 414/2000), dar și că, în România cel puțin, forța majoră nu se poate aplica contractelor unde obiectul obligației îl reprezintă o sumă de bani – cum ar fi contracte de leasing și cele de închiriere (Î</w:t>
      </w:r>
      <w:r w:rsidR="00A3156B">
        <w:rPr>
          <w:rFonts w:eastAsiaTheme="minorHAnsi" w:cs="Arial"/>
          <w:bCs/>
          <w:kern w:val="12"/>
          <w:sz w:val="22"/>
          <w:szCs w:val="22"/>
        </w:rPr>
        <w:t>CCJ</w:t>
      </w:r>
      <w:r w:rsidRPr="00B35DE2">
        <w:rPr>
          <w:rFonts w:eastAsiaTheme="minorHAnsi" w:cs="Arial"/>
          <w:bCs/>
          <w:kern w:val="12"/>
          <w:sz w:val="22"/>
          <w:szCs w:val="22"/>
        </w:rPr>
        <w:t xml:space="preserve">, s. a II-a civ., decizia nr. 3848/2012). </w:t>
      </w:r>
    </w:p>
    <w:p w14:paraId="0DB6E9E0" w14:textId="77777777" w:rsidR="00B35DE2" w:rsidRPr="00B35DE2" w:rsidRDefault="00B35DE2" w:rsidP="00B35DE2">
      <w:pPr>
        <w:rPr>
          <w:rFonts w:eastAsiaTheme="minorHAnsi" w:cs="Arial"/>
          <w:bCs/>
          <w:kern w:val="12"/>
          <w:sz w:val="22"/>
          <w:szCs w:val="22"/>
        </w:rPr>
      </w:pPr>
    </w:p>
    <w:p w14:paraId="17C7392C" w14:textId="77D464CA" w:rsidR="00B35DE2" w:rsidRDefault="00B35DE2" w:rsidP="00B35DE2">
      <w:pPr>
        <w:rPr>
          <w:rFonts w:eastAsiaTheme="minorHAnsi" w:cs="Arial"/>
          <w:bCs/>
          <w:kern w:val="12"/>
          <w:sz w:val="22"/>
          <w:szCs w:val="22"/>
        </w:rPr>
      </w:pPr>
      <w:r w:rsidRPr="00B35DE2">
        <w:rPr>
          <w:rFonts w:eastAsiaTheme="minorHAnsi" w:cs="Arial"/>
          <w:bCs/>
          <w:kern w:val="12"/>
          <w:sz w:val="22"/>
          <w:szCs w:val="22"/>
        </w:rPr>
        <w:t xml:space="preserve">Cum procedăm în caz de forță majoră? </w:t>
      </w:r>
      <w:r w:rsidR="00E751A5">
        <w:rPr>
          <w:rFonts w:eastAsiaTheme="minorHAnsi" w:cs="Arial"/>
          <w:bCs/>
          <w:kern w:val="12"/>
          <w:sz w:val="22"/>
          <w:szCs w:val="22"/>
        </w:rPr>
        <w:t>V</w:t>
      </w:r>
      <w:r w:rsidR="00E751A5" w:rsidRPr="00B35DE2">
        <w:rPr>
          <w:rFonts w:eastAsiaTheme="minorHAnsi" w:cs="Arial"/>
          <w:bCs/>
          <w:kern w:val="12"/>
          <w:sz w:val="22"/>
          <w:szCs w:val="22"/>
        </w:rPr>
        <w:t>om verifica</w:t>
      </w:r>
      <w:r w:rsidR="002D6F13">
        <w:rPr>
          <w:rFonts w:eastAsiaTheme="minorHAnsi" w:cs="Arial"/>
          <w:bCs/>
          <w:kern w:val="12"/>
          <w:sz w:val="22"/>
          <w:szCs w:val="22"/>
        </w:rPr>
        <w:t>,</w:t>
      </w:r>
      <w:r w:rsidR="00E751A5" w:rsidRPr="00B35DE2">
        <w:rPr>
          <w:rFonts w:eastAsiaTheme="minorHAnsi" w:cs="Arial"/>
          <w:bCs/>
          <w:kern w:val="12"/>
          <w:sz w:val="22"/>
          <w:szCs w:val="22"/>
        </w:rPr>
        <w:t xml:space="preserve"> </w:t>
      </w:r>
      <w:r w:rsidR="00E751A5">
        <w:rPr>
          <w:rFonts w:eastAsiaTheme="minorHAnsi" w:cs="Arial"/>
          <w:bCs/>
          <w:kern w:val="12"/>
          <w:sz w:val="22"/>
          <w:szCs w:val="22"/>
        </w:rPr>
        <w:t>î</w:t>
      </w:r>
      <w:r w:rsidRPr="00B35DE2">
        <w:rPr>
          <w:rFonts w:eastAsiaTheme="minorHAnsi" w:cs="Arial"/>
          <w:bCs/>
          <w:kern w:val="12"/>
          <w:sz w:val="22"/>
          <w:szCs w:val="22"/>
        </w:rPr>
        <w:t>n primul rând, care este legea aplicabilă contractului nostru. În cazul unui contract comercial internațional, putem vorbi de exemplu despre legea română, legea ucraineană, legea rusă sau de alte prevederi de drept internațional</w:t>
      </w:r>
      <w:r w:rsidR="00091FAC">
        <w:rPr>
          <w:rFonts w:eastAsiaTheme="minorHAnsi" w:cs="Arial"/>
          <w:bCs/>
          <w:kern w:val="12"/>
          <w:sz w:val="22"/>
          <w:szCs w:val="22"/>
        </w:rPr>
        <w:t>,</w:t>
      </w:r>
      <w:r w:rsidRPr="00B35DE2">
        <w:rPr>
          <w:rFonts w:eastAsiaTheme="minorHAnsi" w:cs="Arial"/>
          <w:bCs/>
          <w:kern w:val="12"/>
          <w:sz w:val="22"/>
          <w:szCs w:val="22"/>
        </w:rPr>
        <w:t xml:space="preserve"> cum ar fi Principiile UNIDROIT (Institutul Internațional pentru Unificarea Dreptului Privat) sau Convenția Națiunilor Unite asupra contractelor de vânzare internațională de mărfuri, încheiată la Viena în anul 1980 și cunoscută sub numele de Convenția de la Viena. </w:t>
      </w:r>
    </w:p>
    <w:p w14:paraId="5883A430" w14:textId="77777777" w:rsidR="00F311AB" w:rsidRPr="00B35DE2" w:rsidRDefault="00F311AB" w:rsidP="00B35DE2">
      <w:pPr>
        <w:rPr>
          <w:rFonts w:eastAsiaTheme="minorHAnsi" w:cs="Arial"/>
          <w:bCs/>
          <w:kern w:val="12"/>
          <w:sz w:val="22"/>
          <w:szCs w:val="22"/>
        </w:rPr>
      </w:pPr>
    </w:p>
    <w:p w14:paraId="50E9040E" w14:textId="0E3A8D97" w:rsidR="00B35DE2" w:rsidRPr="00B35DE2" w:rsidRDefault="00B35DE2" w:rsidP="00B35DE2">
      <w:pPr>
        <w:rPr>
          <w:rFonts w:eastAsiaTheme="minorHAnsi" w:cs="Arial"/>
          <w:bCs/>
          <w:kern w:val="12"/>
          <w:sz w:val="22"/>
          <w:szCs w:val="22"/>
        </w:rPr>
      </w:pPr>
      <w:r w:rsidRPr="00B35DE2">
        <w:rPr>
          <w:rFonts w:eastAsiaTheme="minorHAnsi" w:cs="Arial"/>
          <w:bCs/>
          <w:kern w:val="12"/>
          <w:sz w:val="22"/>
          <w:szCs w:val="22"/>
        </w:rPr>
        <w:t>În al doilea rând, vom verifica dacă avem o clauză de forță majoră în contract. În acest caz, se vor aplica prevederile contractuale agreate de către părți, dacă sunt suficient de cuprinzătoare</w:t>
      </w:r>
      <w:r w:rsidR="00846DEB">
        <w:rPr>
          <w:rFonts w:eastAsiaTheme="minorHAnsi" w:cs="Arial"/>
          <w:bCs/>
          <w:kern w:val="12"/>
          <w:sz w:val="22"/>
          <w:szCs w:val="22"/>
        </w:rPr>
        <w:t>,</w:t>
      </w:r>
      <w:r w:rsidRPr="00B35DE2">
        <w:rPr>
          <w:rFonts w:eastAsiaTheme="minorHAnsi" w:cs="Arial"/>
          <w:bCs/>
          <w:kern w:val="12"/>
          <w:sz w:val="22"/>
          <w:szCs w:val="22"/>
        </w:rPr>
        <w:t xml:space="preserve"> iar dacă nu, acestea vor fi suplinite cu normele de drept aplicabile identificate în primul pas. </w:t>
      </w:r>
    </w:p>
    <w:p w14:paraId="164D7A56" w14:textId="18FFC788" w:rsidR="00B35DE2" w:rsidRDefault="00B35DE2" w:rsidP="00B35DE2">
      <w:pPr>
        <w:rPr>
          <w:rFonts w:eastAsiaTheme="minorHAnsi" w:cs="Arial"/>
          <w:bCs/>
          <w:kern w:val="12"/>
          <w:sz w:val="22"/>
          <w:szCs w:val="22"/>
        </w:rPr>
      </w:pPr>
      <w:r w:rsidRPr="00B35DE2">
        <w:rPr>
          <w:rFonts w:eastAsiaTheme="minorHAnsi" w:cs="Arial"/>
          <w:bCs/>
          <w:kern w:val="12"/>
          <w:sz w:val="22"/>
          <w:szCs w:val="22"/>
        </w:rPr>
        <w:t>E important de menționat că, dacă părțile nu</w:t>
      </w:r>
      <w:r w:rsidR="006D7B6E">
        <w:rPr>
          <w:rFonts w:eastAsiaTheme="minorHAnsi" w:cs="Arial"/>
          <w:bCs/>
          <w:kern w:val="12"/>
          <w:sz w:val="22"/>
          <w:szCs w:val="22"/>
        </w:rPr>
        <w:t xml:space="preserve"> au</w:t>
      </w:r>
      <w:r w:rsidRPr="00B35DE2">
        <w:rPr>
          <w:rFonts w:eastAsiaTheme="minorHAnsi" w:cs="Arial"/>
          <w:bCs/>
          <w:kern w:val="12"/>
          <w:sz w:val="22"/>
          <w:szCs w:val="22"/>
        </w:rPr>
        <w:t xml:space="preserve"> ales legea aplicabilă</w:t>
      </w:r>
      <w:r w:rsidR="006D7B6E">
        <w:rPr>
          <w:rFonts w:eastAsiaTheme="minorHAnsi" w:cs="Arial"/>
          <w:bCs/>
          <w:kern w:val="12"/>
          <w:sz w:val="22"/>
          <w:szCs w:val="22"/>
        </w:rPr>
        <w:t>,</w:t>
      </w:r>
      <w:r w:rsidRPr="00B35DE2">
        <w:rPr>
          <w:rFonts w:eastAsiaTheme="minorHAnsi" w:cs="Arial"/>
          <w:bCs/>
          <w:kern w:val="12"/>
          <w:sz w:val="22"/>
          <w:szCs w:val="22"/>
        </w:rPr>
        <w:t xml:space="preserve"> dar au făcut referire în contract la cutumele comerțului internațional, la </w:t>
      </w:r>
      <w:r w:rsidRPr="008B3188">
        <w:rPr>
          <w:rFonts w:eastAsiaTheme="minorHAnsi" w:cs="Arial"/>
          <w:bCs/>
          <w:i/>
          <w:iCs/>
          <w:kern w:val="12"/>
          <w:sz w:val="22"/>
          <w:szCs w:val="22"/>
        </w:rPr>
        <w:t>lex mercatoria</w:t>
      </w:r>
      <w:r w:rsidRPr="00B35DE2">
        <w:rPr>
          <w:rFonts w:eastAsiaTheme="minorHAnsi" w:cs="Arial"/>
          <w:bCs/>
          <w:kern w:val="12"/>
          <w:sz w:val="22"/>
          <w:szCs w:val="22"/>
        </w:rPr>
        <w:t xml:space="preserve">, la principiile generale de drept, sau alte formule de acest gen, se vor aplica Principiile UNIDROIT. </w:t>
      </w:r>
    </w:p>
    <w:p w14:paraId="7EC1A159" w14:textId="77777777" w:rsidR="00B35DE2" w:rsidRPr="00B35DE2" w:rsidRDefault="00B35DE2" w:rsidP="00B35DE2">
      <w:pPr>
        <w:rPr>
          <w:rFonts w:eastAsiaTheme="minorHAnsi" w:cs="Arial"/>
          <w:bCs/>
          <w:kern w:val="12"/>
          <w:sz w:val="22"/>
          <w:szCs w:val="22"/>
        </w:rPr>
      </w:pPr>
    </w:p>
    <w:p w14:paraId="355AE246" w14:textId="425C9910" w:rsidR="00B35DE2" w:rsidRDefault="00B35DE2" w:rsidP="00B35DE2">
      <w:pPr>
        <w:rPr>
          <w:rFonts w:eastAsiaTheme="minorHAnsi" w:cs="Arial"/>
          <w:bCs/>
          <w:kern w:val="12"/>
          <w:sz w:val="22"/>
          <w:szCs w:val="22"/>
        </w:rPr>
      </w:pPr>
      <w:r w:rsidRPr="00B35DE2">
        <w:rPr>
          <w:rFonts w:eastAsiaTheme="minorHAnsi" w:cs="Arial"/>
          <w:bCs/>
          <w:kern w:val="12"/>
          <w:sz w:val="22"/>
          <w:szCs w:val="22"/>
        </w:rPr>
        <w:t xml:space="preserve">De asemenea, Principiile UNIDROIT sunt, de regulă, aplicabile și când se ajunge la un litigiu arbitral cu privire la contracte de comerț internațional în care părțile nu </w:t>
      </w:r>
      <w:r w:rsidR="00517A33">
        <w:rPr>
          <w:rFonts w:eastAsiaTheme="minorHAnsi" w:cs="Arial"/>
          <w:bCs/>
          <w:kern w:val="12"/>
          <w:sz w:val="22"/>
          <w:szCs w:val="22"/>
        </w:rPr>
        <w:t xml:space="preserve">au </w:t>
      </w:r>
      <w:r w:rsidRPr="00B35DE2">
        <w:rPr>
          <w:rFonts w:eastAsiaTheme="minorHAnsi" w:cs="Arial"/>
          <w:bCs/>
          <w:kern w:val="12"/>
          <w:sz w:val="22"/>
          <w:szCs w:val="22"/>
        </w:rPr>
        <w:t>ales legea aplicabilă, această alegere rămânând la latitudinea arbitrilor investiți cu soluționarea acelui litigiu.</w:t>
      </w:r>
      <w:r w:rsidR="00DB6562">
        <w:rPr>
          <w:rFonts w:eastAsiaTheme="minorHAnsi" w:cs="Arial"/>
          <w:bCs/>
          <w:kern w:val="12"/>
          <w:sz w:val="22"/>
          <w:szCs w:val="22"/>
        </w:rPr>
        <w:t xml:space="preserve"> </w:t>
      </w:r>
    </w:p>
    <w:p w14:paraId="22705F61" w14:textId="77777777" w:rsidR="00517A33" w:rsidRPr="00B35DE2" w:rsidRDefault="00517A33" w:rsidP="00B35DE2">
      <w:pPr>
        <w:rPr>
          <w:rFonts w:eastAsiaTheme="minorHAnsi" w:cs="Arial"/>
          <w:bCs/>
          <w:kern w:val="12"/>
          <w:sz w:val="22"/>
          <w:szCs w:val="22"/>
        </w:rPr>
      </w:pPr>
    </w:p>
    <w:p w14:paraId="7AA777A2" w14:textId="2DA43588" w:rsidR="00B35DE2" w:rsidRDefault="00B35DE2" w:rsidP="00B35DE2">
      <w:pPr>
        <w:rPr>
          <w:rFonts w:eastAsiaTheme="minorHAnsi" w:cs="Arial"/>
          <w:bCs/>
          <w:kern w:val="12"/>
          <w:sz w:val="22"/>
          <w:szCs w:val="22"/>
        </w:rPr>
      </w:pPr>
      <w:r w:rsidRPr="00B35DE2">
        <w:rPr>
          <w:rFonts w:eastAsiaTheme="minorHAnsi" w:cs="Arial"/>
          <w:bCs/>
          <w:kern w:val="12"/>
          <w:sz w:val="22"/>
          <w:szCs w:val="22"/>
        </w:rPr>
        <w:t xml:space="preserve">În al treilea rând, va trebui să ne asigurăm că am investigat orice altă posibilitate de a ne îndeplini obligațiile, chiar și cu suportarea unor costuri suplimentare. </w:t>
      </w:r>
    </w:p>
    <w:p w14:paraId="0FA65B81" w14:textId="77777777" w:rsidR="00517A33" w:rsidRPr="00B35DE2" w:rsidRDefault="00517A33" w:rsidP="00B35DE2">
      <w:pPr>
        <w:rPr>
          <w:rFonts w:eastAsiaTheme="minorHAnsi" w:cs="Arial"/>
          <w:bCs/>
          <w:kern w:val="12"/>
          <w:sz w:val="22"/>
          <w:szCs w:val="22"/>
        </w:rPr>
      </w:pPr>
    </w:p>
    <w:p w14:paraId="05A58AC0" w14:textId="6557C299" w:rsidR="00B35DE2" w:rsidRDefault="00B35DE2" w:rsidP="00B35DE2">
      <w:pPr>
        <w:rPr>
          <w:rFonts w:eastAsiaTheme="minorHAnsi" w:cs="Arial"/>
          <w:bCs/>
          <w:kern w:val="12"/>
          <w:sz w:val="22"/>
          <w:szCs w:val="22"/>
        </w:rPr>
      </w:pPr>
      <w:r w:rsidRPr="00B35DE2">
        <w:rPr>
          <w:rFonts w:eastAsiaTheme="minorHAnsi" w:cs="Arial"/>
          <w:bCs/>
          <w:kern w:val="12"/>
          <w:sz w:val="22"/>
          <w:szCs w:val="22"/>
        </w:rPr>
        <w:t xml:space="preserve">Este esențial să solicităm un certificat de forță majoră de la instituția abilitată să îl emită și să ne notificăm partenerii contractuali de cazul de forță majoră care ne împiedică în executarea obligațiilor. Dacă nu ajungem la o înțelegere cu aceștia, vom recurge la instanța de arbitraj sau la cea de judecată competente. </w:t>
      </w:r>
    </w:p>
    <w:p w14:paraId="72D15DBE" w14:textId="77777777" w:rsidR="00B35DE2" w:rsidRPr="00B35DE2" w:rsidRDefault="00B35DE2" w:rsidP="00B35DE2">
      <w:pPr>
        <w:rPr>
          <w:rFonts w:eastAsiaTheme="minorHAnsi" w:cs="Arial"/>
          <w:bCs/>
          <w:kern w:val="12"/>
          <w:sz w:val="22"/>
          <w:szCs w:val="22"/>
        </w:rPr>
      </w:pPr>
    </w:p>
    <w:p w14:paraId="3AC895D5" w14:textId="51E979E2" w:rsidR="00B35DE2" w:rsidRDefault="00B35DE2" w:rsidP="00B35DE2">
      <w:pPr>
        <w:rPr>
          <w:rFonts w:eastAsiaTheme="minorHAnsi" w:cs="Arial"/>
          <w:bCs/>
          <w:kern w:val="12"/>
          <w:sz w:val="22"/>
          <w:szCs w:val="22"/>
        </w:rPr>
      </w:pPr>
      <w:r w:rsidRPr="00B35DE2">
        <w:rPr>
          <w:rFonts w:eastAsiaTheme="minorHAnsi" w:cs="Arial"/>
          <w:bCs/>
          <w:kern w:val="12"/>
          <w:sz w:val="22"/>
          <w:szCs w:val="22"/>
        </w:rPr>
        <w:t xml:space="preserve">Reprezintă sancțiunile impuse </w:t>
      </w:r>
      <w:r w:rsidR="00091FAC" w:rsidRPr="00B35DE2">
        <w:rPr>
          <w:rFonts w:eastAsiaTheme="minorHAnsi" w:cs="Arial"/>
          <w:bCs/>
          <w:kern w:val="12"/>
          <w:sz w:val="22"/>
          <w:szCs w:val="22"/>
        </w:rPr>
        <w:t xml:space="preserve">Rusiei </w:t>
      </w:r>
      <w:r w:rsidRPr="00B35DE2">
        <w:rPr>
          <w:rFonts w:eastAsiaTheme="minorHAnsi" w:cs="Arial"/>
          <w:bCs/>
          <w:kern w:val="12"/>
          <w:sz w:val="22"/>
          <w:szCs w:val="22"/>
        </w:rPr>
        <w:t>de UE cazuri de forță majoră? Dacă legea aplicabilă este legea română, iar contractul cuprinde o clauză de forță majoră</w:t>
      </w:r>
      <w:r w:rsidR="00091FAC">
        <w:rPr>
          <w:rFonts w:eastAsiaTheme="minorHAnsi" w:cs="Arial"/>
          <w:bCs/>
          <w:kern w:val="12"/>
          <w:sz w:val="22"/>
          <w:szCs w:val="22"/>
        </w:rPr>
        <w:t>,</w:t>
      </w:r>
      <w:r w:rsidRPr="00B35DE2">
        <w:rPr>
          <w:rFonts w:eastAsiaTheme="minorHAnsi" w:cs="Arial"/>
          <w:bCs/>
          <w:kern w:val="12"/>
          <w:sz w:val="22"/>
          <w:szCs w:val="22"/>
        </w:rPr>
        <w:t xml:space="preserve"> de tipul clauzei model CCI Paris, așa cum am prezentat-o anterior, este considerat caz de forță majoră și actul autorității, legal sau ilegal, achiesarea la orice lege sau ordin guvernamental, regulă, reglementare sau directivă, prin urmare și astfel de sancțiuni.</w:t>
      </w:r>
      <w:r w:rsidR="00DB6562">
        <w:rPr>
          <w:rFonts w:eastAsiaTheme="minorHAnsi" w:cs="Arial"/>
          <w:bCs/>
          <w:kern w:val="12"/>
          <w:sz w:val="22"/>
          <w:szCs w:val="22"/>
        </w:rPr>
        <w:t xml:space="preserve"> </w:t>
      </w:r>
    </w:p>
    <w:p w14:paraId="38FA0158" w14:textId="77777777" w:rsidR="00B35DE2" w:rsidRPr="00B35DE2" w:rsidRDefault="00B35DE2" w:rsidP="00B35DE2">
      <w:pPr>
        <w:rPr>
          <w:rFonts w:eastAsiaTheme="minorHAnsi" w:cs="Arial"/>
          <w:bCs/>
          <w:kern w:val="12"/>
          <w:sz w:val="22"/>
          <w:szCs w:val="22"/>
        </w:rPr>
      </w:pPr>
    </w:p>
    <w:p w14:paraId="3C28DB0E" w14:textId="2CE4EC96" w:rsidR="00B35DE2" w:rsidRDefault="00B35DE2" w:rsidP="00B35DE2">
      <w:pPr>
        <w:rPr>
          <w:rFonts w:eastAsiaTheme="minorHAnsi" w:cs="Arial"/>
          <w:bCs/>
          <w:kern w:val="12"/>
          <w:sz w:val="22"/>
          <w:szCs w:val="22"/>
        </w:rPr>
      </w:pPr>
      <w:r w:rsidRPr="00B35DE2">
        <w:rPr>
          <w:rFonts w:eastAsiaTheme="minorHAnsi" w:cs="Arial"/>
          <w:bCs/>
          <w:kern w:val="12"/>
          <w:sz w:val="22"/>
          <w:szCs w:val="22"/>
        </w:rPr>
        <w:t>Cu toate acestea, conform reglementării naționale, pentru a fi un caz de forță majoră, actul autorității/sancțiunea în cauză trebuie să fie și un eveniment extern, imprevizibil, absolut invincibil și inevitabil. Cuvântul</w:t>
      </w:r>
      <w:r w:rsidR="0057685B">
        <w:rPr>
          <w:rFonts w:eastAsiaTheme="minorHAnsi" w:cs="Arial"/>
          <w:bCs/>
          <w:kern w:val="12"/>
          <w:sz w:val="22"/>
          <w:szCs w:val="22"/>
        </w:rPr>
        <w:t>-</w:t>
      </w:r>
      <w:r w:rsidRPr="00B35DE2">
        <w:rPr>
          <w:rFonts w:eastAsiaTheme="minorHAnsi" w:cs="Arial"/>
          <w:bCs/>
          <w:kern w:val="12"/>
          <w:sz w:val="22"/>
          <w:szCs w:val="22"/>
        </w:rPr>
        <w:t xml:space="preserve">cheie în acest context este „imprevizibil”. O întrebare legitimă pentru contractele încheiate după 2014 și înainte de impunerea sancțiunilor actuale este în ce măsură sancțiunile impuse Rusiei mai pot fi considerate imprevizibile în contextul în care sancțiuni de o anvergură mai mult sau mai puțin similară au fost impuse începând cu anul 2014 (în contextul anexării Crimeei de către Rusia) și erau cumva de așteptat în contextul conflictului actual din Ucraina. </w:t>
      </w:r>
    </w:p>
    <w:p w14:paraId="5B7B2D59" w14:textId="77777777" w:rsidR="00B35DE2" w:rsidRPr="00B35DE2" w:rsidRDefault="00B35DE2" w:rsidP="00B35DE2">
      <w:pPr>
        <w:rPr>
          <w:rFonts w:eastAsiaTheme="minorHAnsi" w:cs="Arial"/>
          <w:bCs/>
          <w:kern w:val="12"/>
          <w:sz w:val="22"/>
          <w:szCs w:val="22"/>
        </w:rPr>
      </w:pPr>
    </w:p>
    <w:p w14:paraId="0668774A" w14:textId="6554F14F" w:rsidR="00B35DE2" w:rsidRDefault="00B35DE2" w:rsidP="00B35DE2">
      <w:pPr>
        <w:rPr>
          <w:rFonts w:eastAsiaTheme="minorHAnsi" w:cs="Arial"/>
          <w:bCs/>
          <w:kern w:val="12"/>
          <w:sz w:val="22"/>
          <w:szCs w:val="22"/>
        </w:rPr>
      </w:pPr>
      <w:r w:rsidRPr="00B35DE2">
        <w:rPr>
          <w:rFonts w:eastAsiaTheme="minorHAnsi" w:cs="Arial"/>
          <w:bCs/>
          <w:kern w:val="12"/>
          <w:sz w:val="22"/>
          <w:szCs w:val="22"/>
        </w:rPr>
        <w:t xml:space="preserve">Lăsând la o parte această discuție mai mult teoretică, în principiu, dacă suntem în situația unui contract încheiat înainte de anunțarea sancțiunilor și se poate dovedi îndeplinirea celorlalte condiții menționate mai sus (eveniment extern, absolut invincibil și inevitabil), putem vorbi de un caz de forță majoră. În niciun caz nu suntem în prezența unui caz de forță </w:t>
      </w:r>
      <w:r w:rsidR="00091FAC" w:rsidRPr="00B35DE2">
        <w:rPr>
          <w:rFonts w:eastAsiaTheme="minorHAnsi" w:cs="Arial"/>
          <w:bCs/>
          <w:kern w:val="12"/>
          <w:sz w:val="22"/>
          <w:szCs w:val="22"/>
        </w:rPr>
        <w:t>majoră</w:t>
      </w:r>
      <w:r w:rsidR="00091FAC">
        <w:rPr>
          <w:rFonts w:eastAsiaTheme="minorHAnsi" w:cs="Arial"/>
          <w:bCs/>
          <w:kern w:val="12"/>
          <w:sz w:val="22"/>
          <w:szCs w:val="22"/>
        </w:rPr>
        <w:t xml:space="preserve"> </w:t>
      </w:r>
      <w:r w:rsidRPr="00B35DE2">
        <w:rPr>
          <w:rFonts w:eastAsiaTheme="minorHAnsi" w:cs="Arial"/>
          <w:bCs/>
          <w:kern w:val="12"/>
          <w:sz w:val="22"/>
          <w:szCs w:val="22"/>
        </w:rPr>
        <w:t xml:space="preserve">dacă încheierea contractului a avut loc ulterior anunțării sancțiunilor. </w:t>
      </w:r>
    </w:p>
    <w:p w14:paraId="06377CB4" w14:textId="77777777" w:rsidR="003C120F" w:rsidRPr="00B35DE2" w:rsidRDefault="003C120F" w:rsidP="00B35DE2">
      <w:pPr>
        <w:rPr>
          <w:rFonts w:eastAsiaTheme="minorHAnsi" w:cs="Arial"/>
          <w:bCs/>
          <w:kern w:val="12"/>
          <w:sz w:val="22"/>
          <w:szCs w:val="22"/>
        </w:rPr>
      </w:pPr>
    </w:p>
    <w:p w14:paraId="6A095303" w14:textId="714B382C" w:rsidR="00186D3B" w:rsidRDefault="00B35DE2" w:rsidP="00B35DE2">
      <w:pPr>
        <w:rPr>
          <w:rFonts w:eastAsiaTheme="minorHAnsi" w:cs="Arial"/>
          <w:bCs/>
          <w:kern w:val="12"/>
          <w:sz w:val="22"/>
          <w:szCs w:val="22"/>
        </w:rPr>
      </w:pPr>
      <w:r w:rsidRPr="00B35DE2">
        <w:rPr>
          <w:rFonts w:eastAsiaTheme="minorHAnsi" w:cs="Arial"/>
          <w:bCs/>
          <w:kern w:val="12"/>
          <w:sz w:val="22"/>
          <w:szCs w:val="22"/>
        </w:rPr>
        <w:t>În concluzie, apreciez că cel mai important este să analizăm cu atenție contractul și prevederile legale aplicabile pentru a fi în măsură să apreciem corect și complet existența unui caz de forță majoră și aplicabilitatea sa la fiecare speță în parte.</w:t>
      </w:r>
    </w:p>
    <w:p w14:paraId="6DB6D223" w14:textId="19A8871F" w:rsidR="00091FAC" w:rsidRDefault="00091FAC" w:rsidP="00B35DE2">
      <w:pPr>
        <w:rPr>
          <w:rFonts w:eastAsiaTheme="minorHAnsi" w:cs="Arial"/>
          <w:bCs/>
          <w:kern w:val="12"/>
          <w:sz w:val="22"/>
          <w:szCs w:val="22"/>
        </w:rPr>
      </w:pPr>
    </w:p>
    <w:p w14:paraId="71547438" w14:textId="320A0F7C" w:rsidR="00091FAC" w:rsidRPr="008B3188" w:rsidRDefault="00091FAC">
      <w:pPr>
        <w:rPr>
          <w:rFonts w:eastAsiaTheme="minorHAnsi" w:cs="Arial"/>
          <w:bCs/>
          <w:kern w:val="12"/>
          <w:sz w:val="22"/>
          <w:szCs w:val="22"/>
        </w:rPr>
      </w:pPr>
      <w:r>
        <w:rPr>
          <w:rFonts w:eastAsiaTheme="minorHAnsi" w:cs="Arial"/>
          <w:bCs/>
          <w:kern w:val="12"/>
          <w:sz w:val="22"/>
          <w:szCs w:val="22"/>
        </w:rPr>
        <w:t>-</w:t>
      </w:r>
      <w:r w:rsidRPr="008B3188">
        <w:rPr>
          <w:rFonts w:eastAsiaTheme="minorHAnsi" w:cs="Arial"/>
          <w:bCs/>
          <w:kern w:val="12"/>
          <w:sz w:val="22"/>
          <w:szCs w:val="22"/>
        </w:rPr>
        <w:t>// -</w:t>
      </w:r>
    </w:p>
    <w:p w14:paraId="3129E62E" w14:textId="77777777" w:rsidR="00B35DE2" w:rsidRPr="000E4E6A" w:rsidRDefault="00B35DE2" w:rsidP="00B35DE2">
      <w:pPr>
        <w:rPr>
          <w:rFonts w:cs="Arial"/>
          <w:b/>
          <w:bCs/>
          <w:sz w:val="18"/>
          <w:szCs w:val="18"/>
        </w:rPr>
      </w:pPr>
    </w:p>
    <w:p w14:paraId="1293301A" w14:textId="3AF909C5" w:rsidR="000E4E6A" w:rsidRPr="000E4E6A" w:rsidRDefault="000E4E6A" w:rsidP="00186D3B">
      <w:pPr>
        <w:rPr>
          <w:rFonts w:cs="Arial"/>
          <w:b/>
          <w:bCs/>
          <w:sz w:val="18"/>
          <w:szCs w:val="18"/>
        </w:rPr>
      </w:pPr>
      <w:r w:rsidRPr="000E4E6A">
        <w:rPr>
          <w:rFonts w:cs="Arial"/>
          <w:b/>
          <w:bCs/>
          <w:sz w:val="18"/>
          <w:szCs w:val="18"/>
        </w:rPr>
        <w:t>Despre Băncilă, Diaconu și Asociații SPRL</w:t>
      </w:r>
    </w:p>
    <w:p w14:paraId="6FDBD8C8" w14:textId="6E822A07" w:rsidR="00186D3B" w:rsidRPr="00186D3B" w:rsidRDefault="00186D3B" w:rsidP="00186D3B">
      <w:pPr>
        <w:rPr>
          <w:rFonts w:cs="Arial"/>
          <w:sz w:val="18"/>
          <w:szCs w:val="18"/>
        </w:rPr>
      </w:pPr>
      <w:r w:rsidRPr="00186D3B">
        <w:rPr>
          <w:rFonts w:cs="Arial"/>
          <w:sz w:val="18"/>
          <w:szCs w:val="18"/>
        </w:rPr>
        <w:t>Băncilă, Diaconu și Asociații SPRL (denumită anterior Radu și Asociații SPRL) este o societate de avocați ce oferă servicii juridice complete, care includ atât servicii de consultanță juridică cât și asistență și reprezentare în fața instanțelor de judecată, având o practică importantă de controverse și dispute fiscale.</w:t>
      </w:r>
    </w:p>
    <w:p w14:paraId="6018597B" w14:textId="77777777" w:rsidR="00186D3B" w:rsidRPr="00186D3B" w:rsidRDefault="00186D3B" w:rsidP="00186D3B">
      <w:pPr>
        <w:rPr>
          <w:rFonts w:cs="Arial"/>
          <w:sz w:val="18"/>
          <w:szCs w:val="18"/>
        </w:rPr>
      </w:pPr>
    </w:p>
    <w:p w14:paraId="212DB8F3" w14:textId="77777777" w:rsidR="00186D3B" w:rsidRPr="00186D3B" w:rsidRDefault="00186D3B" w:rsidP="00186D3B">
      <w:pPr>
        <w:rPr>
          <w:rFonts w:cs="Arial"/>
          <w:sz w:val="18"/>
          <w:szCs w:val="18"/>
        </w:rPr>
      </w:pPr>
      <w:r w:rsidRPr="00186D3B">
        <w:rPr>
          <w:rFonts w:cs="Arial"/>
          <w:sz w:val="18"/>
          <w:szCs w:val="18"/>
        </w:rPr>
        <w:t>Băncilă, Diaconu și Asociații SPRL este membră a grupului Ernst &amp; Young Global Ltd și face parte din rețeaua globală EY Law, aflată în plină expansiune, în cadrul căreia lucrează peste 2400 de avocați în mai mult de 90 de jurisdicții.</w:t>
      </w:r>
    </w:p>
    <w:p w14:paraId="721D0004" w14:textId="77777777" w:rsidR="00186D3B" w:rsidRPr="00186D3B" w:rsidRDefault="00186D3B" w:rsidP="00186D3B">
      <w:pPr>
        <w:rPr>
          <w:rFonts w:cs="Arial"/>
          <w:sz w:val="18"/>
          <w:szCs w:val="18"/>
        </w:rPr>
      </w:pPr>
    </w:p>
    <w:p w14:paraId="5D968D11" w14:textId="4ED50886" w:rsidR="00186D3B" w:rsidRPr="00186D3B" w:rsidRDefault="00186D3B" w:rsidP="00186D3B">
      <w:pPr>
        <w:rPr>
          <w:rFonts w:cs="Arial"/>
          <w:sz w:val="18"/>
          <w:szCs w:val="18"/>
        </w:rPr>
      </w:pPr>
      <w:r w:rsidRPr="00186D3B">
        <w:rPr>
          <w:rFonts w:cs="Arial"/>
          <w:sz w:val="18"/>
          <w:szCs w:val="18"/>
        </w:rPr>
        <w:t xml:space="preserve">Experiența </w:t>
      </w:r>
      <w:r w:rsidR="00A933E4">
        <w:rPr>
          <w:rFonts w:cs="Arial"/>
          <w:sz w:val="18"/>
          <w:szCs w:val="18"/>
        </w:rPr>
        <w:t>lor</w:t>
      </w:r>
      <w:r w:rsidRPr="00186D3B">
        <w:rPr>
          <w:rFonts w:cs="Arial"/>
          <w:sz w:val="18"/>
          <w:szCs w:val="18"/>
        </w:rPr>
        <w:t xml:space="preserve"> a fost recunoscută de piață și de publicații internaționale.</w:t>
      </w:r>
    </w:p>
    <w:p w14:paraId="73AEA980" w14:textId="77777777" w:rsidR="00186D3B" w:rsidRPr="00186D3B" w:rsidRDefault="00186D3B" w:rsidP="00186D3B">
      <w:pPr>
        <w:rPr>
          <w:rFonts w:cs="Arial"/>
          <w:sz w:val="18"/>
          <w:szCs w:val="18"/>
        </w:rPr>
      </w:pPr>
    </w:p>
    <w:p w14:paraId="0EA99C06" w14:textId="60B8943E" w:rsidR="00186D3B" w:rsidRPr="00186D3B" w:rsidRDefault="00186D3B" w:rsidP="00186D3B">
      <w:pPr>
        <w:rPr>
          <w:rFonts w:cs="Arial"/>
          <w:sz w:val="18"/>
          <w:szCs w:val="18"/>
        </w:rPr>
      </w:pPr>
      <w:r w:rsidRPr="00186D3B">
        <w:rPr>
          <w:rFonts w:cs="Arial"/>
          <w:sz w:val="18"/>
          <w:szCs w:val="18"/>
        </w:rPr>
        <w:t xml:space="preserve">Chambers Global 2019 a recunoscut practica </w:t>
      </w:r>
      <w:r w:rsidR="00A933E4">
        <w:rPr>
          <w:rFonts w:cs="Arial"/>
          <w:sz w:val="18"/>
          <w:szCs w:val="18"/>
        </w:rPr>
        <w:t>lor</w:t>
      </w:r>
      <w:r w:rsidRPr="00186D3B">
        <w:rPr>
          <w:rFonts w:cs="Arial"/>
          <w:sz w:val="18"/>
          <w:szCs w:val="18"/>
        </w:rPr>
        <w:t xml:space="preserve"> de </w:t>
      </w:r>
      <w:proofErr w:type="spellStart"/>
      <w:r w:rsidRPr="00186D3B">
        <w:rPr>
          <w:rFonts w:cs="Arial"/>
          <w:sz w:val="18"/>
          <w:szCs w:val="18"/>
        </w:rPr>
        <w:t>Corporate</w:t>
      </w:r>
      <w:proofErr w:type="spellEnd"/>
      <w:r w:rsidRPr="00186D3B">
        <w:rPr>
          <w:rFonts w:cs="Arial"/>
          <w:sz w:val="18"/>
          <w:szCs w:val="18"/>
        </w:rPr>
        <w:t xml:space="preserve">/M&amp;A în timp ce Chambers Europe 2019, 2020, 2021 și 2022 au plasat practica </w:t>
      </w:r>
      <w:r w:rsidR="00A933E4">
        <w:rPr>
          <w:rFonts w:cs="Arial"/>
          <w:sz w:val="18"/>
          <w:szCs w:val="18"/>
        </w:rPr>
        <w:t>lor</w:t>
      </w:r>
      <w:r w:rsidRPr="00186D3B">
        <w:rPr>
          <w:rFonts w:cs="Arial"/>
          <w:sz w:val="18"/>
          <w:szCs w:val="18"/>
        </w:rPr>
        <w:t xml:space="preserve"> de Controverse și Dispute Fiscale pe banda 1. Totodată, The Legal 500 Europe, Middle East and Africa 2019, 2020 și 2021 au premiat practica </w:t>
      </w:r>
      <w:r w:rsidR="00A933E4">
        <w:rPr>
          <w:rFonts w:cs="Arial"/>
          <w:sz w:val="18"/>
          <w:szCs w:val="18"/>
        </w:rPr>
        <w:t>lor</w:t>
      </w:r>
      <w:r w:rsidRPr="00186D3B">
        <w:rPr>
          <w:rFonts w:cs="Arial"/>
          <w:sz w:val="18"/>
          <w:szCs w:val="18"/>
        </w:rPr>
        <w:t xml:space="preserve"> de Drept Comercial, Drept Societar și M&amp;A, edițiile 2020 și 2021 plasând practica de Controverse și Dispute Fiscale pe poziția 1.</w:t>
      </w:r>
    </w:p>
    <w:p w14:paraId="1BD343DC" w14:textId="77777777" w:rsidR="00186D3B" w:rsidRPr="00186D3B" w:rsidRDefault="00186D3B" w:rsidP="00186D3B">
      <w:pPr>
        <w:rPr>
          <w:rFonts w:cs="Arial"/>
          <w:sz w:val="18"/>
          <w:szCs w:val="18"/>
        </w:rPr>
      </w:pPr>
    </w:p>
    <w:p w14:paraId="176D3234" w14:textId="12DF12CF" w:rsidR="00BB6595" w:rsidRPr="00186D3B" w:rsidRDefault="00186D3B" w:rsidP="00186D3B">
      <w:pPr>
        <w:rPr>
          <w:rFonts w:cs="Arial"/>
          <w:sz w:val="18"/>
          <w:szCs w:val="18"/>
        </w:rPr>
      </w:pPr>
      <w:r w:rsidRPr="00186D3B">
        <w:rPr>
          <w:rFonts w:cs="Arial"/>
          <w:sz w:val="18"/>
          <w:szCs w:val="18"/>
        </w:rPr>
        <w:t>Pentru mai multe detalii, vă rugăm accesați: www.bdattorneys.ro</w:t>
      </w:r>
    </w:p>
    <w:sectPr w:rsidR="00BB6595" w:rsidRPr="00186D3B" w:rsidSect="008731BE">
      <w:headerReference w:type="default" r:id="rId12"/>
      <w:footerReference w:type="default" r:id="rId13"/>
      <w:headerReference w:type="first" r:id="rId14"/>
      <w:pgSz w:w="11907" w:h="16840" w:code="9"/>
      <w:pgMar w:top="2722" w:right="1282" w:bottom="936" w:left="1368" w:header="706"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5C90" w14:textId="77777777" w:rsidR="001D3D60" w:rsidRDefault="001D3D60">
      <w:r>
        <w:separator/>
      </w:r>
    </w:p>
  </w:endnote>
  <w:endnote w:type="continuationSeparator" w:id="0">
    <w:p w14:paraId="27844685" w14:textId="77777777" w:rsidR="001D3D60" w:rsidRDefault="001D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8DC7" w14:textId="0BF4D02C" w:rsidR="008731BE" w:rsidRDefault="000A30C3">
    <w:pPr>
      <w:pStyle w:val="Footer"/>
    </w:pPr>
    <w:r>
      <w:rPr>
        <w:noProof/>
        <w:lang w:eastAsia="ro-RO"/>
      </w:rPr>
      <mc:AlternateContent>
        <mc:Choice Requires="wps">
          <w:drawing>
            <wp:anchor distT="0" distB="0" distL="114300" distR="114300" simplePos="0" relativeHeight="251659264" behindDoc="1" locked="1" layoutInCell="1" allowOverlap="1" wp14:anchorId="23CC86E2" wp14:editId="784BB893">
              <wp:simplePos x="0" y="0"/>
              <wp:positionH relativeFrom="column">
                <wp:posOffset>0</wp:posOffset>
              </wp:positionH>
              <wp:positionV relativeFrom="page">
                <wp:posOffset>10333355</wp:posOffset>
              </wp:positionV>
              <wp:extent cx="1714500" cy="114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
                      </a:xfrm>
                      <a:prstGeom prst="rect">
                        <a:avLst/>
                      </a:prstGeom>
                      <a:noFill/>
                      <a:ln>
                        <a:noFill/>
                      </a:ln>
                    </wps:spPr>
                    <wps:txbx>
                      <w:txbxContent>
                        <w:p w14:paraId="77586310" w14:textId="77777777" w:rsidR="008731BE" w:rsidRPr="00195C92" w:rsidRDefault="001D3D60" w:rsidP="008731BE">
                          <w:pPr>
                            <w:pStyle w:val="EYFooterinf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C86E2" id="_x0000_t202" coordsize="21600,21600" o:spt="202" path="m,l,21600r21600,l21600,xe">
              <v:stroke joinstyle="miter"/>
              <v:path gradientshapeok="t" o:connecttype="rect"/>
            </v:shapetype>
            <v:shape id="Text Box 5" o:spid="_x0000_s1027" type="#_x0000_t202" style="position:absolute;margin-left:0;margin-top:813.65pt;width:13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" filled="f" stroked="f">
              <v:textbox inset="0,0,0,0">
                <w:txbxContent>
                  <w:p w14:paraId="77586310" w14:textId="77777777" w:rsidR="008731BE" w:rsidRPr="00195C92" w:rsidRDefault="0015351A" w:rsidP="008731BE">
                    <w:pPr>
                      <w:pStyle w:val="EYFooterinfo"/>
                    </w:pP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23CE" w14:textId="77777777" w:rsidR="001D3D60" w:rsidRDefault="001D3D60">
      <w:r>
        <w:separator/>
      </w:r>
    </w:p>
  </w:footnote>
  <w:footnote w:type="continuationSeparator" w:id="0">
    <w:p w14:paraId="1F59B65D" w14:textId="77777777" w:rsidR="001D3D60" w:rsidRDefault="001D3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3720" w14:textId="5DF5CC24" w:rsidR="008731BE" w:rsidRDefault="00A646D4" w:rsidP="008731BE">
    <w:pPr>
      <w:pStyle w:val="Header"/>
    </w:pPr>
    <w:r>
      <w:rPr>
        <w:noProof/>
        <w:lang w:eastAsia="ro-RO"/>
      </w:rPr>
      <w:drawing>
        <wp:anchor distT="0" distB="0" distL="114300" distR="114300" simplePos="0" relativeHeight="251662336" behindDoc="1" locked="0" layoutInCell="1" allowOverlap="1" wp14:anchorId="40140666" wp14:editId="5B4659A9">
          <wp:simplePos x="0" y="0"/>
          <wp:positionH relativeFrom="column">
            <wp:posOffset>-1905</wp:posOffset>
          </wp:positionH>
          <wp:positionV relativeFrom="paragraph">
            <wp:posOffset>18415</wp:posOffset>
          </wp:positionV>
          <wp:extent cx="847725" cy="996950"/>
          <wp:effectExtent l="0" t="0" r="9525" b="0"/>
          <wp:wrapTight wrapText="bothSides">
            <wp:wrapPolygon edited="0">
              <wp:start x="0" y="0"/>
              <wp:lineTo x="0" y="21050"/>
              <wp:lineTo x="21357" y="21050"/>
              <wp:lineTo x="21357" y="0"/>
              <wp:lineTo x="0" y="0"/>
            </wp:wrapPolygon>
          </wp:wrapTight>
          <wp:docPr id="2" name="Picture 2" descr="http://brandingzone.ey.net/national/tbz3.nsf/SitePage/Brand+elements_EY+logo/$file/EY_logo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ndingzone.ey.net/national/tbz3.nsf/SitePage/Brand+elements_EY+logo/$file/EY_logo_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96950"/>
                  </a:xfrm>
                  <a:prstGeom prst="rect">
                    <a:avLst/>
                  </a:prstGeom>
                  <a:noFill/>
                  <a:ln>
                    <a:noFill/>
                  </a:ln>
                </pic:spPr>
              </pic:pic>
            </a:graphicData>
          </a:graphic>
        </wp:anchor>
      </w:drawing>
    </w:r>
    <w:r w:rsidR="000A30C3">
      <w:rPr>
        <w:noProof/>
        <w:lang w:eastAsia="ro-RO"/>
      </w:rPr>
      <mc:AlternateContent>
        <mc:Choice Requires="wps">
          <w:drawing>
            <wp:anchor distT="0" distB="0" distL="114300" distR="114300" simplePos="0" relativeHeight="251660288" behindDoc="0" locked="0" layoutInCell="1" allowOverlap="1" wp14:anchorId="34EA83BC" wp14:editId="5FF53B6E">
              <wp:simplePos x="0" y="0"/>
              <wp:positionH relativeFrom="page">
                <wp:posOffset>5403850</wp:posOffset>
              </wp:positionH>
              <wp:positionV relativeFrom="page">
                <wp:posOffset>403225</wp:posOffset>
              </wp:positionV>
              <wp:extent cx="1800225" cy="61785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17855"/>
                      </a:xfrm>
                      <a:prstGeom prst="rect">
                        <a:avLst/>
                      </a:prstGeom>
                      <a:noFill/>
                      <a:ln>
                        <a:noFill/>
                      </a:ln>
                    </wps:spPr>
                    <wps:txbx>
                      <w:txbxContent>
                        <w:p w14:paraId="383F9910" w14:textId="77777777" w:rsidR="008731BE" w:rsidRDefault="00A646D4" w:rsidP="008731BE">
                          <w:pPr>
                            <w:pStyle w:val="EYContinuationheader"/>
                            <w:jc w:val="right"/>
                          </w:pPr>
                          <w:r>
                            <w:t xml:space="preserve">Pagina </w:t>
                          </w:r>
                          <w:r w:rsidR="00B74BC5">
                            <w:fldChar w:fldCharType="begin"/>
                          </w:r>
                          <w:r>
                            <w:instrText xml:space="preserve"> PAGE  \* Arabic  \* MERGEFORMAT </w:instrText>
                          </w:r>
                          <w:r w:rsidR="00B74BC5">
                            <w:fldChar w:fldCharType="separate"/>
                          </w:r>
                          <w:r w:rsidR="003A6CD6">
                            <w:rPr>
                              <w:noProof/>
                            </w:rPr>
                            <w:t>3</w:t>
                          </w:r>
                          <w:r w:rsidR="00B74BC5">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A83BC" id="_x0000_t202" coordsize="21600,21600" o:spt="202" path="m,l,21600r21600,l21600,xe">
              <v:stroke joinstyle="miter"/>
              <v:path gradientshapeok="t" o:connecttype="rect"/>
            </v:shapetype>
            <v:shape id="Text Box 7" o:spid="_x0000_s1026" type="#_x0000_t202" style="position:absolute;margin-left:425.5pt;margin-top:31.75pt;width:141.75pt;height:48.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" filled="f" stroked="f">
              <v:textbox inset="0,0,0,0">
                <w:txbxContent>
                  <w:p w14:paraId="383F9910" w14:textId="77777777" w:rsidR="008731BE" w:rsidRDefault="00A646D4" w:rsidP="008731BE">
                    <w:pPr>
                      <w:pStyle w:val="EYContinuationheader"/>
                      <w:jc w:val="right"/>
                    </w:pPr>
                    <w:r>
                      <w:t xml:space="preserve">Pagina </w:t>
                    </w:r>
                    <w:r w:rsidR="00B74BC5">
                      <w:fldChar w:fldCharType="begin"/>
                    </w:r>
                    <w:r>
                      <w:instrText xml:space="preserve"> PAGE  \* Arabic  \* MERGEFORMAT </w:instrText>
                    </w:r>
                    <w:r w:rsidR="00B74BC5">
                      <w:fldChar w:fldCharType="separate"/>
                    </w:r>
                    <w:r w:rsidR="003A6CD6">
                      <w:rPr>
                        <w:noProof/>
                      </w:rPr>
                      <w:t>3</w:t>
                    </w:r>
                    <w:r w:rsidR="00B74BC5">
                      <w:fldChar w:fldCharType="end"/>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C318" w14:textId="25877916" w:rsidR="008731BE" w:rsidRDefault="00D93FDF">
    <w:pPr>
      <w:pStyle w:val="Header"/>
    </w:pPr>
    <w:r>
      <w:rPr>
        <w:noProof/>
      </w:rPr>
      <mc:AlternateContent>
        <mc:Choice Requires="wps">
          <w:drawing>
            <wp:anchor distT="45720" distB="45720" distL="114300" distR="114300" simplePos="0" relativeHeight="251666432" behindDoc="0" locked="0" layoutInCell="1" allowOverlap="1" wp14:anchorId="593D0BC5" wp14:editId="15F9690C">
              <wp:simplePos x="0" y="0"/>
              <wp:positionH relativeFrom="margin">
                <wp:posOffset>3607435</wp:posOffset>
              </wp:positionH>
              <wp:positionV relativeFrom="paragraph">
                <wp:posOffset>-248285</wp:posOffset>
              </wp:positionV>
              <wp:extent cx="2907665" cy="1404620"/>
              <wp:effectExtent l="0" t="0" r="6985" b="0"/>
              <wp:wrapSquare wrapText="bothSides"/>
              <wp:docPr id="217" name="Casetă tex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1404620"/>
                      </a:xfrm>
                      <a:prstGeom prst="rect">
                        <a:avLst/>
                      </a:prstGeom>
                      <a:solidFill>
                        <a:srgbClr val="FFFFFF"/>
                      </a:solidFill>
                      <a:ln w="9525">
                        <a:noFill/>
                        <a:miter lim="800000"/>
                        <a:headEnd/>
                        <a:tailEnd/>
                      </a:ln>
                    </wps:spPr>
                    <wps:txbx>
                      <w:txbxContent>
                        <w:tbl>
                          <w:tblPr>
                            <w:tblW w:w="4292" w:type="dxa"/>
                            <w:tblCellMar>
                              <w:left w:w="0" w:type="dxa"/>
                              <w:right w:w="0" w:type="dxa"/>
                            </w:tblCellMar>
                            <w:tblLook w:val="04A0" w:firstRow="1" w:lastRow="0" w:firstColumn="1" w:lastColumn="0" w:noHBand="0" w:noVBand="1"/>
                          </w:tblPr>
                          <w:tblGrid>
                            <w:gridCol w:w="2272"/>
                            <w:gridCol w:w="2020"/>
                          </w:tblGrid>
                          <w:tr w:rsidR="00D93FDF" w14:paraId="69BA80CC" w14:textId="77777777" w:rsidTr="00AF6755">
                            <w:tc>
                              <w:tcPr>
                                <w:tcW w:w="2272" w:type="dxa"/>
                                <w:shd w:val="clear" w:color="auto" w:fill="auto"/>
                              </w:tcPr>
                              <w:p w14:paraId="6513EAF2" w14:textId="77777777" w:rsidR="00D93FDF" w:rsidRPr="003446B4" w:rsidRDefault="00D93FDF" w:rsidP="004B17DB">
                                <w:pPr>
                                  <w:pStyle w:val="EYBusinessaddress"/>
                                  <w:rPr>
                                    <w:lang w:val="ro-RO"/>
                                  </w:rPr>
                                </w:pPr>
                                <w:r>
                                  <w:t>B</w:t>
                                </w:r>
                                <w:r>
                                  <w:rPr>
                                    <w:lang w:val="ro-RO"/>
                                  </w:rPr>
                                  <w:t>ăncilă, Diaconu și Asociații SPRL</w:t>
                                </w:r>
                              </w:p>
                              <w:p w14:paraId="482920E0" w14:textId="77777777" w:rsidR="00D93FDF" w:rsidRPr="00272BDA" w:rsidRDefault="00D93FDF" w:rsidP="004B17DB">
                                <w:pPr>
                                  <w:pStyle w:val="EYBusinessaddress"/>
                                </w:pPr>
                                <w:r>
                                  <w:t>Bucharest Tower Center Building, 22</w:t>
                                </w:r>
                                <w:r w:rsidRPr="002217CB">
                                  <w:rPr>
                                    <w:vertAlign w:val="superscript"/>
                                  </w:rPr>
                                  <w:t>nd</w:t>
                                </w:r>
                                <w:r>
                                  <w:t xml:space="preserve"> Floor</w:t>
                                </w:r>
                              </w:p>
                              <w:p w14:paraId="6CDF1ED8" w14:textId="77777777" w:rsidR="00D93FDF" w:rsidRPr="00272BDA" w:rsidRDefault="00D93FDF" w:rsidP="004B17DB">
                                <w:pPr>
                                  <w:pStyle w:val="EYBusinessaddress"/>
                                </w:pPr>
                                <w:r>
                                  <w:t>15-17 Ion Mihalache Blvd., Sector 1</w:t>
                                </w:r>
                              </w:p>
                              <w:p w14:paraId="46AF2CC5" w14:textId="77777777" w:rsidR="00D93FDF" w:rsidRPr="00272BDA" w:rsidRDefault="00D93FDF" w:rsidP="004B17DB">
                                <w:pPr>
                                  <w:pStyle w:val="EYBusinessaddress"/>
                                </w:pPr>
                                <w:r>
                                  <w:t>011171 Bucharest, Romania</w:t>
                                </w:r>
                              </w:p>
                            </w:tc>
                            <w:tc>
                              <w:tcPr>
                                <w:tcW w:w="2020" w:type="dxa"/>
                              </w:tcPr>
                              <w:p w14:paraId="49555569" w14:textId="77777777" w:rsidR="00D93FDF" w:rsidRDefault="00D93FDF" w:rsidP="004B17DB">
                                <w:pPr>
                                  <w:pStyle w:val="EYBusinessaddress"/>
                                </w:pPr>
                              </w:p>
                            </w:tc>
                          </w:tr>
                        </w:tbl>
                        <w:p w14:paraId="32EC0247" w14:textId="77777777" w:rsidR="00D93FDF" w:rsidRPr="002004B4" w:rsidRDefault="00D93FDF" w:rsidP="00D93FDF">
                          <w:pPr>
                            <w:rPr>
                              <w:rFonts w:cs="Arial"/>
                              <w:sz w:val="15"/>
                              <w:szCs w:val="15"/>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3D0BC5" id="_x0000_t202" coordsize="21600,21600" o:spt="202" path="m,l,21600r21600,l21600,xe">
              <v:stroke joinstyle="miter"/>
              <v:path gradientshapeok="t" o:connecttype="rect"/>
            </v:shapetype>
            <v:shape id="Casetă text 217" o:spid="_x0000_s1028" type="#_x0000_t202" style="position:absolute;margin-left:284.05pt;margin-top:-19.55pt;width:228.9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6KEwIAAP4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" stroked="f">
              <v:textbox style="mso-fit-shape-to-text:t">
                <w:txbxContent>
                  <w:tbl>
                    <w:tblPr>
                      <w:tblW w:w="4292" w:type="dxa"/>
                      <w:tblCellMar>
                        <w:left w:w="0" w:type="dxa"/>
                        <w:right w:w="0" w:type="dxa"/>
                      </w:tblCellMar>
                      <w:tblLook w:val="04A0" w:firstRow="1" w:lastRow="0" w:firstColumn="1" w:lastColumn="0" w:noHBand="0" w:noVBand="1"/>
                    </w:tblPr>
                    <w:tblGrid>
                      <w:gridCol w:w="2272"/>
                      <w:gridCol w:w="2020"/>
                    </w:tblGrid>
                    <w:tr w:rsidR="00D93FDF" w14:paraId="69BA80CC" w14:textId="77777777" w:rsidTr="00AF6755">
                      <w:tc>
                        <w:tcPr>
                          <w:tcW w:w="2272" w:type="dxa"/>
                          <w:shd w:val="clear" w:color="auto" w:fill="auto"/>
                        </w:tcPr>
                        <w:p w14:paraId="6513EAF2" w14:textId="77777777" w:rsidR="00D93FDF" w:rsidRPr="003446B4" w:rsidRDefault="00D93FDF" w:rsidP="004B17DB">
                          <w:pPr>
                            <w:pStyle w:val="EYBusinessaddress"/>
                            <w:rPr>
                              <w:lang w:val="ro-RO"/>
                            </w:rPr>
                          </w:pPr>
                          <w:r>
                            <w:t>B</w:t>
                          </w:r>
                          <w:r>
                            <w:rPr>
                              <w:lang w:val="ro-RO"/>
                            </w:rPr>
                            <w:t>ăncilă, Diaconu și Asociații SPRL</w:t>
                          </w:r>
                        </w:p>
                        <w:p w14:paraId="482920E0" w14:textId="77777777" w:rsidR="00D93FDF" w:rsidRPr="00272BDA" w:rsidRDefault="00D93FDF" w:rsidP="004B17DB">
                          <w:pPr>
                            <w:pStyle w:val="EYBusinessaddress"/>
                          </w:pPr>
                          <w:r>
                            <w:t>Bucharest Tower Center Building, 22</w:t>
                          </w:r>
                          <w:r w:rsidRPr="002217CB">
                            <w:rPr>
                              <w:vertAlign w:val="superscript"/>
                            </w:rPr>
                            <w:t>nd</w:t>
                          </w:r>
                          <w:r>
                            <w:t xml:space="preserve"> Floor</w:t>
                          </w:r>
                        </w:p>
                        <w:p w14:paraId="6CDF1ED8" w14:textId="77777777" w:rsidR="00D93FDF" w:rsidRPr="00272BDA" w:rsidRDefault="00D93FDF" w:rsidP="004B17DB">
                          <w:pPr>
                            <w:pStyle w:val="EYBusinessaddress"/>
                          </w:pPr>
                          <w:r>
                            <w:t>15-17 Ion Mihalache Blvd., Sector 1</w:t>
                          </w:r>
                        </w:p>
                        <w:p w14:paraId="46AF2CC5" w14:textId="77777777" w:rsidR="00D93FDF" w:rsidRPr="00272BDA" w:rsidRDefault="00D93FDF" w:rsidP="004B17DB">
                          <w:pPr>
                            <w:pStyle w:val="EYBusinessaddress"/>
                          </w:pPr>
                          <w:r>
                            <w:t>011171 Bucharest, Romania</w:t>
                          </w:r>
                        </w:p>
                      </w:tc>
                      <w:tc>
                        <w:tcPr>
                          <w:tcW w:w="2020" w:type="dxa"/>
                        </w:tcPr>
                        <w:p w14:paraId="49555569" w14:textId="77777777" w:rsidR="00D93FDF" w:rsidRDefault="00D93FDF" w:rsidP="004B17DB">
                          <w:pPr>
                            <w:pStyle w:val="EYBusinessaddress"/>
                          </w:pPr>
                        </w:p>
                      </w:tc>
                    </w:tr>
                  </w:tbl>
                  <w:p w14:paraId="32EC0247" w14:textId="77777777" w:rsidR="00D93FDF" w:rsidRPr="002004B4" w:rsidRDefault="00D93FDF" w:rsidP="00D93FDF">
                    <w:pPr>
                      <w:rPr>
                        <w:rFonts w:cs="Arial"/>
                        <w:sz w:val="15"/>
                        <w:szCs w:val="15"/>
                      </w:rPr>
                    </w:pPr>
                  </w:p>
                </w:txbxContent>
              </v:textbox>
              <w10:wrap type="square" anchorx="margin"/>
            </v:shape>
          </w:pict>
        </mc:Fallback>
      </mc:AlternateContent>
    </w:r>
    <w:r w:rsidR="00920EFF">
      <w:rPr>
        <w:noProof/>
      </w:rPr>
      <w:drawing>
        <wp:anchor distT="0" distB="0" distL="114300" distR="114300" simplePos="0" relativeHeight="251664384" behindDoc="0" locked="0" layoutInCell="1" allowOverlap="1" wp14:anchorId="5200A0B5" wp14:editId="7D222B93">
          <wp:simplePos x="0" y="0"/>
          <wp:positionH relativeFrom="margin">
            <wp:posOffset>0</wp:posOffset>
          </wp:positionH>
          <wp:positionV relativeFrom="topMargin">
            <wp:posOffset>591185</wp:posOffset>
          </wp:positionV>
          <wp:extent cx="2103120" cy="666115"/>
          <wp:effectExtent l="0" t="0" r="0" b="0"/>
          <wp:wrapSquare wrapText="bothSides"/>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6661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6E80"/>
    <w:multiLevelType w:val="hybridMultilevel"/>
    <w:tmpl w:val="F6745320"/>
    <w:lvl w:ilvl="0" w:tplc="AB06A944">
      <w:start w:val="1"/>
      <w:numFmt w:val="bullet"/>
      <w:lvlText w:val=""/>
      <w:lvlJc w:val="left"/>
      <w:pPr>
        <w:ind w:left="5889" w:hanging="360"/>
      </w:pPr>
      <w:rPr>
        <w:rFonts w:ascii="Wingdings 3" w:hAnsi="Wingdings 3" w:hint="default"/>
        <w:sz w:val="16"/>
        <w:szCs w:val="16"/>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1" w15:restartNumberingAfterBreak="0">
    <w:nsid w:val="47E5569E"/>
    <w:multiLevelType w:val="hybridMultilevel"/>
    <w:tmpl w:val="39C23C88"/>
    <w:lvl w:ilvl="0" w:tplc="AB06A944">
      <w:start w:val="1"/>
      <w:numFmt w:val="bullet"/>
      <w:lvlText w:val=""/>
      <w:lvlJc w:val="left"/>
      <w:pPr>
        <w:ind w:left="720" w:hanging="360"/>
      </w:pPr>
      <w:rPr>
        <w:rFonts w:ascii="Wingdings 3" w:hAnsi="Wingdings 3"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394339"/>
    <w:multiLevelType w:val="hybridMultilevel"/>
    <w:tmpl w:val="4C1C65E2"/>
    <w:lvl w:ilvl="0" w:tplc="B7CA401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697001">
    <w:abstractNumId w:val="1"/>
  </w:num>
  <w:num w:numId="2" w16cid:durableId="95908694">
    <w:abstractNumId w:val="0"/>
  </w:num>
  <w:num w:numId="3" w16cid:durableId="1125193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EA"/>
    <w:rsid w:val="00002F9B"/>
    <w:rsid w:val="000118C0"/>
    <w:rsid w:val="00011F0C"/>
    <w:rsid w:val="0001482B"/>
    <w:rsid w:val="00014FCA"/>
    <w:rsid w:val="00020EDA"/>
    <w:rsid w:val="00032423"/>
    <w:rsid w:val="000402A8"/>
    <w:rsid w:val="0004053B"/>
    <w:rsid w:val="000424CE"/>
    <w:rsid w:val="0004334D"/>
    <w:rsid w:val="000500F1"/>
    <w:rsid w:val="00051CFA"/>
    <w:rsid w:val="0005477E"/>
    <w:rsid w:val="00072965"/>
    <w:rsid w:val="000746E5"/>
    <w:rsid w:val="00091FAC"/>
    <w:rsid w:val="00092FF0"/>
    <w:rsid w:val="00093829"/>
    <w:rsid w:val="00094877"/>
    <w:rsid w:val="00095366"/>
    <w:rsid w:val="000A2E33"/>
    <w:rsid w:val="000A30C3"/>
    <w:rsid w:val="000A3147"/>
    <w:rsid w:val="000B0185"/>
    <w:rsid w:val="000B62F3"/>
    <w:rsid w:val="000D61B9"/>
    <w:rsid w:val="000E4E6A"/>
    <w:rsid w:val="000F0F7C"/>
    <w:rsid w:val="001026CF"/>
    <w:rsid w:val="00126C72"/>
    <w:rsid w:val="00136CE2"/>
    <w:rsid w:val="00136DDD"/>
    <w:rsid w:val="0013771C"/>
    <w:rsid w:val="00145617"/>
    <w:rsid w:val="00146B1C"/>
    <w:rsid w:val="0015351A"/>
    <w:rsid w:val="00163F8D"/>
    <w:rsid w:val="00170FD9"/>
    <w:rsid w:val="0017314E"/>
    <w:rsid w:val="001772ED"/>
    <w:rsid w:val="00186D3B"/>
    <w:rsid w:val="001879EC"/>
    <w:rsid w:val="001961EC"/>
    <w:rsid w:val="001977A3"/>
    <w:rsid w:val="001A4B8A"/>
    <w:rsid w:val="001B0350"/>
    <w:rsid w:val="001B4DA6"/>
    <w:rsid w:val="001B7D9D"/>
    <w:rsid w:val="001C4197"/>
    <w:rsid w:val="001C60D3"/>
    <w:rsid w:val="001D3D60"/>
    <w:rsid w:val="001D63F1"/>
    <w:rsid w:val="001E18A9"/>
    <w:rsid w:val="001F2A24"/>
    <w:rsid w:val="001F5517"/>
    <w:rsid w:val="0020127C"/>
    <w:rsid w:val="00204B97"/>
    <w:rsid w:val="0021746D"/>
    <w:rsid w:val="0022335F"/>
    <w:rsid w:val="002240EA"/>
    <w:rsid w:val="00224196"/>
    <w:rsid w:val="00240106"/>
    <w:rsid w:val="002540CB"/>
    <w:rsid w:val="002641C8"/>
    <w:rsid w:val="00272E7E"/>
    <w:rsid w:val="00291253"/>
    <w:rsid w:val="002A3E77"/>
    <w:rsid w:val="002A476A"/>
    <w:rsid w:val="002B316E"/>
    <w:rsid w:val="002D245C"/>
    <w:rsid w:val="002D48E2"/>
    <w:rsid w:val="002D663B"/>
    <w:rsid w:val="002D6F13"/>
    <w:rsid w:val="002F0D67"/>
    <w:rsid w:val="002F5C56"/>
    <w:rsid w:val="00302ABE"/>
    <w:rsid w:val="00305E50"/>
    <w:rsid w:val="00312963"/>
    <w:rsid w:val="00316676"/>
    <w:rsid w:val="00333279"/>
    <w:rsid w:val="003367D0"/>
    <w:rsid w:val="00352BEF"/>
    <w:rsid w:val="00370D92"/>
    <w:rsid w:val="00374FEA"/>
    <w:rsid w:val="003908A8"/>
    <w:rsid w:val="00397DB8"/>
    <w:rsid w:val="003A2749"/>
    <w:rsid w:val="003A6CD6"/>
    <w:rsid w:val="003B7197"/>
    <w:rsid w:val="003B75BF"/>
    <w:rsid w:val="003C120F"/>
    <w:rsid w:val="003C4618"/>
    <w:rsid w:val="003D247A"/>
    <w:rsid w:val="003F4F3D"/>
    <w:rsid w:val="004041EB"/>
    <w:rsid w:val="00412E12"/>
    <w:rsid w:val="00413663"/>
    <w:rsid w:val="00415BE2"/>
    <w:rsid w:val="00423019"/>
    <w:rsid w:val="004310C7"/>
    <w:rsid w:val="004360DE"/>
    <w:rsid w:val="00442438"/>
    <w:rsid w:val="00453BEA"/>
    <w:rsid w:val="0046717B"/>
    <w:rsid w:val="00480BD2"/>
    <w:rsid w:val="00486F15"/>
    <w:rsid w:val="00490A99"/>
    <w:rsid w:val="0049335B"/>
    <w:rsid w:val="004A3D7C"/>
    <w:rsid w:val="004B159A"/>
    <w:rsid w:val="004C7758"/>
    <w:rsid w:val="004E1A81"/>
    <w:rsid w:val="004E3CC7"/>
    <w:rsid w:val="004F070B"/>
    <w:rsid w:val="004F2746"/>
    <w:rsid w:val="004F5813"/>
    <w:rsid w:val="005045C1"/>
    <w:rsid w:val="005132A6"/>
    <w:rsid w:val="00517A33"/>
    <w:rsid w:val="00535653"/>
    <w:rsid w:val="00535C70"/>
    <w:rsid w:val="00545F9B"/>
    <w:rsid w:val="005469EB"/>
    <w:rsid w:val="00554419"/>
    <w:rsid w:val="005611A0"/>
    <w:rsid w:val="0056122D"/>
    <w:rsid w:val="00566C2A"/>
    <w:rsid w:val="0057371A"/>
    <w:rsid w:val="0057685B"/>
    <w:rsid w:val="00581424"/>
    <w:rsid w:val="00582EFC"/>
    <w:rsid w:val="005859A1"/>
    <w:rsid w:val="00593641"/>
    <w:rsid w:val="005A383F"/>
    <w:rsid w:val="005B2DF6"/>
    <w:rsid w:val="005B6C1F"/>
    <w:rsid w:val="005C07C8"/>
    <w:rsid w:val="005C110F"/>
    <w:rsid w:val="005C2734"/>
    <w:rsid w:val="005C2A47"/>
    <w:rsid w:val="005C40DD"/>
    <w:rsid w:val="005C673A"/>
    <w:rsid w:val="005D432C"/>
    <w:rsid w:val="005D5870"/>
    <w:rsid w:val="005E0311"/>
    <w:rsid w:val="005E3F4A"/>
    <w:rsid w:val="005F0C14"/>
    <w:rsid w:val="005F2079"/>
    <w:rsid w:val="00603EB3"/>
    <w:rsid w:val="00604BAC"/>
    <w:rsid w:val="006272F6"/>
    <w:rsid w:val="00634DD2"/>
    <w:rsid w:val="00662571"/>
    <w:rsid w:val="00663786"/>
    <w:rsid w:val="00665728"/>
    <w:rsid w:val="006757D3"/>
    <w:rsid w:val="00681BC5"/>
    <w:rsid w:val="00682376"/>
    <w:rsid w:val="00686F9A"/>
    <w:rsid w:val="00690AA2"/>
    <w:rsid w:val="006A1B66"/>
    <w:rsid w:val="006B5E42"/>
    <w:rsid w:val="006B76B4"/>
    <w:rsid w:val="006C53A4"/>
    <w:rsid w:val="006C6879"/>
    <w:rsid w:val="006D1A3D"/>
    <w:rsid w:val="006D7B6E"/>
    <w:rsid w:val="006F19A1"/>
    <w:rsid w:val="006F2BCD"/>
    <w:rsid w:val="006F759F"/>
    <w:rsid w:val="00700AE8"/>
    <w:rsid w:val="00713CF2"/>
    <w:rsid w:val="00714AB4"/>
    <w:rsid w:val="007229A9"/>
    <w:rsid w:val="00724414"/>
    <w:rsid w:val="00740400"/>
    <w:rsid w:val="00742BE4"/>
    <w:rsid w:val="007434E3"/>
    <w:rsid w:val="007454AC"/>
    <w:rsid w:val="00745904"/>
    <w:rsid w:val="007537D0"/>
    <w:rsid w:val="007625F5"/>
    <w:rsid w:val="00773105"/>
    <w:rsid w:val="00773A6C"/>
    <w:rsid w:val="00780674"/>
    <w:rsid w:val="007839B1"/>
    <w:rsid w:val="00783F72"/>
    <w:rsid w:val="007858E4"/>
    <w:rsid w:val="00791BF9"/>
    <w:rsid w:val="00792860"/>
    <w:rsid w:val="00797F0D"/>
    <w:rsid w:val="007A2060"/>
    <w:rsid w:val="007A2745"/>
    <w:rsid w:val="007B176D"/>
    <w:rsid w:val="007C5366"/>
    <w:rsid w:val="007D69DD"/>
    <w:rsid w:val="007E69BE"/>
    <w:rsid w:val="007E7FC5"/>
    <w:rsid w:val="00801E20"/>
    <w:rsid w:val="0081476F"/>
    <w:rsid w:val="00831774"/>
    <w:rsid w:val="00836CE8"/>
    <w:rsid w:val="00844C29"/>
    <w:rsid w:val="00846DEB"/>
    <w:rsid w:val="00852838"/>
    <w:rsid w:val="008558A6"/>
    <w:rsid w:val="00855B2F"/>
    <w:rsid w:val="00866672"/>
    <w:rsid w:val="00883BBD"/>
    <w:rsid w:val="00884454"/>
    <w:rsid w:val="00890C55"/>
    <w:rsid w:val="008A041B"/>
    <w:rsid w:val="008A554A"/>
    <w:rsid w:val="008A6BA4"/>
    <w:rsid w:val="008B3188"/>
    <w:rsid w:val="008C39E8"/>
    <w:rsid w:val="008C419D"/>
    <w:rsid w:val="008D01A6"/>
    <w:rsid w:val="008D2DD2"/>
    <w:rsid w:val="008E0658"/>
    <w:rsid w:val="008F48A3"/>
    <w:rsid w:val="00906E2D"/>
    <w:rsid w:val="00916D09"/>
    <w:rsid w:val="00920EFF"/>
    <w:rsid w:val="00923387"/>
    <w:rsid w:val="009238BB"/>
    <w:rsid w:val="009347C4"/>
    <w:rsid w:val="009604AA"/>
    <w:rsid w:val="009631B0"/>
    <w:rsid w:val="009825DB"/>
    <w:rsid w:val="00995652"/>
    <w:rsid w:val="00995A75"/>
    <w:rsid w:val="00995B87"/>
    <w:rsid w:val="009A2BFA"/>
    <w:rsid w:val="009B2E5E"/>
    <w:rsid w:val="009B647A"/>
    <w:rsid w:val="009C66D9"/>
    <w:rsid w:val="009D38F7"/>
    <w:rsid w:val="009D4779"/>
    <w:rsid w:val="009E02CD"/>
    <w:rsid w:val="009E73DA"/>
    <w:rsid w:val="009F6941"/>
    <w:rsid w:val="009F6FB0"/>
    <w:rsid w:val="00A00281"/>
    <w:rsid w:val="00A04348"/>
    <w:rsid w:val="00A06982"/>
    <w:rsid w:val="00A141B7"/>
    <w:rsid w:val="00A22984"/>
    <w:rsid w:val="00A3156B"/>
    <w:rsid w:val="00A31C23"/>
    <w:rsid w:val="00A36B09"/>
    <w:rsid w:val="00A37BE0"/>
    <w:rsid w:val="00A44E41"/>
    <w:rsid w:val="00A508BF"/>
    <w:rsid w:val="00A50B26"/>
    <w:rsid w:val="00A5647F"/>
    <w:rsid w:val="00A57603"/>
    <w:rsid w:val="00A646D4"/>
    <w:rsid w:val="00A77048"/>
    <w:rsid w:val="00A82698"/>
    <w:rsid w:val="00A933E4"/>
    <w:rsid w:val="00A96FD6"/>
    <w:rsid w:val="00A973D4"/>
    <w:rsid w:val="00A97F7F"/>
    <w:rsid w:val="00AA520B"/>
    <w:rsid w:val="00AD702C"/>
    <w:rsid w:val="00AE4226"/>
    <w:rsid w:val="00AF02ED"/>
    <w:rsid w:val="00AF331B"/>
    <w:rsid w:val="00AF62B9"/>
    <w:rsid w:val="00B02C6A"/>
    <w:rsid w:val="00B04D40"/>
    <w:rsid w:val="00B226EF"/>
    <w:rsid w:val="00B259BF"/>
    <w:rsid w:val="00B35D2D"/>
    <w:rsid w:val="00B35DE2"/>
    <w:rsid w:val="00B4327D"/>
    <w:rsid w:val="00B47CF7"/>
    <w:rsid w:val="00B5320E"/>
    <w:rsid w:val="00B65078"/>
    <w:rsid w:val="00B74BC5"/>
    <w:rsid w:val="00B7561C"/>
    <w:rsid w:val="00B838EF"/>
    <w:rsid w:val="00B84411"/>
    <w:rsid w:val="00BA0914"/>
    <w:rsid w:val="00BA5491"/>
    <w:rsid w:val="00BA5A90"/>
    <w:rsid w:val="00BA625C"/>
    <w:rsid w:val="00BB6595"/>
    <w:rsid w:val="00BC0EA8"/>
    <w:rsid w:val="00BC316E"/>
    <w:rsid w:val="00BD1584"/>
    <w:rsid w:val="00BD66D5"/>
    <w:rsid w:val="00BE131B"/>
    <w:rsid w:val="00BE51F4"/>
    <w:rsid w:val="00BE6A7C"/>
    <w:rsid w:val="00BE7E5F"/>
    <w:rsid w:val="00BF4B62"/>
    <w:rsid w:val="00C021FD"/>
    <w:rsid w:val="00C0545B"/>
    <w:rsid w:val="00C05EE0"/>
    <w:rsid w:val="00C22B6E"/>
    <w:rsid w:val="00C249F4"/>
    <w:rsid w:val="00C33916"/>
    <w:rsid w:val="00C351F0"/>
    <w:rsid w:val="00C47837"/>
    <w:rsid w:val="00C61E59"/>
    <w:rsid w:val="00C658DB"/>
    <w:rsid w:val="00C676BF"/>
    <w:rsid w:val="00C679D2"/>
    <w:rsid w:val="00C771E8"/>
    <w:rsid w:val="00C86014"/>
    <w:rsid w:val="00C95394"/>
    <w:rsid w:val="00C95A22"/>
    <w:rsid w:val="00CA43A1"/>
    <w:rsid w:val="00CA47A2"/>
    <w:rsid w:val="00CC3424"/>
    <w:rsid w:val="00CD3675"/>
    <w:rsid w:val="00CD4936"/>
    <w:rsid w:val="00CE59A7"/>
    <w:rsid w:val="00D011F9"/>
    <w:rsid w:val="00D14D17"/>
    <w:rsid w:val="00D15495"/>
    <w:rsid w:val="00D16246"/>
    <w:rsid w:val="00D23151"/>
    <w:rsid w:val="00D2420F"/>
    <w:rsid w:val="00D33067"/>
    <w:rsid w:val="00D337B4"/>
    <w:rsid w:val="00D34D3D"/>
    <w:rsid w:val="00D4392C"/>
    <w:rsid w:val="00D501A1"/>
    <w:rsid w:val="00D50C87"/>
    <w:rsid w:val="00D51BB0"/>
    <w:rsid w:val="00D70E75"/>
    <w:rsid w:val="00D71A46"/>
    <w:rsid w:val="00D74301"/>
    <w:rsid w:val="00D74D81"/>
    <w:rsid w:val="00D84746"/>
    <w:rsid w:val="00D852D5"/>
    <w:rsid w:val="00D914C2"/>
    <w:rsid w:val="00D93FDF"/>
    <w:rsid w:val="00DB18FD"/>
    <w:rsid w:val="00DB6562"/>
    <w:rsid w:val="00DD2BBA"/>
    <w:rsid w:val="00DE1158"/>
    <w:rsid w:val="00DE2102"/>
    <w:rsid w:val="00DE3589"/>
    <w:rsid w:val="00DE38A3"/>
    <w:rsid w:val="00DE3FBC"/>
    <w:rsid w:val="00DE6D4B"/>
    <w:rsid w:val="00DF1741"/>
    <w:rsid w:val="00E001CF"/>
    <w:rsid w:val="00E04CD5"/>
    <w:rsid w:val="00E077AF"/>
    <w:rsid w:val="00E105A0"/>
    <w:rsid w:val="00E12EC3"/>
    <w:rsid w:val="00E17307"/>
    <w:rsid w:val="00E2421D"/>
    <w:rsid w:val="00E268D9"/>
    <w:rsid w:val="00E37840"/>
    <w:rsid w:val="00E52E86"/>
    <w:rsid w:val="00E604EA"/>
    <w:rsid w:val="00E751A5"/>
    <w:rsid w:val="00E7570A"/>
    <w:rsid w:val="00E76172"/>
    <w:rsid w:val="00E9730D"/>
    <w:rsid w:val="00EA1CC7"/>
    <w:rsid w:val="00EB07FA"/>
    <w:rsid w:val="00EB1E84"/>
    <w:rsid w:val="00EB40F2"/>
    <w:rsid w:val="00EB5880"/>
    <w:rsid w:val="00EB7094"/>
    <w:rsid w:val="00EC3845"/>
    <w:rsid w:val="00ED63B2"/>
    <w:rsid w:val="00ED69DC"/>
    <w:rsid w:val="00EE7B3A"/>
    <w:rsid w:val="00EF321A"/>
    <w:rsid w:val="00EF6DDC"/>
    <w:rsid w:val="00F03A14"/>
    <w:rsid w:val="00F067E1"/>
    <w:rsid w:val="00F15389"/>
    <w:rsid w:val="00F276CE"/>
    <w:rsid w:val="00F311AB"/>
    <w:rsid w:val="00F34E5B"/>
    <w:rsid w:val="00F35DD4"/>
    <w:rsid w:val="00F40545"/>
    <w:rsid w:val="00F4119B"/>
    <w:rsid w:val="00F41DC8"/>
    <w:rsid w:val="00F4494C"/>
    <w:rsid w:val="00F46A6D"/>
    <w:rsid w:val="00F54ED1"/>
    <w:rsid w:val="00F55C40"/>
    <w:rsid w:val="00F61A55"/>
    <w:rsid w:val="00F636D9"/>
    <w:rsid w:val="00F66E7B"/>
    <w:rsid w:val="00F67A4A"/>
    <w:rsid w:val="00F71FD8"/>
    <w:rsid w:val="00F8222F"/>
    <w:rsid w:val="00F82F37"/>
    <w:rsid w:val="00F840A5"/>
    <w:rsid w:val="00F84284"/>
    <w:rsid w:val="00F86048"/>
    <w:rsid w:val="00F97025"/>
    <w:rsid w:val="00F97E81"/>
    <w:rsid w:val="00FA1CCA"/>
    <w:rsid w:val="00FA555E"/>
    <w:rsid w:val="00FD1386"/>
    <w:rsid w:val="00FD21B9"/>
    <w:rsid w:val="00FD3F66"/>
    <w:rsid w:val="00FD63CC"/>
    <w:rsid w:val="00FF0CAA"/>
    <w:rsid w:val="00FF1A6E"/>
    <w:rsid w:val="00FF39B7"/>
    <w:rsid w:val="00FF3CCB"/>
    <w:rsid w:val="00FF404D"/>
    <w:rsid w:val="00FF5A1C"/>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7E3A6"/>
  <w15:docId w15:val="{EFF560BA-EC5E-46BB-A6C7-3320D216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4EA"/>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04EA"/>
    <w:pPr>
      <w:tabs>
        <w:tab w:val="center" w:pos="4320"/>
        <w:tab w:val="right" w:pos="8640"/>
      </w:tabs>
    </w:pPr>
  </w:style>
  <w:style w:type="character" w:customStyle="1" w:styleId="HeaderChar">
    <w:name w:val="Header Char"/>
    <w:basedOn w:val="DefaultParagraphFont"/>
    <w:link w:val="Header"/>
    <w:rsid w:val="00E604EA"/>
    <w:rPr>
      <w:rFonts w:ascii="Arial" w:eastAsia="Times New Roman" w:hAnsi="Arial" w:cs="Times New Roman"/>
      <w:sz w:val="20"/>
      <w:szCs w:val="24"/>
      <w:lang w:val="ro-RO"/>
    </w:rPr>
  </w:style>
  <w:style w:type="paragraph" w:customStyle="1" w:styleId="EYBoldsubjectheading">
    <w:name w:val="EY Bold subject heading"/>
    <w:basedOn w:val="Normal"/>
    <w:rsid w:val="00E604EA"/>
    <w:pPr>
      <w:suppressAutoHyphens/>
      <w:spacing w:before="480" w:line="260" w:lineRule="atLeast"/>
    </w:pPr>
    <w:rPr>
      <w:b/>
      <w:kern w:val="12"/>
      <w:sz w:val="26"/>
    </w:rPr>
  </w:style>
  <w:style w:type="paragraph" w:customStyle="1" w:styleId="EYFooterinfo">
    <w:name w:val="EY Footer info"/>
    <w:basedOn w:val="Normal"/>
    <w:rsid w:val="00E604EA"/>
    <w:pPr>
      <w:suppressAutoHyphens/>
    </w:pPr>
    <w:rPr>
      <w:color w:val="808080"/>
      <w:kern w:val="12"/>
      <w:sz w:val="11"/>
    </w:rPr>
  </w:style>
  <w:style w:type="paragraph" w:customStyle="1" w:styleId="EYDocumentpromptsbold">
    <w:name w:val="EY Document prompts (bold)"/>
    <w:basedOn w:val="Normal"/>
    <w:uiPriority w:val="99"/>
    <w:rsid w:val="00E604EA"/>
    <w:pPr>
      <w:suppressAutoHyphens/>
      <w:spacing w:line="260" w:lineRule="atLeast"/>
    </w:pPr>
    <w:rPr>
      <w:rFonts w:ascii="Arial Bold" w:hAnsi="Arial Bold"/>
      <w:b/>
      <w:kern w:val="12"/>
    </w:rPr>
  </w:style>
  <w:style w:type="paragraph" w:customStyle="1" w:styleId="EYContinuationheader">
    <w:name w:val="EY Continuation header"/>
    <w:basedOn w:val="Normal"/>
    <w:rsid w:val="00E604EA"/>
    <w:pPr>
      <w:tabs>
        <w:tab w:val="left" w:pos="2495"/>
      </w:tabs>
      <w:suppressAutoHyphens/>
      <w:spacing w:line="260" w:lineRule="atLeast"/>
    </w:pPr>
    <w:rPr>
      <w:kern w:val="12"/>
    </w:rPr>
  </w:style>
  <w:style w:type="paragraph" w:styleId="Footer">
    <w:name w:val="footer"/>
    <w:basedOn w:val="Normal"/>
    <w:link w:val="FooterChar"/>
    <w:rsid w:val="00E604EA"/>
    <w:pPr>
      <w:tabs>
        <w:tab w:val="center" w:pos="4320"/>
        <w:tab w:val="right" w:pos="8640"/>
      </w:tabs>
    </w:pPr>
  </w:style>
  <w:style w:type="character" w:customStyle="1" w:styleId="FooterChar">
    <w:name w:val="Footer Char"/>
    <w:basedOn w:val="DefaultParagraphFont"/>
    <w:link w:val="Footer"/>
    <w:rsid w:val="00E604EA"/>
    <w:rPr>
      <w:rFonts w:ascii="Arial" w:eastAsia="Times New Roman" w:hAnsi="Arial" w:cs="Times New Roman"/>
      <w:sz w:val="20"/>
      <w:szCs w:val="24"/>
      <w:lang w:val="ro-RO"/>
    </w:rPr>
  </w:style>
  <w:style w:type="character" w:customStyle="1" w:styleId="EYBodytextwithparaspaceChar">
    <w:name w:val="EY Body text (with para space) Char"/>
    <w:basedOn w:val="DefaultParagraphFont"/>
    <w:link w:val="EYBodytextwithparaspace"/>
    <w:rsid w:val="00E604EA"/>
    <w:rPr>
      <w:rFonts w:ascii="Arial" w:hAnsi="Arial"/>
      <w:kern w:val="12"/>
      <w:szCs w:val="24"/>
    </w:rPr>
  </w:style>
  <w:style w:type="paragraph" w:customStyle="1" w:styleId="EYBodytextsubhead2">
    <w:name w:val="EY Body text subhead 2"/>
    <w:basedOn w:val="Normal"/>
    <w:rsid w:val="00E604EA"/>
    <w:pPr>
      <w:tabs>
        <w:tab w:val="left" w:pos="907"/>
      </w:tabs>
      <w:suppressAutoHyphens/>
      <w:spacing w:after="200" w:line="500" w:lineRule="atLeast"/>
    </w:pPr>
    <w:rPr>
      <w:rFonts w:ascii="Arial Bold" w:hAnsi="Arial Bold"/>
      <w:b/>
      <w:i/>
      <w:kern w:val="12"/>
    </w:rPr>
  </w:style>
  <w:style w:type="paragraph" w:customStyle="1" w:styleId="EYBodytextwithparaspace">
    <w:name w:val="EY Body text (with para space)"/>
    <w:basedOn w:val="Normal"/>
    <w:link w:val="EYBodytextwithparaspaceChar"/>
    <w:rsid w:val="00E604EA"/>
    <w:pPr>
      <w:tabs>
        <w:tab w:val="left" w:pos="907"/>
      </w:tabs>
      <w:suppressAutoHyphens/>
      <w:spacing w:after="400" w:line="360" w:lineRule="auto"/>
    </w:pPr>
    <w:rPr>
      <w:rFonts w:eastAsiaTheme="minorHAnsi" w:cstheme="minorBidi"/>
      <w:kern w:val="12"/>
      <w:sz w:val="22"/>
    </w:rPr>
  </w:style>
  <w:style w:type="paragraph" w:customStyle="1" w:styleId="EYHeading2">
    <w:name w:val="EY Heading 2"/>
    <w:basedOn w:val="Normal"/>
    <w:next w:val="EYBodytextwithparaspace"/>
    <w:link w:val="EYHeading2Char"/>
    <w:uiPriority w:val="99"/>
    <w:rsid w:val="00E604EA"/>
    <w:pPr>
      <w:keepNext/>
      <w:suppressAutoHyphens/>
      <w:spacing w:before="120" w:after="120"/>
    </w:pPr>
    <w:rPr>
      <w:b/>
      <w:kern w:val="12"/>
      <w:sz w:val="22"/>
    </w:rPr>
  </w:style>
  <w:style w:type="character" w:customStyle="1" w:styleId="EYHeading2Char">
    <w:name w:val="EY Heading 2 Char"/>
    <w:basedOn w:val="DefaultParagraphFont"/>
    <w:link w:val="EYHeading2"/>
    <w:uiPriority w:val="99"/>
    <w:locked/>
    <w:rsid w:val="00E604EA"/>
    <w:rPr>
      <w:rFonts w:ascii="Arial" w:eastAsia="Times New Roman" w:hAnsi="Arial" w:cs="Times New Roman"/>
      <w:b/>
      <w:kern w:val="12"/>
      <w:szCs w:val="24"/>
    </w:rPr>
  </w:style>
  <w:style w:type="character" w:customStyle="1" w:styleId="EYNormalChar">
    <w:name w:val="EY Normal Char"/>
    <w:basedOn w:val="DefaultParagraphFont"/>
    <w:link w:val="EYNormal"/>
    <w:locked/>
    <w:rsid w:val="00E604EA"/>
    <w:rPr>
      <w:rFonts w:cs="Times New Roman"/>
      <w:kern w:val="12"/>
      <w:szCs w:val="24"/>
    </w:rPr>
  </w:style>
  <w:style w:type="paragraph" w:customStyle="1" w:styleId="EYNormal">
    <w:name w:val="EY Normal"/>
    <w:link w:val="EYNormalChar"/>
    <w:rsid w:val="00E604EA"/>
    <w:pPr>
      <w:suppressAutoHyphens/>
      <w:spacing w:after="0" w:line="240" w:lineRule="auto"/>
    </w:pPr>
    <w:rPr>
      <w:rFonts w:cs="Times New Roman"/>
      <w:kern w:val="12"/>
      <w:szCs w:val="24"/>
    </w:rPr>
  </w:style>
  <w:style w:type="character" w:styleId="Hyperlink">
    <w:name w:val="Hyperlink"/>
    <w:basedOn w:val="DefaultParagraphFont"/>
    <w:uiPriority w:val="99"/>
    <w:unhideWhenUsed/>
    <w:rsid w:val="00E604EA"/>
    <w:rPr>
      <w:color w:val="0563C1" w:themeColor="hyperlink"/>
      <w:u w:val="single"/>
    </w:rPr>
  </w:style>
  <w:style w:type="character" w:styleId="CommentReference">
    <w:name w:val="annotation reference"/>
    <w:basedOn w:val="DefaultParagraphFont"/>
    <w:uiPriority w:val="99"/>
    <w:semiHidden/>
    <w:unhideWhenUsed/>
    <w:rsid w:val="008D01A6"/>
    <w:rPr>
      <w:sz w:val="16"/>
      <w:szCs w:val="16"/>
    </w:rPr>
  </w:style>
  <w:style w:type="paragraph" w:styleId="CommentText">
    <w:name w:val="annotation text"/>
    <w:basedOn w:val="Normal"/>
    <w:link w:val="CommentTextChar"/>
    <w:uiPriority w:val="99"/>
    <w:semiHidden/>
    <w:unhideWhenUsed/>
    <w:rsid w:val="008D01A6"/>
    <w:rPr>
      <w:szCs w:val="20"/>
    </w:rPr>
  </w:style>
  <w:style w:type="character" w:customStyle="1" w:styleId="CommentTextChar">
    <w:name w:val="Comment Text Char"/>
    <w:basedOn w:val="DefaultParagraphFont"/>
    <w:link w:val="CommentText"/>
    <w:uiPriority w:val="99"/>
    <w:semiHidden/>
    <w:rsid w:val="008D01A6"/>
    <w:rPr>
      <w:rFonts w:ascii="Arial" w:eastAsia="Times New Roman" w:hAnsi="Arial"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8D01A6"/>
    <w:rPr>
      <w:b/>
      <w:bCs/>
    </w:rPr>
  </w:style>
  <w:style w:type="character" w:customStyle="1" w:styleId="CommentSubjectChar">
    <w:name w:val="Comment Subject Char"/>
    <w:basedOn w:val="CommentTextChar"/>
    <w:link w:val="CommentSubject"/>
    <w:uiPriority w:val="99"/>
    <w:semiHidden/>
    <w:rsid w:val="008D01A6"/>
    <w:rPr>
      <w:rFonts w:ascii="Arial" w:eastAsia="Times New Roman" w:hAnsi="Arial" w:cs="Times New Roman"/>
      <w:b/>
      <w:bCs/>
      <w:sz w:val="20"/>
      <w:szCs w:val="20"/>
      <w:lang w:val="ro-RO"/>
    </w:rPr>
  </w:style>
  <w:style w:type="paragraph" w:styleId="BalloonText">
    <w:name w:val="Balloon Text"/>
    <w:basedOn w:val="Normal"/>
    <w:link w:val="BalloonTextChar"/>
    <w:uiPriority w:val="99"/>
    <w:semiHidden/>
    <w:unhideWhenUsed/>
    <w:rsid w:val="008D0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1A6"/>
    <w:rPr>
      <w:rFonts w:ascii="Segoe UI" w:eastAsia="Times New Roman" w:hAnsi="Segoe UI" w:cs="Segoe UI"/>
      <w:sz w:val="18"/>
      <w:szCs w:val="18"/>
      <w:lang w:val="ro-RO"/>
    </w:rPr>
  </w:style>
  <w:style w:type="character" w:styleId="FollowedHyperlink">
    <w:name w:val="FollowedHyperlink"/>
    <w:basedOn w:val="DefaultParagraphFont"/>
    <w:uiPriority w:val="99"/>
    <w:semiHidden/>
    <w:unhideWhenUsed/>
    <w:rsid w:val="0057371A"/>
    <w:rPr>
      <w:color w:val="954F72" w:themeColor="followedHyperlink"/>
      <w:u w:val="single"/>
    </w:rPr>
  </w:style>
  <w:style w:type="character" w:customStyle="1" w:styleId="MeniuneNerezolvat1">
    <w:name w:val="Mențiune Nerezolvat1"/>
    <w:basedOn w:val="DefaultParagraphFont"/>
    <w:uiPriority w:val="99"/>
    <w:semiHidden/>
    <w:unhideWhenUsed/>
    <w:rsid w:val="007D69DD"/>
    <w:rPr>
      <w:color w:val="605E5C"/>
      <w:shd w:val="clear" w:color="auto" w:fill="E1DFDD"/>
    </w:rPr>
  </w:style>
  <w:style w:type="paragraph" w:customStyle="1" w:styleId="EYDocumenttitle">
    <w:name w:val="EY Document title"/>
    <w:basedOn w:val="Normal"/>
    <w:next w:val="Normal"/>
    <w:uiPriority w:val="99"/>
    <w:rsid w:val="000A30C3"/>
    <w:pPr>
      <w:suppressAutoHyphens/>
    </w:pPr>
    <w:rPr>
      <w:spacing w:val="-4"/>
      <w:kern w:val="12"/>
      <w:sz w:val="36"/>
    </w:rPr>
  </w:style>
  <w:style w:type="paragraph" w:customStyle="1" w:styleId="EYDocumentprompts">
    <w:name w:val="EY Document prompts"/>
    <w:basedOn w:val="EYNormal"/>
    <w:uiPriority w:val="99"/>
    <w:rsid w:val="000A30C3"/>
    <w:pPr>
      <w:spacing w:before="60" w:after="60" w:line="240" w:lineRule="atLeast"/>
    </w:pPr>
    <w:rPr>
      <w:rFonts w:ascii="Arial" w:eastAsia="Times New Roman" w:hAnsi="Arial"/>
      <w:sz w:val="20"/>
      <w:lang w:val="en-GB"/>
    </w:rPr>
  </w:style>
  <w:style w:type="character" w:customStyle="1" w:styleId="MeniuneNerezolvat2">
    <w:name w:val="Mențiune Nerezolvat2"/>
    <w:basedOn w:val="DefaultParagraphFont"/>
    <w:uiPriority w:val="99"/>
    <w:semiHidden/>
    <w:unhideWhenUsed/>
    <w:rsid w:val="000A30C3"/>
    <w:rPr>
      <w:color w:val="605E5C"/>
      <w:shd w:val="clear" w:color="auto" w:fill="E1DFDD"/>
    </w:rPr>
  </w:style>
  <w:style w:type="paragraph" w:styleId="NormalWeb">
    <w:name w:val="Normal (Web)"/>
    <w:basedOn w:val="Normal"/>
    <w:uiPriority w:val="99"/>
    <w:unhideWhenUsed/>
    <w:rsid w:val="00072965"/>
    <w:pPr>
      <w:spacing w:before="100" w:beforeAutospacing="1" w:after="100" w:afterAutospacing="1"/>
    </w:pPr>
    <w:rPr>
      <w:rFonts w:ascii="Times New Roman" w:eastAsiaTheme="minorHAnsi" w:hAnsi="Times New Roman"/>
      <w:sz w:val="24"/>
      <w:lang w:eastAsia="ro-RO"/>
    </w:rPr>
  </w:style>
  <w:style w:type="character" w:styleId="UnresolvedMention">
    <w:name w:val="Unresolved Mention"/>
    <w:basedOn w:val="DefaultParagraphFont"/>
    <w:uiPriority w:val="99"/>
    <w:semiHidden/>
    <w:unhideWhenUsed/>
    <w:rsid w:val="00593641"/>
    <w:rPr>
      <w:color w:val="605E5C"/>
      <w:shd w:val="clear" w:color="auto" w:fill="E1DFDD"/>
    </w:rPr>
  </w:style>
  <w:style w:type="paragraph" w:styleId="Revision">
    <w:name w:val="Revision"/>
    <w:hidden/>
    <w:uiPriority w:val="99"/>
    <w:semiHidden/>
    <w:rsid w:val="00D33067"/>
    <w:pPr>
      <w:spacing w:after="0" w:line="240" w:lineRule="auto"/>
    </w:pPr>
    <w:rPr>
      <w:rFonts w:ascii="Arial" w:eastAsia="Times New Roman" w:hAnsi="Arial" w:cs="Times New Roman"/>
      <w:sz w:val="20"/>
      <w:szCs w:val="24"/>
    </w:rPr>
  </w:style>
  <w:style w:type="paragraph" w:customStyle="1" w:styleId="EYBusinessaddress">
    <w:name w:val="EY Business address"/>
    <w:basedOn w:val="Normal"/>
    <w:rsid w:val="00D93FDF"/>
    <w:pPr>
      <w:suppressAutoHyphens/>
      <w:spacing w:line="170" w:lineRule="atLeast"/>
    </w:pPr>
    <w:rPr>
      <w:color w:val="666666"/>
      <w:kern w:val="12"/>
      <w:sz w:val="15"/>
      <w:lang w:val="en-GB"/>
    </w:rPr>
  </w:style>
  <w:style w:type="paragraph" w:styleId="ListParagraph">
    <w:name w:val="List Paragraph"/>
    <w:basedOn w:val="Normal"/>
    <w:uiPriority w:val="34"/>
    <w:qFormat/>
    <w:rsid w:val="00091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0632">
      <w:bodyDiv w:val="1"/>
      <w:marLeft w:val="0"/>
      <w:marRight w:val="0"/>
      <w:marTop w:val="0"/>
      <w:marBottom w:val="0"/>
      <w:divBdr>
        <w:top w:val="none" w:sz="0" w:space="0" w:color="auto"/>
        <w:left w:val="none" w:sz="0" w:space="0" w:color="auto"/>
        <w:bottom w:val="none" w:sz="0" w:space="0" w:color="auto"/>
        <w:right w:val="none" w:sz="0" w:space="0" w:color="auto"/>
      </w:divBdr>
    </w:div>
    <w:div w:id="752237817">
      <w:bodyDiv w:val="1"/>
      <w:marLeft w:val="0"/>
      <w:marRight w:val="0"/>
      <w:marTop w:val="0"/>
      <w:marBottom w:val="0"/>
      <w:divBdr>
        <w:top w:val="none" w:sz="0" w:space="0" w:color="auto"/>
        <w:left w:val="none" w:sz="0" w:space="0" w:color="auto"/>
        <w:bottom w:val="none" w:sz="0" w:space="0" w:color="auto"/>
        <w:right w:val="none" w:sz="0" w:space="0" w:color="auto"/>
      </w:divBdr>
    </w:div>
    <w:div w:id="854417331">
      <w:bodyDiv w:val="1"/>
      <w:marLeft w:val="0"/>
      <w:marRight w:val="0"/>
      <w:marTop w:val="0"/>
      <w:marBottom w:val="0"/>
      <w:divBdr>
        <w:top w:val="none" w:sz="0" w:space="0" w:color="auto"/>
        <w:left w:val="none" w:sz="0" w:space="0" w:color="auto"/>
        <w:bottom w:val="none" w:sz="0" w:space="0" w:color="auto"/>
        <w:right w:val="none" w:sz="0" w:space="0" w:color="auto"/>
      </w:divBdr>
    </w:div>
    <w:div w:id="1224171730">
      <w:bodyDiv w:val="1"/>
      <w:marLeft w:val="0"/>
      <w:marRight w:val="0"/>
      <w:marTop w:val="0"/>
      <w:marBottom w:val="0"/>
      <w:divBdr>
        <w:top w:val="none" w:sz="0" w:space="0" w:color="auto"/>
        <w:left w:val="none" w:sz="0" w:space="0" w:color="auto"/>
        <w:bottom w:val="none" w:sz="0" w:space="0" w:color="auto"/>
        <w:right w:val="none" w:sz="0" w:space="0" w:color="auto"/>
      </w:divBdr>
    </w:div>
    <w:div w:id="17459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a.hutanu@ro.ey.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BF0B9CEACA34A981A7F46EA19F3F9" ma:contentTypeVersion="12" ma:contentTypeDescription="Create a new document." ma:contentTypeScope="" ma:versionID="cc8ffc874984966ee79012f110195910">
  <xsd:schema xmlns:xsd="http://www.w3.org/2001/XMLSchema" xmlns:xs="http://www.w3.org/2001/XMLSchema" xmlns:p="http://schemas.microsoft.com/office/2006/metadata/properties" xmlns:ns3="fd550b8b-0dd7-4de3-a8e6-af527f15a8ac" xmlns:ns4="45cbc027-4fdb-4325-ba4c-14e20f088a7f" targetNamespace="http://schemas.microsoft.com/office/2006/metadata/properties" ma:root="true" ma:fieldsID="0b4085e1d47cf19cc0ca9c96945ecf35" ns3:_="" ns4:_="">
    <xsd:import namespace="fd550b8b-0dd7-4de3-a8e6-af527f15a8ac"/>
    <xsd:import namespace="45cbc027-4fdb-4325-ba4c-14e20f088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0b8b-0dd7-4de3-a8e6-af527f15a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bc027-4fdb-4325-ba4c-14e20f088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6D205-9DA8-4FB9-B780-78CF73E5E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0b8b-0dd7-4de3-a8e6-af527f15a8ac"/>
    <ds:schemaRef ds:uri="45cbc027-4fdb-4325-ba4c-14e20f088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9CB8E-5848-47E5-A67B-9121F4E0857D}">
  <ds:schemaRefs>
    <ds:schemaRef ds:uri="http://schemas.microsoft.com/sharepoint/v3/contenttype/forms"/>
  </ds:schemaRefs>
</ds:datastoreItem>
</file>

<file path=customXml/itemProps3.xml><?xml version="1.0" encoding="utf-8"?>
<ds:datastoreItem xmlns:ds="http://schemas.openxmlformats.org/officeDocument/2006/customXml" ds:itemID="{0711B5B5-D6F4-4B83-BD6C-D40C4C73B4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585EE6-6AD3-46DD-A5FD-4ABAE095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1322</Words>
  <Characters>7537</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11 6  FAAS 2018 release 051018.docx</vt:lpstr>
      <vt:lpstr>11 6  FAAS 2018 release 051018.docx</vt:lpstr>
    </vt:vector>
  </TitlesOfParts>
  <Company>EY</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6  FAAS 2018 release 051018.docx</dc:title>
  <dc:subject/>
  <dc:creator>Konstantinos Makrygiannis</dc:creator>
  <cp:keywords/>
  <dc:description/>
  <cp:lastModifiedBy>Codrina Apostol</cp:lastModifiedBy>
  <cp:revision>39</cp:revision>
  <dcterms:created xsi:type="dcterms:W3CDTF">2022-04-08T08:37:00Z</dcterms:created>
  <dcterms:modified xsi:type="dcterms:W3CDTF">2022-04-08T08:57:00Z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0x010100B7FBF0B9CEACA34A981A7F46EA19F3F9</vt:lpwstr>
  </property>
  <property fmtid="{D5CDD505-2E9C-101B-9397-08002B2CF9AE}" pid="3" name="EYGSSubServiceLine">
    <vt:lpwstr>34;#Brand, Marketing and Communications|6b39c8d3-6895-4456-aa8f-09ed4243bc47</vt:lpwstr>
  </property>
  <property fmtid="{D5CDD505-2E9C-101B-9397-08002B2CF9AE}" pid="4" name="EYGSAdditionalServiceLine1">
    <vt:lpwstr>5;#Core Business Services (CBS)|2cf6a111-d37c-43c1-940d-c7e1830826b5</vt:lpwstr>
  </property>
  <property fmtid="{D5CDD505-2E9C-101B-9397-08002B2CF9AE}" pid="5" name="EYGSAdditionalSubSServiceLine1">
    <vt:lpwstr>35;#Brand and External Communications|b0b352fe-33c7-4bca-8731-a9b0648a65de</vt:lpwstr>
  </property>
  <property fmtid="{D5CDD505-2E9C-101B-9397-08002B2CF9AE}" pid="6" name="EYGSGeographicScope">
    <vt:lpwstr>17;#Global|500f1427-2ec5-408e-9c7e-c7ecab3f14e9</vt:lpwstr>
  </property>
  <property fmtid="{D5CDD505-2E9C-101B-9397-08002B2CF9AE}" pid="7" name="EYGSSubSector">
    <vt:lpwstr/>
  </property>
  <property fmtid="{D5CDD505-2E9C-101B-9397-08002B2CF9AE}" pid="8" name="EYGSAdditionalSubServiceLine1">
    <vt:lpwstr>34;#Brand, Marketing and Communications|6b39c8d3-6895-4456-aa8f-09ed4243bc47</vt:lpwstr>
  </property>
  <property fmtid="{D5CDD505-2E9C-101B-9397-08002B2CF9AE}" pid="9" name="EYGSAdditionalSector">
    <vt:lpwstr/>
  </property>
  <property fmtid="{D5CDD505-2E9C-101B-9397-08002B2CF9AE}" pid="10" name="EYGSSubSServiceLine">
    <vt:lpwstr>35;#Brand and External Communications|b0b352fe-33c7-4bca-8731-a9b0648a65de</vt:lpwstr>
  </property>
  <property fmtid="{D5CDD505-2E9C-101B-9397-08002B2CF9AE}" pid="11" name="EYGSAdditionalSubServiceLine">
    <vt:lpwstr>34;#Brand, Marketing and Communications|6b39c8d3-6895-4456-aa8f-09ed4243bc47</vt:lpwstr>
  </property>
  <property fmtid="{D5CDD505-2E9C-101B-9397-08002B2CF9AE}" pid="12" name="EYGSAreas">
    <vt:lpwstr>22;#EMEIA|f996ef64-9eed-4e53-bc49-92020faa37ae</vt:lpwstr>
  </property>
  <property fmtid="{D5CDD505-2E9C-101B-9397-08002B2CF9AE}" pid="13" name="EYGSAdditionalSubSServiceLine">
    <vt:lpwstr>35;#Brand and External Communications|b0b352fe-33c7-4bca-8731-a9b0648a65de</vt:lpwstr>
  </property>
  <property fmtid="{D5CDD505-2E9C-101B-9397-08002B2CF9AE}" pid="14" name="EYGSAdditionalServiceLine">
    <vt:lpwstr>5;#Core Business Services (CBS)|2cf6a111-d37c-43c1-940d-c7e1830826b5</vt:lpwstr>
  </property>
  <property fmtid="{D5CDD505-2E9C-101B-9397-08002B2CF9AE}" pid="15" name="EYGSServiceLine">
    <vt:lpwstr>5;#Core Business Services (CBS)|2cf6a111-d37c-43c1-940d-c7e1830826b5</vt:lpwstr>
  </property>
  <property fmtid="{D5CDD505-2E9C-101B-9397-08002B2CF9AE}" pid="16" name="EYGSScoreSector">
    <vt:lpwstr/>
  </property>
  <property fmtid="{D5CDD505-2E9C-101B-9397-08002B2CF9AE}" pid="17" name="EYGSRegion">
    <vt:lpwstr>23;#UK and Ireland|6b52dc23-e127-4bdd-a180-89180e1e93dd</vt:lpwstr>
  </property>
  <property fmtid="{D5CDD505-2E9C-101B-9397-08002B2CF9AE}" pid="18" name="EYGSAdditionalSector1">
    <vt:lpwstr/>
  </property>
  <property fmtid="{D5CDD505-2E9C-101B-9397-08002B2CF9AE}" pid="19" name="_docset_NoMedatataSyncRequired">
    <vt:lpwstr>False</vt:lpwstr>
  </property>
  <property fmtid="{D5CDD505-2E9C-101B-9397-08002B2CF9AE}" pid="20" name="_dlc_DocIdItemGuid">
    <vt:lpwstr>10f2309a-a07c-403b-b307-c98073d9a0c0</vt:lpwstr>
  </property>
</Properties>
</file>