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836"/>
        <w:tblW w:w="9271" w:type="dxa"/>
        <w:tblLook w:val="01E0" w:firstRow="1" w:lastRow="1" w:firstColumn="1" w:lastColumn="1" w:noHBand="0" w:noVBand="0"/>
      </w:tblPr>
      <w:tblGrid>
        <w:gridCol w:w="1701"/>
        <w:gridCol w:w="7570"/>
      </w:tblGrid>
      <w:tr w:rsidR="000A30C3" w:rsidRPr="00BF3CC1" w14:paraId="4B6F66F6" w14:textId="77777777" w:rsidTr="00650B62">
        <w:trPr>
          <w:trHeight w:val="902"/>
        </w:trPr>
        <w:tc>
          <w:tcPr>
            <w:tcW w:w="9271" w:type="dxa"/>
            <w:gridSpan w:val="2"/>
            <w:tcMar>
              <w:top w:w="0" w:type="dxa"/>
              <w:left w:w="0" w:type="dxa"/>
              <w:bottom w:w="0" w:type="dxa"/>
              <w:right w:w="0" w:type="dxa"/>
            </w:tcMar>
            <w:hideMark/>
          </w:tcPr>
          <w:p w14:paraId="1E9EC16E" w14:textId="33D386E9" w:rsidR="000A30C3" w:rsidRPr="00BF3CC1" w:rsidRDefault="00682B3A" w:rsidP="00650B62">
            <w:pPr>
              <w:pStyle w:val="EYDocumenttitle"/>
              <w:rPr>
                <w:rFonts w:cs="Arial"/>
              </w:rPr>
            </w:pPr>
            <w:r>
              <w:rPr>
                <w:rFonts w:cs="Arial"/>
              </w:rPr>
              <w:t>Punct de vedere</w:t>
            </w:r>
          </w:p>
        </w:tc>
      </w:tr>
      <w:tr w:rsidR="000A30C3" w:rsidRPr="00BF3CC1" w14:paraId="7094AE1A" w14:textId="77777777" w:rsidTr="00650B62">
        <w:trPr>
          <w:trHeight w:val="373"/>
        </w:trPr>
        <w:tc>
          <w:tcPr>
            <w:tcW w:w="9271" w:type="dxa"/>
            <w:gridSpan w:val="2"/>
            <w:shd w:val="clear" w:color="auto" w:fill="auto"/>
            <w:tcMar>
              <w:top w:w="0" w:type="dxa"/>
              <w:left w:w="0" w:type="dxa"/>
              <w:bottom w:w="0" w:type="dxa"/>
              <w:right w:w="0" w:type="dxa"/>
            </w:tcMar>
            <w:hideMark/>
          </w:tcPr>
          <w:p w14:paraId="0BCDC895" w14:textId="54B79A33" w:rsidR="000A30C3" w:rsidRPr="00BF3CC1" w:rsidRDefault="0055724C" w:rsidP="00650B62">
            <w:pPr>
              <w:pStyle w:val="EYDocumentpromptsbold"/>
              <w:rPr>
                <w:rFonts w:ascii="Arial" w:hAnsi="Arial" w:cs="Arial"/>
                <w:highlight w:val="yellow"/>
              </w:rPr>
            </w:pPr>
            <w:r>
              <w:rPr>
                <w:rFonts w:ascii="Arial" w:hAnsi="Arial" w:cs="Arial"/>
              </w:rPr>
              <w:t xml:space="preserve">7 </w:t>
            </w:r>
            <w:r w:rsidR="00C5258B">
              <w:rPr>
                <w:rFonts w:ascii="Arial" w:hAnsi="Arial" w:cs="Arial"/>
              </w:rPr>
              <w:t>aprili</w:t>
            </w:r>
            <w:r w:rsidR="000A30C3">
              <w:rPr>
                <w:rFonts w:ascii="Arial" w:hAnsi="Arial" w:cs="Arial"/>
              </w:rPr>
              <w:t>e 202</w:t>
            </w:r>
            <w:r w:rsidR="000D61B9">
              <w:rPr>
                <w:rFonts w:ascii="Arial" w:hAnsi="Arial" w:cs="Arial"/>
              </w:rPr>
              <w:t>2</w:t>
            </w:r>
          </w:p>
        </w:tc>
      </w:tr>
      <w:tr w:rsidR="000A30C3" w:rsidRPr="00BF3CC1" w14:paraId="71163D50" w14:textId="77777777" w:rsidTr="00650B62">
        <w:trPr>
          <w:trHeight w:val="20"/>
        </w:trPr>
        <w:tc>
          <w:tcPr>
            <w:tcW w:w="1701" w:type="dxa"/>
            <w:tcMar>
              <w:top w:w="0" w:type="dxa"/>
              <w:left w:w="0" w:type="dxa"/>
              <w:bottom w:w="0" w:type="dxa"/>
              <w:right w:w="0" w:type="dxa"/>
            </w:tcMar>
            <w:hideMark/>
          </w:tcPr>
          <w:p w14:paraId="12E82192" w14:textId="77777777" w:rsidR="000A30C3" w:rsidRPr="00BF3CC1" w:rsidRDefault="000A30C3" w:rsidP="00650B62">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6E5C96E8" w14:textId="77777777" w:rsidR="000A30C3" w:rsidRPr="00BF3CC1" w:rsidRDefault="000A30C3" w:rsidP="00650B62">
            <w:pPr>
              <w:pStyle w:val="EYDocumentprompts"/>
              <w:rPr>
                <w:rFonts w:cs="Arial"/>
                <w:lang w:val="ro-RO"/>
              </w:rPr>
            </w:pPr>
            <w:r>
              <w:rPr>
                <w:rFonts w:cs="Arial"/>
                <w:lang w:val="ro-RO"/>
              </w:rPr>
              <w:t>Anda Huțanu</w:t>
            </w:r>
          </w:p>
        </w:tc>
      </w:tr>
      <w:tr w:rsidR="000A30C3" w:rsidRPr="00BF3CC1" w14:paraId="04BF7DC3" w14:textId="77777777" w:rsidTr="00650B62">
        <w:trPr>
          <w:trHeight w:val="20"/>
        </w:trPr>
        <w:tc>
          <w:tcPr>
            <w:tcW w:w="1701" w:type="dxa"/>
            <w:tcMar>
              <w:top w:w="0" w:type="dxa"/>
              <w:left w:w="0" w:type="dxa"/>
              <w:bottom w:w="0" w:type="dxa"/>
              <w:right w:w="0" w:type="dxa"/>
            </w:tcMar>
            <w:hideMark/>
          </w:tcPr>
          <w:p w14:paraId="7D3B09CA" w14:textId="77777777" w:rsidR="000A30C3" w:rsidRPr="00BF3CC1" w:rsidRDefault="000A30C3" w:rsidP="00650B62">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5CF38198" w14:textId="77777777" w:rsidR="000A30C3" w:rsidRPr="00BF3CC1" w:rsidRDefault="000A30C3" w:rsidP="00650B62">
            <w:pPr>
              <w:pStyle w:val="EYDocumentprompts"/>
              <w:rPr>
                <w:rFonts w:cs="Arial"/>
                <w:lang w:val="ro-RO"/>
              </w:rPr>
            </w:pPr>
            <w:r>
              <w:rPr>
                <w:rFonts w:cs="Arial"/>
                <w:lang w:val="ro-RO"/>
              </w:rPr>
              <w:t>EY Româ</w:t>
            </w:r>
            <w:r w:rsidRPr="00BF3CC1">
              <w:rPr>
                <w:rFonts w:cs="Arial"/>
                <w:lang w:val="ro-RO"/>
              </w:rPr>
              <w:t>nia</w:t>
            </w:r>
          </w:p>
        </w:tc>
      </w:tr>
      <w:tr w:rsidR="000A30C3" w:rsidRPr="00BF3CC1" w14:paraId="15922916" w14:textId="77777777" w:rsidTr="00650B62">
        <w:trPr>
          <w:trHeight w:val="20"/>
        </w:trPr>
        <w:tc>
          <w:tcPr>
            <w:tcW w:w="1701" w:type="dxa"/>
            <w:tcMar>
              <w:top w:w="0" w:type="dxa"/>
              <w:left w:w="0" w:type="dxa"/>
              <w:bottom w:w="0" w:type="dxa"/>
              <w:right w:w="0" w:type="dxa"/>
            </w:tcMar>
            <w:hideMark/>
          </w:tcPr>
          <w:p w14:paraId="414857A3" w14:textId="77777777" w:rsidR="000A30C3" w:rsidRPr="00BF3CC1" w:rsidRDefault="000A30C3" w:rsidP="00650B62">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0F56F218" w14:textId="77777777" w:rsidR="000A30C3" w:rsidRPr="00BF3CC1" w:rsidRDefault="000A30C3" w:rsidP="00650B62">
            <w:pPr>
              <w:pStyle w:val="EYDocumentprompts"/>
              <w:rPr>
                <w:rFonts w:cs="Arial"/>
                <w:lang w:val="ro-RO"/>
              </w:rPr>
            </w:pPr>
            <w:r w:rsidRPr="00BF3CC1">
              <w:rPr>
                <w:rFonts w:cs="Arial"/>
                <w:lang w:val="ro-RO"/>
              </w:rPr>
              <w:t>+40 21 402 4000</w:t>
            </w:r>
          </w:p>
        </w:tc>
      </w:tr>
      <w:tr w:rsidR="000A30C3" w:rsidRPr="00BF3CC1" w14:paraId="3E6A8718" w14:textId="77777777" w:rsidTr="00650B62">
        <w:trPr>
          <w:trHeight w:val="80"/>
        </w:trPr>
        <w:tc>
          <w:tcPr>
            <w:tcW w:w="1701" w:type="dxa"/>
            <w:tcMar>
              <w:top w:w="0" w:type="dxa"/>
              <w:left w:w="0" w:type="dxa"/>
              <w:bottom w:w="0" w:type="dxa"/>
              <w:right w:w="0" w:type="dxa"/>
            </w:tcMar>
            <w:hideMark/>
          </w:tcPr>
          <w:p w14:paraId="233EE478" w14:textId="77777777" w:rsidR="000A30C3" w:rsidRPr="00BF3CC1" w:rsidRDefault="000A30C3" w:rsidP="00650B62">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72743BC5" w14:textId="7530A1A4" w:rsidR="000A30C3" w:rsidRDefault="004D25BB" w:rsidP="00650B62">
            <w:pPr>
              <w:pStyle w:val="EYDocumentprompts"/>
              <w:rPr>
                <w:rStyle w:val="Hyperlink"/>
                <w:rFonts w:cs="Arial"/>
                <w:lang w:val="ro-RO"/>
              </w:rPr>
            </w:pPr>
            <w:hyperlink r:id="rId10" w:history="1">
              <w:r w:rsidR="000A30C3" w:rsidRPr="00D539DF">
                <w:rPr>
                  <w:rStyle w:val="Hyperlink"/>
                  <w:rFonts w:cs="Arial"/>
                  <w:lang w:val="ro-RO"/>
                </w:rPr>
                <w:t>anda.hutanu@ro.ey.com</w:t>
              </w:r>
            </w:hyperlink>
          </w:p>
          <w:p w14:paraId="65B61713" w14:textId="77777777" w:rsidR="001911DA" w:rsidRDefault="001911DA" w:rsidP="00650B62">
            <w:pPr>
              <w:pStyle w:val="EYDocumentprompts"/>
              <w:rPr>
                <w:rStyle w:val="Hyperlink"/>
                <w:rFonts w:cs="Arial"/>
                <w:lang w:val="ro-RO"/>
              </w:rPr>
            </w:pPr>
          </w:p>
          <w:p w14:paraId="3ECFA144" w14:textId="662D49C7" w:rsidR="00BA7BB5" w:rsidRPr="00BF3CC1" w:rsidRDefault="00BA7BB5" w:rsidP="00650B62">
            <w:pPr>
              <w:pStyle w:val="EYDocumentprompts"/>
              <w:rPr>
                <w:rFonts w:cs="Arial"/>
                <w:color w:val="0000FF"/>
                <w:u w:val="single"/>
                <w:lang w:val="ro-RO"/>
              </w:rPr>
            </w:pPr>
          </w:p>
        </w:tc>
      </w:tr>
    </w:tbl>
    <w:p w14:paraId="1C29FDDF" w14:textId="212E55D3" w:rsidR="00FB775E" w:rsidRPr="00494929" w:rsidRDefault="0035415B" w:rsidP="00494929">
      <w:pPr>
        <w:rPr>
          <w:rFonts w:cs="Arial"/>
          <w:b/>
          <w:bCs/>
          <w:sz w:val="28"/>
          <w:szCs w:val="28"/>
        </w:rPr>
      </w:pPr>
      <w:r w:rsidRPr="0035415B">
        <w:rPr>
          <w:rFonts w:cs="Arial"/>
          <w:b/>
          <w:bCs/>
          <w:sz w:val="28"/>
          <w:szCs w:val="28"/>
        </w:rPr>
        <w:t>Saga cotelor reduse de TVA – care sunt implicațiile pentru Rom</w:t>
      </w:r>
      <w:r>
        <w:rPr>
          <w:rFonts w:cs="Arial"/>
          <w:b/>
          <w:bCs/>
          <w:sz w:val="28"/>
          <w:szCs w:val="28"/>
        </w:rPr>
        <w:t>â</w:t>
      </w:r>
      <w:r w:rsidRPr="0035415B">
        <w:rPr>
          <w:rFonts w:cs="Arial"/>
          <w:b/>
          <w:bCs/>
          <w:sz w:val="28"/>
          <w:szCs w:val="28"/>
        </w:rPr>
        <w:t>nia</w:t>
      </w:r>
    </w:p>
    <w:p w14:paraId="3EC94482" w14:textId="77777777" w:rsidR="0035415B" w:rsidRDefault="0035415B" w:rsidP="00494929">
      <w:pPr>
        <w:rPr>
          <w:rFonts w:cs="Arial"/>
          <w:i/>
          <w:iCs/>
          <w:sz w:val="22"/>
          <w:szCs w:val="22"/>
        </w:rPr>
      </w:pPr>
    </w:p>
    <w:p w14:paraId="17A985F1" w14:textId="52926330" w:rsidR="00494929" w:rsidRPr="00494929" w:rsidRDefault="00494929" w:rsidP="00494929">
      <w:pPr>
        <w:rPr>
          <w:rFonts w:cs="Arial"/>
          <w:i/>
          <w:iCs/>
          <w:sz w:val="22"/>
          <w:szCs w:val="22"/>
        </w:rPr>
      </w:pPr>
      <w:bookmarkStart w:id="0" w:name="_Hlk100220603"/>
      <w:r w:rsidRPr="00494929">
        <w:rPr>
          <w:rFonts w:cs="Arial"/>
          <w:i/>
          <w:iCs/>
          <w:sz w:val="22"/>
          <w:szCs w:val="22"/>
        </w:rPr>
        <w:t xml:space="preserve">Autor: </w:t>
      </w:r>
      <w:r w:rsidR="00C5258B">
        <w:rPr>
          <w:rFonts w:cs="Arial"/>
          <w:i/>
          <w:iCs/>
          <w:sz w:val="22"/>
          <w:szCs w:val="22"/>
        </w:rPr>
        <w:t>Georgiana Iancu</w:t>
      </w:r>
      <w:r w:rsidR="00CB1DD1" w:rsidRPr="00CB1DD1">
        <w:rPr>
          <w:rFonts w:cs="Arial"/>
          <w:i/>
          <w:iCs/>
          <w:sz w:val="22"/>
          <w:szCs w:val="22"/>
        </w:rPr>
        <w:t xml:space="preserve">, </w:t>
      </w:r>
      <w:r w:rsidR="002364A3">
        <w:rPr>
          <w:rFonts w:cs="Arial"/>
          <w:i/>
          <w:iCs/>
          <w:sz w:val="22"/>
          <w:szCs w:val="22"/>
        </w:rPr>
        <w:t>P</w:t>
      </w:r>
      <w:r w:rsidR="002364A3" w:rsidRPr="002364A3">
        <w:rPr>
          <w:rFonts w:cs="Arial"/>
          <w:i/>
          <w:iCs/>
          <w:sz w:val="22"/>
          <w:szCs w:val="22"/>
        </w:rPr>
        <w:t xml:space="preserve">artener, </w:t>
      </w:r>
      <w:r w:rsidR="002364A3">
        <w:rPr>
          <w:rFonts w:cs="Arial"/>
          <w:i/>
          <w:iCs/>
          <w:sz w:val="22"/>
          <w:szCs w:val="22"/>
        </w:rPr>
        <w:t>C</w:t>
      </w:r>
      <w:r w:rsidR="002364A3" w:rsidRPr="002364A3">
        <w:rPr>
          <w:rFonts w:cs="Arial"/>
          <w:i/>
          <w:iCs/>
          <w:sz w:val="22"/>
          <w:szCs w:val="22"/>
        </w:rPr>
        <w:t>oordonatorul Departamentului de Impozite Indirecte</w:t>
      </w:r>
      <w:r w:rsidRPr="00494929">
        <w:rPr>
          <w:rFonts w:cs="Arial"/>
          <w:i/>
          <w:iCs/>
          <w:sz w:val="22"/>
          <w:szCs w:val="22"/>
        </w:rPr>
        <w:t>, EY Rom</w:t>
      </w:r>
      <w:r w:rsidR="00456B37">
        <w:rPr>
          <w:rFonts w:cs="Arial"/>
          <w:i/>
          <w:iCs/>
          <w:sz w:val="22"/>
          <w:szCs w:val="22"/>
        </w:rPr>
        <w:t>â</w:t>
      </w:r>
      <w:r w:rsidRPr="00494929">
        <w:rPr>
          <w:rFonts w:cs="Arial"/>
          <w:i/>
          <w:iCs/>
          <w:sz w:val="22"/>
          <w:szCs w:val="22"/>
        </w:rPr>
        <w:t>nia</w:t>
      </w:r>
    </w:p>
    <w:bookmarkEnd w:id="0"/>
    <w:p w14:paraId="1F5F976E" w14:textId="77777777" w:rsidR="00494929" w:rsidRPr="00494929" w:rsidRDefault="00494929" w:rsidP="00494929">
      <w:pPr>
        <w:rPr>
          <w:rFonts w:cs="Arial"/>
          <w:i/>
          <w:iCs/>
          <w:sz w:val="22"/>
          <w:szCs w:val="22"/>
        </w:rPr>
      </w:pPr>
    </w:p>
    <w:p w14:paraId="2E96CBA5" w14:textId="6FF8D045" w:rsidR="00DF6C78" w:rsidRPr="00DF6C78" w:rsidRDefault="00DF6C78" w:rsidP="00DF6C78">
      <w:pPr>
        <w:rPr>
          <w:sz w:val="22"/>
          <w:szCs w:val="22"/>
        </w:rPr>
      </w:pPr>
      <w:bookmarkStart w:id="1" w:name="_Hlk100220593"/>
      <w:r w:rsidRPr="00DF6C78">
        <w:rPr>
          <w:sz w:val="22"/>
          <w:szCs w:val="22"/>
        </w:rPr>
        <w:t>Statelor membre li se oferă premisele s</w:t>
      </w:r>
      <w:r>
        <w:rPr>
          <w:sz w:val="22"/>
          <w:szCs w:val="22"/>
        </w:rPr>
        <w:t>ă</w:t>
      </w:r>
      <w:r w:rsidRPr="00DF6C78">
        <w:rPr>
          <w:sz w:val="22"/>
          <w:szCs w:val="22"/>
        </w:rPr>
        <w:t xml:space="preserve"> implementeze zero TVA pentru produsele esențiale - alimente, produse farmaceutice sau produse de uz medical. Consiliul Uniunii Europene tocmai a adoptat Directiva care permite ”reformarea” cotelor de TVA în întreaga Uniune</w:t>
      </w:r>
      <w:r w:rsidR="00144AD6">
        <w:rPr>
          <w:sz w:val="22"/>
          <w:szCs w:val="22"/>
        </w:rPr>
        <w:t xml:space="preserve"> Europeană</w:t>
      </w:r>
      <w:r w:rsidRPr="00DF6C78">
        <w:rPr>
          <w:sz w:val="22"/>
          <w:szCs w:val="22"/>
        </w:rPr>
        <w:t xml:space="preserve"> și oferă statelor membre flexibilitate în stabilirea cotelor. Cutia Pandorei a fost deschisă. Statelor le va reveni responsabilitatea găsirii acelui echilibru fin între atingerea obiectivelor de politică socială, care să ofere avantaje concrete contribuabililor, consumatori finali sau firme, sau în atingerea obiectivelor de politici verzi și neafectarea veniturilor bugetare sau respectarea neutralității TVA. Nu trebuie pierdut din vedere nici faptul că gestionarea mai multor cote creează complexitate și potențează litigiile privind corectitudinea aplicării cotelor de TVA și variațiile lor în limitele aceluiași sector, mai ales când se pune problema unor diferențe de cot</w:t>
      </w:r>
      <w:r w:rsidR="00B05ABC">
        <w:rPr>
          <w:sz w:val="22"/>
          <w:szCs w:val="22"/>
        </w:rPr>
        <w:t>ă</w:t>
      </w:r>
      <w:r w:rsidRPr="00DF6C78">
        <w:rPr>
          <w:sz w:val="22"/>
          <w:szCs w:val="22"/>
        </w:rPr>
        <w:t xml:space="preserve"> pentru produse aflate </w:t>
      </w:r>
      <w:r w:rsidR="00B05ABC">
        <w:rPr>
          <w:sz w:val="22"/>
          <w:szCs w:val="22"/>
        </w:rPr>
        <w:t>î</w:t>
      </w:r>
      <w:r w:rsidRPr="00DF6C78">
        <w:rPr>
          <w:sz w:val="22"/>
          <w:szCs w:val="22"/>
        </w:rPr>
        <w:t>n concurenț</w:t>
      </w:r>
      <w:r w:rsidR="00B05ABC">
        <w:rPr>
          <w:sz w:val="22"/>
          <w:szCs w:val="22"/>
        </w:rPr>
        <w:t>ă</w:t>
      </w:r>
      <w:r w:rsidRPr="00DF6C78">
        <w:rPr>
          <w:sz w:val="22"/>
          <w:szCs w:val="22"/>
        </w:rPr>
        <w:t xml:space="preserve">. Iar aici, noile instrumente de audit fiscal </w:t>
      </w:r>
      <w:r w:rsidR="00B05ABC">
        <w:rPr>
          <w:sz w:val="22"/>
          <w:szCs w:val="22"/>
        </w:rPr>
        <w:t>î</w:t>
      </w:r>
      <w:r w:rsidRPr="00DF6C78">
        <w:rPr>
          <w:sz w:val="22"/>
          <w:szCs w:val="22"/>
        </w:rPr>
        <w:t xml:space="preserve">n timp real (SAF-T, E-Factura) </w:t>
      </w:r>
      <w:r w:rsidR="00B05ABC">
        <w:rPr>
          <w:sz w:val="22"/>
          <w:szCs w:val="22"/>
        </w:rPr>
        <w:t>î</w:t>
      </w:r>
      <w:r w:rsidRPr="00DF6C78">
        <w:rPr>
          <w:sz w:val="22"/>
          <w:szCs w:val="22"/>
        </w:rPr>
        <w:t xml:space="preserve">n curs de implementare la nivelul administrației fiscale creează pârghiile unei detectări mai rapide ale diferențelor de cote </w:t>
      </w:r>
      <w:r w:rsidR="00B05ABC">
        <w:rPr>
          <w:sz w:val="22"/>
          <w:szCs w:val="22"/>
        </w:rPr>
        <w:t>ş</w:t>
      </w:r>
      <w:r w:rsidRPr="00DF6C78">
        <w:rPr>
          <w:sz w:val="22"/>
          <w:szCs w:val="22"/>
        </w:rPr>
        <w:t>i tratament de TVA aplicabile pentru produse similare sau identice, la nivel de sector, sau cel puțin aceasta pare s</w:t>
      </w:r>
      <w:r w:rsidR="00B05ABC">
        <w:rPr>
          <w:sz w:val="22"/>
          <w:szCs w:val="22"/>
        </w:rPr>
        <w:t>ă</w:t>
      </w:r>
      <w:r w:rsidRPr="00DF6C78">
        <w:rPr>
          <w:sz w:val="22"/>
          <w:szCs w:val="22"/>
        </w:rPr>
        <w:t xml:space="preserve"> fie direcția. </w:t>
      </w:r>
    </w:p>
    <w:bookmarkEnd w:id="1"/>
    <w:p w14:paraId="5882FD42" w14:textId="77777777" w:rsidR="00DF6C78" w:rsidRPr="00DF6C78" w:rsidRDefault="00DF6C78" w:rsidP="00DF6C78">
      <w:pPr>
        <w:rPr>
          <w:sz w:val="22"/>
          <w:szCs w:val="22"/>
        </w:rPr>
      </w:pPr>
    </w:p>
    <w:p w14:paraId="343AA59E" w14:textId="1E243482" w:rsidR="00DF6C78" w:rsidRPr="00DF6C78" w:rsidRDefault="00DF6C78" w:rsidP="00DF6C78">
      <w:pPr>
        <w:rPr>
          <w:sz w:val="22"/>
          <w:szCs w:val="22"/>
        </w:rPr>
      </w:pPr>
      <w:r w:rsidRPr="00DF6C78">
        <w:rPr>
          <w:sz w:val="22"/>
          <w:szCs w:val="22"/>
        </w:rPr>
        <w:t>Revizuirea cotelor de TVA este un proiect la care se lucrează de mult</w:t>
      </w:r>
      <w:r w:rsidR="00B05ABC">
        <w:rPr>
          <w:sz w:val="22"/>
          <w:szCs w:val="22"/>
        </w:rPr>
        <w:t>ă</w:t>
      </w:r>
      <w:r w:rsidRPr="00DF6C78">
        <w:rPr>
          <w:sz w:val="22"/>
          <w:szCs w:val="22"/>
        </w:rPr>
        <w:t xml:space="preserve"> vreme la nivelul Consiliului UE, intenția forurilor europene fiind aceea de a oferi guvernelor mai multă flexibilitate în stabilirea </w:t>
      </w:r>
      <w:r w:rsidR="00B05ABC">
        <w:rPr>
          <w:sz w:val="22"/>
          <w:szCs w:val="22"/>
        </w:rPr>
        <w:t>ş</w:t>
      </w:r>
      <w:r w:rsidRPr="00DF6C78">
        <w:rPr>
          <w:sz w:val="22"/>
          <w:szCs w:val="22"/>
        </w:rPr>
        <w:t xml:space="preserve">i adoptarea cotelor reduse de TVA, dar și în îndeplinirea priorităților generale ale Uniunii </w:t>
      </w:r>
      <w:r w:rsidR="00144AD6">
        <w:rPr>
          <w:sz w:val="22"/>
          <w:szCs w:val="22"/>
        </w:rPr>
        <w:t xml:space="preserve">Europene </w:t>
      </w:r>
      <w:r w:rsidRPr="00DF6C78">
        <w:rPr>
          <w:sz w:val="22"/>
          <w:szCs w:val="22"/>
        </w:rPr>
        <w:t>(în principal reziliența sistemului de sănătate, Pa</w:t>
      </w:r>
      <w:r w:rsidR="00B05ABC">
        <w:rPr>
          <w:sz w:val="22"/>
          <w:szCs w:val="22"/>
        </w:rPr>
        <w:t>c</w:t>
      </w:r>
      <w:r w:rsidRPr="00DF6C78">
        <w:rPr>
          <w:sz w:val="22"/>
          <w:szCs w:val="22"/>
        </w:rPr>
        <w:t xml:space="preserve">tul verde european și tranziția digitală). Practic, vorbim despre prima reformare a cotelor de TVA  într-o istorie de aproape 30 de ani.  </w:t>
      </w:r>
    </w:p>
    <w:p w14:paraId="48F073AB" w14:textId="77777777" w:rsidR="00DF6C78" w:rsidRPr="00DF6C78" w:rsidRDefault="00DF6C78" w:rsidP="00DF6C78">
      <w:pPr>
        <w:rPr>
          <w:sz w:val="22"/>
          <w:szCs w:val="22"/>
        </w:rPr>
      </w:pPr>
    </w:p>
    <w:p w14:paraId="4B9235B8" w14:textId="77777777" w:rsidR="00DF6C78" w:rsidRPr="00DF6C78" w:rsidRDefault="00DF6C78" w:rsidP="00DF6C78">
      <w:pPr>
        <w:rPr>
          <w:sz w:val="22"/>
          <w:szCs w:val="22"/>
        </w:rPr>
      </w:pPr>
      <w:r w:rsidRPr="00DF6C78">
        <w:rPr>
          <w:sz w:val="22"/>
          <w:szCs w:val="22"/>
        </w:rPr>
        <w:t xml:space="preserve">Noua Directivă a actualizat și modernizat lista bunurilor și serviciilor pentru care sunt permise cote reduse de TVA (anexa III la Directiva de TVA), pentru a ține cont și de transformarea digitală a economiei. Actualizarea listei a fost determinată de o serie de principii, cum ar fi interesul consumatorului final și interesul general. Toate derogările existente, care au permis anumitor state membre să aplice cote preferențiale pentru anumite produse sunt deschise acum tuturor statelor, cu condiția respectării unor condiții similare. Directiva conține și o nouă dispoziție, care va da statelor membre permisiunea de a reacționa rapid în circumstanțe excepționale, cum ar fi pandemiile, crizele umanitare sau dezastrele naturale. </w:t>
      </w:r>
    </w:p>
    <w:p w14:paraId="4323C270" w14:textId="77777777" w:rsidR="00DF6C78" w:rsidRPr="00DF6C78" w:rsidRDefault="00DF6C78" w:rsidP="00DF6C78">
      <w:pPr>
        <w:rPr>
          <w:sz w:val="22"/>
          <w:szCs w:val="22"/>
        </w:rPr>
      </w:pPr>
    </w:p>
    <w:p w14:paraId="4DE7206C" w14:textId="6DFF10E7" w:rsidR="00DF6C78" w:rsidRPr="00DF6C78" w:rsidRDefault="00DF6C78" w:rsidP="00DF6C78">
      <w:pPr>
        <w:rPr>
          <w:sz w:val="22"/>
          <w:szCs w:val="22"/>
        </w:rPr>
      </w:pPr>
      <w:r w:rsidRPr="00DF6C78">
        <w:rPr>
          <w:sz w:val="22"/>
          <w:szCs w:val="22"/>
        </w:rPr>
        <w:t>Tot Directiva stipulează că produselor dăunătoare mediului, cum ar fi combustibilii fosili și îngrășămintele, nu li se vor mai putea aplica cote reduse</w:t>
      </w:r>
      <w:r w:rsidR="00144AD6">
        <w:rPr>
          <w:sz w:val="22"/>
          <w:szCs w:val="22"/>
        </w:rPr>
        <w:t>,</w:t>
      </w:r>
      <w:r w:rsidRPr="00DF6C78">
        <w:rPr>
          <w:sz w:val="22"/>
          <w:szCs w:val="22"/>
        </w:rPr>
        <w:t xml:space="preserve"> începând cu 1 ianuarie 2030 și, respectiv, 1 ianuarie 2032. </w:t>
      </w:r>
    </w:p>
    <w:p w14:paraId="36D3B1FE" w14:textId="77777777" w:rsidR="00DF6C78" w:rsidRPr="00DF6C78" w:rsidRDefault="00DF6C78" w:rsidP="00DF6C78">
      <w:pPr>
        <w:rPr>
          <w:sz w:val="22"/>
          <w:szCs w:val="22"/>
        </w:rPr>
      </w:pPr>
      <w:bookmarkStart w:id="2" w:name="_Hlk100220580"/>
    </w:p>
    <w:p w14:paraId="7260202F" w14:textId="77777777" w:rsidR="00DF6C78" w:rsidRPr="00DF6C78" w:rsidRDefault="00DF6C78" w:rsidP="00DF6C78">
      <w:pPr>
        <w:rPr>
          <w:sz w:val="22"/>
          <w:szCs w:val="22"/>
        </w:rPr>
      </w:pPr>
      <w:r w:rsidRPr="00DF6C78">
        <w:rPr>
          <w:sz w:val="22"/>
          <w:szCs w:val="22"/>
        </w:rPr>
        <w:t>Noile prevederi au intrat în vigoare chiar pe 6 aprilie 2022 - la publicarea în Monitorul Oficial al Uniunii Europene.</w:t>
      </w:r>
    </w:p>
    <w:bookmarkEnd w:id="2"/>
    <w:p w14:paraId="6CBF8CC7" w14:textId="77777777" w:rsidR="00DF6C78" w:rsidRPr="00DF6C78" w:rsidRDefault="00DF6C78" w:rsidP="00DF6C78">
      <w:pPr>
        <w:rPr>
          <w:sz w:val="22"/>
          <w:szCs w:val="22"/>
        </w:rPr>
      </w:pPr>
    </w:p>
    <w:p w14:paraId="0B88A91B" w14:textId="375AD7AF" w:rsidR="00DF6C78" w:rsidRPr="00DF6C78" w:rsidRDefault="00DF6C78" w:rsidP="00DF6C78">
      <w:pPr>
        <w:rPr>
          <w:sz w:val="22"/>
          <w:szCs w:val="22"/>
        </w:rPr>
      </w:pPr>
      <w:r w:rsidRPr="00DF6C78">
        <w:rPr>
          <w:sz w:val="22"/>
          <w:szCs w:val="22"/>
        </w:rPr>
        <w:t xml:space="preserve">Statele membre vor continua să aplice cota normală sau standard de cel puțin 15%, dar vor putea aplica două cote reduse de cel puțin 5% la maxim 24 din categoriile de articole cuprinse în lista din anexa III la Directiva TVA – de exemplu apă, medicamente, produse farmaceutice, produse de sănătate și igienă, transport de persoane, cărți, ziare și periodice. De altfel, noua Directivă introduce 10 categorii noi în anexa III, cum ar fi: livrarea </w:t>
      </w:r>
      <w:r w:rsidR="00B05ABC">
        <w:rPr>
          <w:sz w:val="22"/>
          <w:szCs w:val="22"/>
        </w:rPr>
        <w:t>ş</w:t>
      </w:r>
      <w:r w:rsidRPr="00DF6C78">
        <w:rPr>
          <w:sz w:val="22"/>
          <w:szCs w:val="22"/>
        </w:rPr>
        <w:t xml:space="preserve">i instalarea de panouri solare, îmbrăcăminte </w:t>
      </w:r>
      <w:r w:rsidR="00B05ABC">
        <w:rPr>
          <w:sz w:val="22"/>
          <w:szCs w:val="22"/>
        </w:rPr>
        <w:t>ş</w:t>
      </w:r>
      <w:r w:rsidRPr="00DF6C78">
        <w:rPr>
          <w:sz w:val="22"/>
          <w:szCs w:val="22"/>
        </w:rPr>
        <w:t xml:space="preserve">i încălțăminte pentru copii, scaune auto pentru copii sau biciclete. Multe din categoriile existente dobândesc un domeniu de aplicare mai larg – de exemplu, transmisiunea </w:t>
      </w:r>
      <w:r w:rsidR="00B05ABC">
        <w:rPr>
          <w:sz w:val="22"/>
          <w:szCs w:val="22"/>
        </w:rPr>
        <w:t>î</w:t>
      </w:r>
      <w:r w:rsidRPr="00DF6C78">
        <w:rPr>
          <w:sz w:val="22"/>
          <w:szCs w:val="22"/>
        </w:rPr>
        <w:t>n direct pe internet a unor evenimente sportive sau ore de exerciții fizice</w:t>
      </w:r>
      <w:r w:rsidR="00144AD6">
        <w:rPr>
          <w:sz w:val="22"/>
          <w:szCs w:val="22"/>
        </w:rPr>
        <w:t>,</w:t>
      </w:r>
      <w:r w:rsidRPr="00DF6C78">
        <w:rPr>
          <w:sz w:val="22"/>
          <w:szCs w:val="22"/>
        </w:rPr>
        <w:t xml:space="preserve"> atunci când sunt transmise prin internet</w:t>
      </w:r>
      <w:r w:rsidR="00144AD6">
        <w:rPr>
          <w:sz w:val="22"/>
          <w:szCs w:val="22"/>
        </w:rPr>
        <w:t>,</w:t>
      </w:r>
      <w:r w:rsidRPr="00DF6C78">
        <w:rPr>
          <w:sz w:val="22"/>
          <w:szCs w:val="22"/>
        </w:rPr>
        <w:t xml:space="preserve"> bunuri ecologice. În plus, fiecare stat membru poate stabili o cotă super-redusă (mai mică de 5%) și o scutire </w:t>
      </w:r>
      <w:r w:rsidR="00B05ABC">
        <w:rPr>
          <w:sz w:val="22"/>
          <w:szCs w:val="22"/>
        </w:rPr>
        <w:t>c</w:t>
      </w:r>
      <w:r w:rsidRPr="00DF6C78">
        <w:rPr>
          <w:sz w:val="22"/>
          <w:szCs w:val="22"/>
        </w:rPr>
        <w:t xml:space="preserve">u drept de deducere (cota 0%) pentru produsele care să acopere nevoile de bază, precum alimente, medicamente, produse farmaceutice, dar și panouri solare. </w:t>
      </w:r>
    </w:p>
    <w:p w14:paraId="14CC1933" w14:textId="77777777" w:rsidR="00DF6C78" w:rsidRPr="00DF6C78" w:rsidRDefault="00DF6C78" w:rsidP="00DF6C78">
      <w:pPr>
        <w:rPr>
          <w:sz w:val="22"/>
          <w:szCs w:val="22"/>
        </w:rPr>
      </w:pPr>
    </w:p>
    <w:p w14:paraId="74EF6954" w14:textId="65B7DF0F" w:rsidR="00DF6C78" w:rsidRPr="00DF6C78" w:rsidRDefault="00DF6C78" w:rsidP="00DF6C78">
      <w:pPr>
        <w:rPr>
          <w:sz w:val="22"/>
          <w:szCs w:val="22"/>
        </w:rPr>
      </w:pPr>
      <w:r w:rsidRPr="00DF6C78">
        <w:rPr>
          <w:sz w:val="22"/>
          <w:szCs w:val="22"/>
        </w:rPr>
        <w:t>Veștile bune trebuie însă tratate cu atenție - o structură fragmentată a cotelor de TVA nu va face decât să crească complexitatea, atât pentru companii, cât și pentru administrația fiscal</w:t>
      </w:r>
      <w:r w:rsidR="00B05ABC">
        <w:rPr>
          <w:sz w:val="22"/>
          <w:szCs w:val="22"/>
        </w:rPr>
        <w:t>ă</w:t>
      </w:r>
      <w:r w:rsidRPr="00DF6C78">
        <w:rPr>
          <w:sz w:val="22"/>
          <w:szCs w:val="22"/>
        </w:rPr>
        <w:t>, care trebuie să fie gardianul aplicării corecte a Legii. Or</w:t>
      </w:r>
      <w:r w:rsidR="00B05ABC">
        <w:rPr>
          <w:sz w:val="22"/>
          <w:szCs w:val="22"/>
        </w:rPr>
        <w:t>i</w:t>
      </w:r>
      <w:r w:rsidRPr="00DF6C78">
        <w:rPr>
          <w:sz w:val="22"/>
          <w:szCs w:val="22"/>
        </w:rPr>
        <w:t xml:space="preserve">, așa cum vedem din exemplele anterioare, scăderile cotelor de TVA nu au adus o reducere a evaziunii sau fraudei şi nici o creștere a veniturilor bugetare. </w:t>
      </w:r>
    </w:p>
    <w:p w14:paraId="1FA8B760" w14:textId="77777777" w:rsidR="00DF6C78" w:rsidRPr="00DF6C78" w:rsidRDefault="00DF6C78" w:rsidP="00DF6C78">
      <w:pPr>
        <w:rPr>
          <w:sz w:val="22"/>
          <w:szCs w:val="22"/>
        </w:rPr>
      </w:pPr>
    </w:p>
    <w:p w14:paraId="268F9B18" w14:textId="09C5E7AB" w:rsidR="00DF6C78" w:rsidRPr="00DF6C78" w:rsidRDefault="00DF6C78" w:rsidP="00DF6C78">
      <w:pPr>
        <w:rPr>
          <w:sz w:val="22"/>
          <w:szCs w:val="22"/>
        </w:rPr>
      </w:pPr>
      <w:r w:rsidRPr="00DF6C78">
        <w:rPr>
          <w:sz w:val="22"/>
          <w:szCs w:val="22"/>
        </w:rPr>
        <w:t>Cum se v</w:t>
      </w:r>
      <w:r w:rsidR="00683709">
        <w:rPr>
          <w:sz w:val="22"/>
          <w:szCs w:val="22"/>
        </w:rPr>
        <w:t>ă</w:t>
      </w:r>
      <w:r w:rsidRPr="00DF6C78">
        <w:rPr>
          <w:sz w:val="22"/>
          <w:szCs w:val="22"/>
        </w:rPr>
        <w:t xml:space="preserve">d reducerile de cote de TVA </w:t>
      </w:r>
      <w:r w:rsidR="00B05ABC">
        <w:rPr>
          <w:sz w:val="22"/>
          <w:szCs w:val="22"/>
        </w:rPr>
        <w:t>î</w:t>
      </w:r>
      <w:r w:rsidRPr="00DF6C78">
        <w:rPr>
          <w:sz w:val="22"/>
          <w:szCs w:val="22"/>
        </w:rPr>
        <w:t>n buzunarul consumatorului? Experiența arat</w:t>
      </w:r>
      <w:r w:rsidR="00B05ABC">
        <w:rPr>
          <w:sz w:val="22"/>
          <w:szCs w:val="22"/>
        </w:rPr>
        <w:t>ă</w:t>
      </w:r>
      <w:r w:rsidRPr="00DF6C78">
        <w:rPr>
          <w:sz w:val="22"/>
          <w:szCs w:val="22"/>
        </w:rPr>
        <w:t xml:space="preserve"> c</w:t>
      </w:r>
      <w:r w:rsidR="00B05ABC">
        <w:rPr>
          <w:sz w:val="22"/>
          <w:szCs w:val="22"/>
        </w:rPr>
        <w:t>ă</w:t>
      </w:r>
      <w:r w:rsidRPr="00DF6C78">
        <w:rPr>
          <w:sz w:val="22"/>
          <w:szCs w:val="22"/>
        </w:rPr>
        <w:t xml:space="preserve"> prețurile răspund mai mult la majorările de TVA decât la scăderi. Potrivit unui studiu privind incidența modificărilor de cote de TVA asupra prețurilor, se pare că prețurile sunt de două ori mai sensibile la o creștere de TVA</w:t>
      </w:r>
      <w:r w:rsidR="00683709">
        <w:rPr>
          <w:sz w:val="22"/>
          <w:szCs w:val="22"/>
        </w:rPr>
        <w:t>,</w:t>
      </w:r>
      <w:r w:rsidRPr="00DF6C78">
        <w:rPr>
          <w:sz w:val="22"/>
          <w:szCs w:val="22"/>
        </w:rPr>
        <w:t xml:space="preserve"> decât la o scădere a cotei – pentru aceleași produse, cu același procent de creștere/scădere. Totodată, asimetria prețurilor este reflectată și în profiturile operatorilor economici. Concret, firmele cu rate mai mici de profitabilitate tind să transfere mai mult creșterile de cote de TVA prin prețul către consumatori, comparativ cu scăderile. Apoi, același studiu mai ar</w:t>
      </w:r>
      <w:r w:rsidR="00683709">
        <w:rPr>
          <w:sz w:val="22"/>
          <w:szCs w:val="22"/>
        </w:rPr>
        <w:t>a</w:t>
      </w:r>
      <w:r w:rsidRPr="00DF6C78">
        <w:rPr>
          <w:sz w:val="22"/>
          <w:szCs w:val="22"/>
        </w:rPr>
        <w:t>t</w:t>
      </w:r>
      <w:r w:rsidR="00683709">
        <w:rPr>
          <w:sz w:val="22"/>
          <w:szCs w:val="22"/>
        </w:rPr>
        <w:t>ă</w:t>
      </w:r>
      <w:r w:rsidRPr="00DF6C78">
        <w:rPr>
          <w:sz w:val="22"/>
          <w:szCs w:val="22"/>
        </w:rPr>
        <w:t xml:space="preserve"> că asimetria persistă pe termen lung, chiar la câțiva ani după eliminarea unei reduceri de cote de TVA. Cu alte cuvinte, reducerile cotelor de TVA nu au întotdeauna chiar efectele scontate, cel puțin nu la nivelul consumatorului final. </w:t>
      </w:r>
    </w:p>
    <w:p w14:paraId="6E3DAA8D" w14:textId="77777777" w:rsidR="00DF6C78" w:rsidRPr="00DF6C78" w:rsidRDefault="00DF6C78" w:rsidP="00DF6C78">
      <w:pPr>
        <w:rPr>
          <w:sz w:val="22"/>
          <w:szCs w:val="22"/>
        </w:rPr>
      </w:pPr>
    </w:p>
    <w:p w14:paraId="4EC4E453" w14:textId="2E237027" w:rsidR="00DF6C78" w:rsidRPr="00DF6C78" w:rsidRDefault="00B05ABC" w:rsidP="00DF6C78">
      <w:pPr>
        <w:rPr>
          <w:sz w:val="22"/>
          <w:szCs w:val="22"/>
        </w:rPr>
      </w:pPr>
      <w:r>
        <w:rPr>
          <w:sz w:val="22"/>
          <w:szCs w:val="22"/>
        </w:rPr>
        <w:t>Î</w:t>
      </w:r>
      <w:r w:rsidR="00DF6C78" w:rsidRPr="00DF6C78">
        <w:rPr>
          <w:sz w:val="22"/>
          <w:szCs w:val="22"/>
        </w:rPr>
        <w:t xml:space="preserve">n concluzie, diversificarea structurii de cote reduse de TVA poate să ridice probleme și din punctul de vedere al neutralității TVA, atunci când produse similare aflate în concurență unele cu altele, pot fi subiectul unor cote diferite de TVA. Toate acestea fac ca soluția succesului noii Directive să stea în modul în care statele, deci și România, vor înțelege să acceseze beneficiile unor structuri flexibile ale cotelor reduse de TVA și cum le vor transpune în legislațiile naționale. </w:t>
      </w:r>
    </w:p>
    <w:p w14:paraId="0C52631D" w14:textId="640C03CD" w:rsidR="007151F4" w:rsidRPr="007151F4" w:rsidRDefault="00683709" w:rsidP="007151F4">
      <w:pPr>
        <w:rPr>
          <w:sz w:val="22"/>
          <w:szCs w:val="22"/>
        </w:rPr>
      </w:pPr>
      <w:r>
        <w:rPr>
          <w:sz w:val="22"/>
          <w:szCs w:val="22"/>
        </w:rPr>
        <w:t>-//-</w:t>
      </w:r>
    </w:p>
    <w:p w14:paraId="3909DC03" w14:textId="77777777" w:rsidR="00494929" w:rsidRPr="00494929" w:rsidRDefault="00494929" w:rsidP="000A3147">
      <w:pPr>
        <w:rPr>
          <w:rFonts w:eastAsiaTheme="minorHAnsi" w:cstheme="minorBidi"/>
          <w:b/>
          <w:bCs/>
          <w:kern w:val="12"/>
          <w:sz w:val="22"/>
          <w:szCs w:val="22"/>
        </w:rPr>
      </w:pPr>
    </w:p>
    <w:p w14:paraId="4A30D286" w14:textId="1EEE5A45" w:rsidR="000A3147" w:rsidRPr="00930D8D" w:rsidRDefault="000A3147" w:rsidP="000A3147">
      <w:pPr>
        <w:rPr>
          <w:rFonts w:eastAsiaTheme="minorHAnsi" w:cstheme="minorBidi"/>
          <w:b/>
          <w:bCs/>
          <w:kern w:val="12"/>
          <w:sz w:val="16"/>
          <w:szCs w:val="16"/>
        </w:rPr>
      </w:pPr>
      <w:r w:rsidRPr="00930D8D">
        <w:rPr>
          <w:rFonts w:eastAsiaTheme="minorHAnsi" w:cstheme="minorBidi"/>
          <w:b/>
          <w:bCs/>
          <w:kern w:val="12"/>
          <w:sz w:val="16"/>
          <w:szCs w:val="16"/>
        </w:rPr>
        <w:t>Despre EY România</w:t>
      </w:r>
    </w:p>
    <w:p w14:paraId="4E092A6F" w14:textId="77777777" w:rsidR="000A3147" w:rsidRPr="00930D8D" w:rsidRDefault="000A3147" w:rsidP="000A3147">
      <w:pPr>
        <w:rPr>
          <w:rFonts w:eastAsiaTheme="minorHAnsi" w:cstheme="minorBidi"/>
          <w:b/>
          <w:bCs/>
          <w:kern w:val="12"/>
          <w:sz w:val="16"/>
          <w:szCs w:val="16"/>
        </w:rPr>
      </w:pPr>
    </w:p>
    <w:p w14:paraId="50ADB04D" w14:textId="77777777" w:rsidR="000A3147" w:rsidRPr="00930D8D" w:rsidRDefault="000A3147" w:rsidP="000A3147">
      <w:pPr>
        <w:rPr>
          <w:rFonts w:eastAsiaTheme="minorHAnsi" w:cstheme="minorBidi"/>
          <w:kern w:val="12"/>
          <w:sz w:val="16"/>
          <w:szCs w:val="16"/>
        </w:rPr>
      </w:pPr>
      <w:r w:rsidRPr="00930D8D">
        <w:rPr>
          <w:rFonts w:eastAsiaTheme="minorHAnsi" w:cstheme="minorBidi"/>
          <w:kern w:val="12"/>
          <w:sz w:val="16"/>
          <w:szCs w:val="16"/>
        </w:rPr>
        <w:t>EY este una dintre cele mai mari firme de servicii profesionale la nivel global, cu 312.250 de angajați în peste 700 de birouri în 150 de țări și venituri de aproximativ 40 miliarde de USD în anul fiscal încheiat la 30 iunie 2021. Rețeaua lor este cea mai integrată la nivel global, iar resursele din cadrul acesteia îi ajută să le ofere clienților servicii prin care să beneficieze de oportunitățile din întreaga lume.</w:t>
      </w:r>
    </w:p>
    <w:p w14:paraId="53518B82" w14:textId="76175813" w:rsidR="000A30C3" w:rsidRPr="00930D8D" w:rsidRDefault="000A3147" w:rsidP="000A3147">
      <w:pPr>
        <w:rPr>
          <w:rFonts w:eastAsiaTheme="minorHAnsi" w:cstheme="minorBidi"/>
          <w:kern w:val="12"/>
          <w:sz w:val="16"/>
          <w:szCs w:val="16"/>
        </w:rPr>
      </w:pPr>
      <w:r w:rsidRPr="00930D8D">
        <w:rPr>
          <w:rFonts w:eastAsiaTheme="minorHAnsi" w:cstheme="minorBidi"/>
          <w:kern w:val="12"/>
          <w:sz w:val="16"/>
          <w:szCs w:val="16"/>
        </w:rPr>
        <w:t>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Entrepreneur Of The Year. Câștigătorul ediției locale reprezintă România în finala mondială ce are loc în fiecare an, în luna iunie, la Monte Carlo. În finala mondială se acordă titlul World Entrepreneur Of The Year.</w:t>
      </w:r>
    </w:p>
    <w:p w14:paraId="176D3234" w14:textId="613520E2" w:rsidR="00BB6595" w:rsidRPr="00634DD2" w:rsidRDefault="00BB6595" w:rsidP="000424CE">
      <w:pPr>
        <w:pStyle w:val="EYNormal"/>
        <w:rPr>
          <w:rFonts w:ascii="Arial" w:hAnsi="Arial" w:cs="Arial"/>
          <w:sz w:val="18"/>
          <w:szCs w:val="18"/>
        </w:rPr>
      </w:pPr>
    </w:p>
    <w:sectPr w:rsidR="00BB6595" w:rsidRPr="00634DD2" w:rsidSect="008731BE">
      <w:headerReference w:type="default" r:id="rId11"/>
      <w:footerReference w:type="default" r:id="rId12"/>
      <w:headerReference w:type="first" r:id="rId13"/>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B5FF" w14:textId="77777777" w:rsidR="004D25BB" w:rsidRDefault="004D25BB">
      <w:r>
        <w:separator/>
      </w:r>
    </w:p>
  </w:endnote>
  <w:endnote w:type="continuationSeparator" w:id="0">
    <w:p w14:paraId="7B7259D0" w14:textId="77777777" w:rsidR="004D25BB" w:rsidRDefault="004D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8DC7" w14:textId="0BF4D02C" w:rsidR="008731BE" w:rsidRDefault="000A30C3">
    <w:pPr>
      <w:pStyle w:val="Footer"/>
    </w:pPr>
    <w:r>
      <w:rPr>
        <w:noProof/>
        <w:lang w:eastAsia="ro-RO"/>
      </w:rPr>
      <mc:AlternateContent>
        <mc:Choice Requires="wps">
          <w:drawing>
            <wp:anchor distT="0" distB="0" distL="114300" distR="114300" simplePos="0" relativeHeight="251659264" behindDoc="1" locked="1" layoutInCell="1" allowOverlap="1" wp14:anchorId="23CC86E2" wp14:editId="784BB893">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77586310" w14:textId="77777777" w:rsidR="008731BE" w:rsidRPr="00195C92" w:rsidRDefault="004D25BB" w:rsidP="008731BE">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C86E2" id="_x0000_t202" coordsize="21600,21600" o:spt="202" path="m,l,21600r21600,l21600,xe">
              <v:stroke joinstyle="miter"/>
              <v:path gradientshapeok="t" o:connecttype="rect"/>
            </v:shapetype>
            <v:shape id="Text Box 5" o:spid="_x0000_s1027"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" filled="f" stroked="f">
              <v:textbox inset="0,0,0,0">
                <w:txbxContent>
                  <w:p w14:paraId="77586310" w14:textId="77777777" w:rsidR="008731BE" w:rsidRPr="00195C92" w:rsidRDefault="004D25BB" w:rsidP="008731BE">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457AE" w14:textId="77777777" w:rsidR="004D25BB" w:rsidRDefault="004D25BB">
      <w:r>
        <w:separator/>
      </w:r>
    </w:p>
  </w:footnote>
  <w:footnote w:type="continuationSeparator" w:id="0">
    <w:p w14:paraId="78078ECB" w14:textId="77777777" w:rsidR="004D25BB" w:rsidRDefault="004D2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3720" w14:textId="5DF5CC24" w:rsidR="008731BE" w:rsidRDefault="00A646D4" w:rsidP="008731BE">
    <w:pPr>
      <w:pStyle w:val="Header"/>
    </w:pPr>
    <w:r>
      <w:rPr>
        <w:noProof/>
        <w:lang w:eastAsia="ro-RO"/>
      </w:rPr>
      <w:drawing>
        <wp:anchor distT="0" distB="0" distL="114300" distR="114300" simplePos="0" relativeHeight="251662336" behindDoc="1" locked="0" layoutInCell="1" allowOverlap="1" wp14:anchorId="40140666" wp14:editId="5B4659A9">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0A30C3">
      <w:rPr>
        <w:noProof/>
        <w:lang w:eastAsia="ro-RO"/>
      </w:rPr>
      <mc:AlternateContent>
        <mc:Choice Requires="wps">
          <w:drawing>
            <wp:anchor distT="0" distB="0" distL="114300" distR="114300" simplePos="0" relativeHeight="251660288" behindDoc="0" locked="0" layoutInCell="1" allowOverlap="1" wp14:anchorId="34EA83BC" wp14:editId="5FF53B6E">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83BC"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" filled="f" stroked="f">
              <v:textbox inset="0,0,0,0">
                <w:txbxContent>
                  <w:p w14:paraId="383F9910" w14:textId="77777777" w:rsidR="008731BE" w:rsidRDefault="00A646D4" w:rsidP="008731BE">
                    <w:pPr>
                      <w:pStyle w:val="EYContinuationheader"/>
                      <w:jc w:val="right"/>
                    </w:pPr>
                    <w:r>
                      <w:t xml:space="preserve">Pagina </w:t>
                    </w:r>
                    <w:r w:rsidR="00B74BC5">
                      <w:fldChar w:fldCharType="begin"/>
                    </w:r>
                    <w:r>
                      <w:instrText xml:space="preserve"> PAGE  \* Arabic  \* MERGEFORMAT </w:instrText>
                    </w:r>
                    <w:r w:rsidR="00B74BC5">
                      <w:fldChar w:fldCharType="separate"/>
                    </w:r>
                    <w:r w:rsidR="003A6CD6">
                      <w:rPr>
                        <w:noProof/>
                      </w:rPr>
                      <w:t>3</w:t>
                    </w:r>
                    <w:r w:rsidR="00B74BC5">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C318" w14:textId="77777777" w:rsidR="008731BE" w:rsidRDefault="00A646D4">
    <w:pPr>
      <w:pStyle w:val="Header"/>
    </w:pPr>
    <w:r>
      <w:rPr>
        <w:noProof/>
        <w:lang w:eastAsia="ro-RO"/>
      </w:rPr>
      <w:drawing>
        <wp:anchor distT="0" distB="0" distL="114300" distR="114300" simplePos="0" relativeHeight="251661312" behindDoc="1" locked="0" layoutInCell="1" allowOverlap="1" wp14:anchorId="785F5FCB" wp14:editId="7DEAEAD3">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6E80"/>
    <w:multiLevelType w:val="hybridMultilevel"/>
    <w:tmpl w:val="F6745320"/>
    <w:lvl w:ilvl="0" w:tplc="AB06A944">
      <w:start w:val="1"/>
      <w:numFmt w:val="bullet"/>
      <w:lvlText w:val=""/>
      <w:lvlJc w:val="left"/>
      <w:pPr>
        <w:ind w:left="720" w:hanging="360"/>
      </w:pPr>
      <w:rPr>
        <w:rFonts w:ascii="Wingdings 3" w:hAnsi="Wingdings 3"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261F6"/>
    <w:multiLevelType w:val="hybridMultilevel"/>
    <w:tmpl w:val="CBAC367E"/>
    <w:lvl w:ilvl="0" w:tplc="0D061BCA">
      <w:start w:val="1"/>
      <w:numFmt w:val="bullet"/>
      <w:lvlText w:val=""/>
      <w:lvlJc w:val="left"/>
      <w:pPr>
        <w:tabs>
          <w:tab w:val="num" w:pos="720"/>
        </w:tabs>
        <w:ind w:left="720" w:hanging="360"/>
      </w:pPr>
      <w:rPr>
        <w:rFonts w:ascii="Wingdings" w:hAnsi="Wingdings" w:hint="default"/>
      </w:rPr>
    </w:lvl>
    <w:lvl w:ilvl="1" w:tplc="616ABE44">
      <w:start w:val="1"/>
      <w:numFmt w:val="bullet"/>
      <w:lvlText w:val=""/>
      <w:lvlJc w:val="left"/>
      <w:pPr>
        <w:tabs>
          <w:tab w:val="num" w:pos="1440"/>
        </w:tabs>
        <w:ind w:left="1440" w:hanging="360"/>
      </w:pPr>
      <w:rPr>
        <w:rFonts w:ascii="Wingdings" w:hAnsi="Wingdings" w:hint="default"/>
      </w:rPr>
    </w:lvl>
    <w:lvl w:ilvl="2" w:tplc="B69E7FA0">
      <w:start w:val="1"/>
      <w:numFmt w:val="bullet"/>
      <w:lvlText w:val=""/>
      <w:lvlJc w:val="left"/>
      <w:pPr>
        <w:tabs>
          <w:tab w:val="num" w:pos="2160"/>
        </w:tabs>
        <w:ind w:left="2160" w:hanging="360"/>
      </w:pPr>
      <w:rPr>
        <w:rFonts w:ascii="Wingdings" w:hAnsi="Wingdings" w:hint="default"/>
      </w:rPr>
    </w:lvl>
    <w:lvl w:ilvl="3" w:tplc="9246EBA4">
      <w:start w:val="1"/>
      <w:numFmt w:val="bullet"/>
      <w:lvlText w:val=""/>
      <w:lvlJc w:val="left"/>
      <w:pPr>
        <w:tabs>
          <w:tab w:val="num" w:pos="2880"/>
        </w:tabs>
        <w:ind w:left="2880" w:hanging="360"/>
      </w:pPr>
      <w:rPr>
        <w:rFonts w:ascii="Wingdings" w:hAnsi="Wingdings" w:hint="default"/>
      </w:rPr>
    </w:lvl>
    <w:lvl w:ilvl="4" w:tplc="B240DC84">
      <w:start w:val="1"/>
      <w:numFmt w:val="bullet"/>
      <w:lvlText w:val=""/>
      <w:lvlJc w:val="left"/>
      <w:pPr>
        <w:tabs>
          <w:tab w:val="num" w:pos="3600"/>
        </w:tabs>
        <w:ind w:left="3600" w:hanging="360"/>
      </w:pPr>
      <w:rPr>
        <w:rFonts w:ascii="Wingdings" w:hAnsi="Wingdings" w:hint="default"/>
      </w:rPr>
    </w:lvl>
    <w:lvl w:ilvl="5" w:tplc="39840C32">
      <w:start w:val="1"/>
      <w:numFmt w:val="bullet"/>
      <w:lvlText w:val=""/>
      <w:lvlJc w:val="left"/>
      <w:pPr>
        <w:tabs>
          <w:tab w:val="num" w:pos="4320"/>
        </w:tabs>
        <w:ind w:left="4320" w:hanging="360"/>
      </w:pPr>
      <w:rPr>
        <w:rFonts w:ascii="Wingdings" w:hAnsi="Wingdings" w:hint="default"/>
      </w:rPr>
    </w:lvl>
    <w:lvl w:ilvl="6" w:tplc="2DBE2274">
      <w:start w:val="1"/>
      <w:numFmt w:val="bullet"/>
      <w:lvlText w:val=""/>
      <w:lvlJc w:val="left"/>
      <w:pPr>
        <w:tabs>
          <w:tab w:val="num" w:pos="5040"/>
        </w:tabs>
        <w:ind w:left="5040" w:hanging="360"/>
      </w:pPr>
      <w:rPr>
        <w:rFonts w:ascii="Wingdings" w:hAnsi="Wingdings" w:hint="default"/>
      </w:rPr>
    </w:lvl>
    <w:lvl w:ilvl="7" w:tplc="15EECAE2">
      <w:start w:val="1"/>
      <w:numFmt w:val="bullet"/>
      <w:lvlText w:val=""/>
      <w:lvlJc w:val="left"/>
      <w:pPr>
        <w:tabs>
          <w:tab w:val="num" w:pos="5760"/>
        </w:tabs>
        <w:ind w:left="5760" w:hanging="360"/>
      </w:pPr>
      <w:rPr>
        <w:rFonts w:ascii="Wingdings" w:hAnsi="Wingdings" w:hint="default"/>
      </w:rPr>
    </w:lvl>
    <w:lvl w:ilvl="8" w:tplc="C24A0EBA">
      <w:start w:val="1"/>
      <w:numFmt w:val="bullet"/>
      <w:lvlText w:val=""/>
      <w:lvlJc w:val="left"/>
      <w:pPr>
        <w:tabs>
          <w:tab w:val="num" w:pos="6480"/>
        </w:tabs>
        <w:ind w:left="6480" w:hanging="360"/>
      </w:pPr>
      <w:rPr>
        <w:rFonts w:ascii="Wingdings" w:hAnsi="Wingdings" w:hint="default"/>
      </w:rPr>
    </w:lvl>
  </w:abstractNum>
  <w:num w:numId="1" w16cid:durableId="1366448929">
    <w:abstractNumId w:val="1"/>
  </w:num>
  <w:num w:numId="2" w16cid:durableId="1117915545">
    <w:abstractNumId w:val="0"/>
  </w:num>
  <w:num w:numId="3" w16cid:durableId="858202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EA"/>
    <w:rsid w:val="000023A1"/>
    <w:rsid w:val="00002F9B"/>
    <w:rsid w:val="000118C0"/>
    <w:rsid w:val="00014FCA"/>
    <w:rsid w:val="00015075"/>
    <w:rsid w:val="00017B85"/>
    <w:rsid w:val="000424CE"/>
    <w:rsid w:val="0004334D"/>
    <w:rsid w:val="000500F1"/>
    <w:rsid w:val="00051CFA"/>
    <w:rsid w:val="0005477E"/>
    <w:rsid w:val="00072965"/>
    <w:rsid w:val="000746E5"/>
    <w:rsid w:val="00092FF0"/>
    <w:rsid w:val="00093829"/>
    <w:rsid w:val="00094877"/>
    <w:rsid w:val="00095366"/>
    <w:rsid w:val="000A2E33"/>
    <w:rsid w:val="000A30C3"/>
    <w:rsid w:val="000A3147"/>
    <w:rsid w:val="000B62F3"/>
    <w:rsid w:val="000D61B9"/>
    <w:rsid w:val="000F0F7C"/>
    <w:rsid w:val="00103F90"/>
    <w:rsid w:val="00126C72"/>
    <w:rsid w:val="00136CE2"/>
    <w:rsid w:val="00136DDD"/>
    <w:rsid w:val="0013771C"/>
    <w:rsid w:val="00144AD6"/>
    <w:rsid w:val="00146B1C"/>
    <w:rsid w:val="001518FA"/>
    <w:rsid w:val="00163F8D"/>
    <w:rsid w:val="00170FD9"/>
    <w:rsid w:val="0017314E"/>
    <w:rsid w:val="001772ED"/>
    <w:rsid w:val="001879EC"/>
    <w:rsid w:val="001911DA"/>
    <w:rsid w:val="001977A3"/>
    <w:rsid w:val="001A4B8A"/>
    <w:rsid w:val="001B023B"/>
    <w:rsid w:val="001B0350"/>
    <w:rsid w:val="001B7D9D"/>
    <w:rsid w:val="001C4197"/>
    <w:rsid w:val="001D1745"/>
    <w:rsid w:val="001D63F1"/>
    <w:rsid w:val="001F2A24"/>
    <w:rsid w:val="001F5517"/>
    <w:rsid w:val="0020127C"/>
    <w:rsid w:val="0022335F"/>
    <w:rsid w:val="002240EA"/>
    <w:rsid w:val="002364A3"/>
    <w:rsid w:val="00244FD7"/>
    <w:rsid w:val="00250409"/>
    <w:rsid w:val="002641C8"/>
    <w:rsid w:val="00272E7E"/>
    <w:rsid w:val="002A476A"/>
    <w:rsid w:val="002B316E"/>
    <w:rsid w:val="002D663B"/>
    <w:rsid w:val="002F5C56"/>
    <w:rsid w:val="00305E50"/>
    <w:rsid w:val="00313690"/>
    <w:rsid w:val="00316676"/>
    <w:rsid w:val="00333279"/>
    <w:rsid w:val="00337E79"/>
    <w:rsid w:val="00352BEF"/>
    <w:rsid w:val="0035415B"/>
    <w:rsid w:val="00356F74"/>
    <w:rsid w:val="00370D92"/>
    <w:rsid w:val="003908A8"/>
    <w:rsid w:val="003A6CD6"/>
    <w:rsid w:val="003B75BF"/>
    <w:rsid w:val="003C4618"/>
    <w:rsid w:val="003D247A"/>
    <w:rsid w:val="003F4F3D"/>
    <w:rsid w:val="004041EB"/>
    <w:rsid w:val="00412E12"/>
    <w:rsid w:val="00413663"/>
    <w:rsid w:val="00415BE2"/>
    <w:rsid w:val="00423019"/>
    <w:rsid w:val="004310C7"/>
    <w:rsid w:val="00432B27"/>
    <w:rsid w:val="004360DE"/>
    <w:rsid w:val="00453BEA"/>
    <w:rsid w:val="00456B37"/>
    <w:rsid w:val="0046717B"/>
    <w:rsid w:val="00480BD2"/>
    <w:rsid w:val="00486F15"/>
    <w:rsid w:val="00490A99"/>
    <w:rsid w:val="00494929"/>
    <w:rsid w:val="00496164"/>
    <w:rsid w:val="004B1B79"/>
    <w:rsid w:val="004D25BB"/>
    <w:rsid w:val="004D669C"/>
    <w:rsid w:val="004E1A81"/>
    <w:rsid w:val="004E3CC7"/>
    <w:rsid w:val="004F5813"/>
    <w:rsid w:val="004F6360"/>
    <w:rsid w:val="005045C1"/>
    <w:rsid w:val="005132A6"/>
    <w:rsid w:val="0052308B"/>
    <w:rsid w:val="00527C74"/>
    <w:rsid w:val="00545D40"/>
    <w:rsid w:val="00545F9B"/>
    <w:rsid w:val="005469EB"/>
    <w:rsid w:val="00554419"/>
    <w:rsid w:val="0055724C"/>
    <w:rsid w:val="0056122D"/>
    <w:rsid w:val="0057371A"/>
    <w:rsid w:val="00581424"/>
    <w:rsid w:val="00582EFC"/>
    <w:rsid w:val="005859A1"/>
    <w:rsid w:val="00593641"/>
    <w:rsid w:val="005A26FB"/>
    <w:rsid w:val="005A383F"/>
    <w:rsid w:val="005B6C1F"/>
    <w:rsid w:val="005C07C8"/>
    <w:rsid w:val="005C110F"/>
    <w:rsid w:val="005C2734"/>
    <w:rsid w:val="005C2A47"/>
    <w:rsid w:val="005C40DD"/>
    <w:rsid w:val="005C673A"/>
    <w:rsid w:val="005D432C"/>
    <w:rsid w:val="005D5870"/>
    <w:rsid w:val="005E0311"/>
    <w:rsid w:val="005E276C"/>
    <w:rsid w:val="005F0C14"/>
    <w:rsid w:val="005F562C"/>
    <w:rsid w:val="00603EB3"/>
    <w:rsid w:val="00604BAC"/>
    <w:rsid w:val="00630F30"/>
    <w:rsid w:val="00634DD2"/>
    <w:rsid w:val="00665728"/>
    <w:rsid w:val="006757D3"/>
    <w:rsid w:val="00680462"/>
    <w:rsid w:val="00682376"/>
    <w:rsid w:val="00682B3A"/>
    <w:rsid w:val="00683709"/>
    <w:rsid w:val="00690AA2"/>
    <w:rsid w:val="006A1B66"/>
    <w:rsid w:val="006B5E42"/>
    <w:rsid w:val="006B76B4"/>
    <w:rsid w:val="006B7A83"/>
    <w:rsid w:val="006C53A4"/>
    <w:rsid w:val="006C6879"/>
    <w:rsid w:val="006D1A3D"/>
    <w:rsid w:val="006F2BCD"/>
    <w:rsid w:val="006F759F"/>
    <w:rsid w:val="00700AE8"/>
    <w:rsid w:val="00713CF2"/>
    <w:rsid w:val="00714AB4"/>
    <w:rsid w:val="007151F4"/>
    <w:rsid w:val="00742BE4"/>
    <w:rsid w:val="007454AC"/>
    <w:rsid w:val="00745904"/>
    <w:rsid w:val="007537D0"/>
    <w:rsid w:val="00783F72"/>
    <w:rsid w:val="007858E4"/>
    <w:rsid w:val="00791BF9"/>
    <w:rsid w:val="00792860"/>
    <w:rsid w:val="00797F0D"/>
    <w:rsid w:val="007A2060"/>
    <w:rsid w:val="007A2745"/>
    <w:rsid w:val="007B176D"/>
    <w:rsid w:val="007C5366"/>
    <w:rsid w:val="007D69DD"/>
    <w:rsid w:val="007E69BE"/>
    <w:rsid w:val="0081476F"/>
    <w:rsid w:val="00822B0C"/>
    <w:rsid w:val="00836CE8"/>
    <w:rsid w:val="00850F92"/>
    <w:rsid w:val="00852838"/>
    <w:rsid w:val="00880947"/>
    <w:rsid w:val="00890C55"/>
    <w:rsid w:val="008A041B"/>
    <w:rsid w:val="008A6BA4"/>
    <w:rsid w:val="008B154E"/>
    <w:rsid w:val="008C39E8"/>
    <w:rsid w:val="008D01A6"/>
    <w:rsid w:val="008D2DD2"/>
    <w:rsid w:val="008E0658"/>
    <w:rsid w:val="008E6913"/>
    <w:rsid w:val="00906E2D"/>
    <w:rsid w:val="00916D09"/>
    <w:rsid w:val="00923387"/>
    <w:rsid w:val="009238BB"/>
    <w:rsid w:val="00930D8D"/>
    <w:rsid w:val="009347C4"/>
    <w:rsid w:val="00947E51"/>
    <w:rsid w:val="009604AA"/>
    <w:rsid w:val="009625D1"/>
    <w:rsid w:val="009631B0"/>
    <w:rsid w:val="0097115F"/>
    <w:rsid w:val="00994AE3"/>
    <w:rsid w:val="00995652"/>
    <w:rsid w:val="00995A75"/>
    <w:rsid w:val="009B2E5E"/>
    <w:rsid w:val="009B5A4B"/>
    <w:rsid w:val="009B647A"/>
    <w:rsid w:val="009C66D9"/>
    <w:rsid w:val="009D38F7"/>
    <w:rsid w:val="009E02CD"/>
    <w:rsid w:val="009E73DA"/>
    <w:rsid w:val="009F6941"/>
    <w:rsid w:val="00A04348"/>
    <w:rsid w:val="00A04E50"/>
    <w:rsid w:val="00A051BE"/>
    <w:rsid w:val="00A216F6"/>
    <w:rsid w:val="00A22984"/>
    <w:rsid w:val="00A249E1"/>
    <w:rsid w:val="00A37BE0"/>
    <w:rsid w:val="00A44E41"/>
    <w:rsid w:val="00A508BF"/>
    <w:rsid w:val="00A50B26"/>
    <w:rsid w:val="00A5647F"/>
    <w:rsid w:val="00A57603"/>
    <w:rsid w:val="00A646C2"/>
    <w:rsid w:val="00A646D4"/>
    <w:rsid w:val="00A64AA3"/>
    <w:rsid w:val="00A82698"/>
    <w:rsid w:val="00AC21B6"/>
    <w:rsid w:val="00AE4226"/>
    <w:rsid w:val="00AF02ED"/>
    <w:rsid w:val="00AF331B"/>
    <w:rsid w:val="00AF62B9"/>
    <w:rsid w:val="00B04D40"/>
    <w:rsid w:val="00B05ABC"/>
    <w:rsid w:val="00B226EF"/>
    <w:rsid w:val="00B250F7"/>
    <w:rsid w:val="00B259BF"/>
    <w:rsid w:val="00B35D2D"/>
    <w:rsid w:val="00B4327D"/>
    <w:rsid w:val="00B4416D"/>
    <w:rsid w:val="00B47CF7"/>
    <w:rsid w:val="00B5320E"/>
    <w:rsid w:val="00B65078"/>
    <w:rsid w:val="00B74BC5"/>
    <w:rsid w:val="00B7561C"/>
    <w:rsid w:val="00B84411"/>
    <w:rsid w:val="00BA5491"/>
    <w:rsid w:val="00BA7BB5"/>
    <w:rsid w:val="00BB00E0"/>
    <w:rsid w:val="00BB6595"/>
    <w:rsid w:val="00BC0EA8"/>
    <w:rsid w:val="00BE6A7C"/>
    <w:rsid w:val="00BE7E5F"/>
    <w:rsid w:val="00BF4B62"/>
    <w:rsid w:val="00C021FD"/>
    <w:rsid w:val="00C056D1"/>
    <w:rsid w:val="00C05EE0"/>
    <w:rsid w:val="00C20819"/>
    <w:rsid w:val="00C22B6E"/>
    <w:rsid w:val="00C249F4"/>
    <w:rsid w:val="00C33916"/>
    <w:rsid w:val="00C351F0"/>
    <w:rsid w:val="00C47837"/>
    <w:rsid w:val="00C5258B"/>
    <w:rsid w:val="00C658DB"/>
    <w:rsid w:val="00C70327"/>
    <w:rsid w:val="00C771E8"/>
    <w:rsid w:val="00C84FD1"/>
    <w:rsid w:val="00C86014"/>
    <w:rsid w:val="00C95A22"/>
    <w:rsid w:val="00CA47A2"/>
    <w:rsid w:val="00CB1DD1"/>
    <w:rsid w:val="00CD36C8"/>
    <w:rsid w:val="00CD4936"/>
    <w:rsid w:val="00CE59A7"/>
    <w:rsid w:val="00D15495"/>
    <w:rsid w:val="00D16246"/>
    <w:rsid w:val="00D201E1"/>
    <w:rsid w:val="00D23151"/>
    <w:rsid w:val="00D2420F"/>
    <w:rsid w:val="00D33067"/>
    <w:rsid w:val="00D337B4"/>
    <w:rsid w:val="00D34D3D"/>
    <w:rsid w:val="00D4392C"/>
    <w:rsid w:val="00D50C87"/>
    <w:rsid w:val="00D51BB0"/>
    <w:rsid w:val="00D573BA"/>
    <w:rsid w:val="00D61839"/>
    <w:rsid w:val="00D66BB3"/>
    <w:rsid w:val="00D70E75"/>
    <w:rsid w:val="00D71A46"/>
    <w:rsid w:val="00D74301"/>
    <w:rsid w:val="00D74D81"/>
    <w:rsid w:val="00D84746"/>
    <w:rsid w:val="00D852D5"/>
    <w:rsid w:val="00DB18FD"/>
    <w:rsid w:val="00DE1158"/>
    <w:rsid w:val="00DE3589"/>
    <w:rsid w:val="00DE3FBC"/>
    <w:rsid w:val="00DF1741"/>
    <w:rsid w:val="00DF6C78"/>
    <w:rsid w:val="00E04CD5"/>
    <w:rsid w:val="00E077AF"/>
    <w:rsid w:val="00E105A0"/>
    <w:rsid w:val="00E2421D"/>
    <w:rsid w:val="00E268D9"/>
    <w:rsid w:val="00E366D2"/>
    <w:rsid w:val="00E52E86"/>
    <w:rsid w:val="00E57297"/>
    <w:rsid w:val="00E604EA"/>
    <w:rsid w:val="00E7570A"/>
    <w:rsid w:val="00E9730D"/>
    <w:rsid w:val="00EA3A2C"/>
    <w:rsid w:val="00EB07FA"/>
    <w:rsid w:val="00EB40F2"/>
    <w:rsid w:val="00EB681A"/>
    <w:rsid w:val="00EB7094"/>
    <w:rsid w:val="00EC06E2"/>
    <w:rsid w:val="00EC3845"/>
    <w:rsid w:val="00ED63B2"/>
    <w:rsid w:val="00EF6DDC"/>
    <w:rsid w:val="00F03A14"/>
    <w:rsid w:val="00F276CE"/>
    <w:rsid w:val="00F35DD4"/>
    <w:rsid w:val="00F4119B"/>
    <w:rsid w:val="00F41DC8"/>
    <w:rsid w:val="00F46A6D"/>
    <w:rsid w:val="00F54ED1"/>
    <w:rsid w:val="00F61A55"/>
    <w:rsid w:val="00F66E7B"/>
    <w:rsid w:val="00F8222F"/>
    <w:rsid w:val="00F82F37"/>
    <w:rsid w:val="00F840A5"/>
    <w:rsid w:val="00F87A72"/>
    <w:rsid w:val="00F97025"/>
    <w:rsid w:val="00FA1CCA"/>
    <w:rsid w:val="00FB177B"/>
    <w:rsid w:val="00FB775E"/>
    <w:rsid w:val="00FD1386"/>
    <w:rsid w:val="00FD3F66"/>
    <w:rsid w:val="00FD63CC"/>
    <w:rsid w:val="00FF39B7"/>
    <w:rsid w:val="00FF5A1C"/>
    <w:rsid w:val="00FF682D"/>
    <w:rsid w:val="00FF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7E3A6"/>
  <w15:docId w15:val="{EFF560BA-EC5E-46BB-A6C7-3320D216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04EA"/>
    <w:pPr>
      <w:tabs>
        <w:tab w:val="center" w:pos="4320"/>
        <w:tab w:val="right" w:pos="8640"/>
      </w:tabs>
    </w:pPr>
  </w:style>
  <w:style w:type="character" w:customStyle="1" w:styleId="HeaderChar">
    <w:name w:val="Header Char"/>
    <w:basedOn w:val="DefaultParagraphFont"/>
    <w:link w:val="Header"/>
    <w:rsid w:val="00E604EA"/>
    <w:rPr>
      <w:rFonts w:ascii="Arial" w:eastAsia="Times New Roman" w:hAnsi="Arial" w:cs="Times New Roman"/>
      <w:sz w:val="20"/>
      <w:szCs w:val="24"/>
      <w:lang w:val="ro-RO"/>
    </w:rPr>
  </w:style>
  <w:style w:type="paragraph" w:customStyle="1" w:styleId="EYBoldsubjectheading">
    <w:name w:val="EY Bold subject heading"/>
    <w:basedOn w:val="Normal"/>
    <w:rsid w:val="00E604EA"/>
    <w:pPr>
      <w:suppressAutoHyphens/>
      <w:spacing w:before="480" w:line="260" w:lineRule="atLeast"/>
    </w:pPr>
    <w:rPr>
      <w:b/>
      <w:kern w:val="12"/>
      <w:sz w:val="26"/>
    </w:rPr>
  </w:style>
  <w:style w:type="paragraph" w:customStyle="1" w:styleId="EYFooterinfo">
    <w:name w:val="EY Footer info"/>
    <w:basedOn w:val="Normal"/>
    <w:rsid w:val="00E604EA"/>
    <w:pPr>
      <w:suppressAutoHyphens/>
    </w:pPr>
    <w:rPr>
      <w:color w:val="808080"/>
      <w:kern w:val="12"/>
      <w:sz w:val="11"/>
    </w:rPr>
  </w:style>
  <w:style w:type="paragraph" w:customStyle="1" w:styleId="EYDocumentpromptsbold">
    <w:name w:val="EY Document prompts (bold)"/>
    <w:basedOn w:val="Normal"/>
    <w:uiPriority w:val="99"/>
    <w:rsid w:val="00E604EA"/>
    <w:pPr>
      <w:suppressAutoHyphens/>
      <w:spacing w:line="260" w:lineRule="atLeast"/>
    </w:pPr>
    <w:rPr>
      <w:rFonts w:ascii="Arial Bold" w:hAnsi="Arial Bold"/>
      <w:b/>
      <w:kern w:val="12"/>
    </w:rPr>
  </w:style>
  <w:style w:type="paragraph" w:customStyle="1" w:styleId="EYContinuationheader">
    <w:name w:val="EY Continuation header"/>
    <w:basedOn w:val="Normal"/>
    <w:rsid w:val="00E604EA"/>
    <w:pPr>
      <w:tabs>
        <w:tab w:val="left" w:pos="2495"/>
      </w:tabs>
      <w:suppressAutoHyphens/>
      <w:spacing w:line="260" w:lineRule="atLeast"/>
    </w:pPr>
    <w:rPr>
      <w:kern w:val="12"/>
    </w:rPr>
  </w:style>
  <w:style w:type="paragraph" w:styleId="Footer">
    <w:name w:val="footer"/>
    <w:basedOn w:val="Normal"/>
    <w:link w:val="FooterChar"/>
    <w:rsid w:val="00E604EA"/>
    <w:pPr>
      <w:tabs>
        <w:tab w:val="center" w:pos="4320"/>
        <w:tab w:val="right" w:pos="8640"/>
      </w:tabs>
    </w:pPr>
  </w:style>
  <w:style w:type="character" w:customStyle="1" w:styleId="FooterChar">
    <w:name w:val="Footer Char"/>
    <w:basedOn w:val="DefaultParagraphFont"/>
    <w:link w:val="Footer"/>
    <w:rsid w:val="00E604EA"/>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E604EA"/>
    <w:rPr>
      <w:rFonts w:ascii="Arial" w:hAnsi="Arial"/>
      <w:kern w:val="12"/>
      <w:szCs w:val="24"/>
    </w:rPr>
  </w:style>
  <w:style w:type="paragraph" w:customStyle="1" w:styleId="EYBodytextsubhead2">
    <w:name w:val="EY Body text subhead 2"/>
    <w:basedOn w:val="Normal"/>
    <w:rsid w:val="00E604EA"/>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E604EA"/>
    <w:pPr>
      <w:tabs>
        <w:tab w:val="left" w:pos="907"/>
      </w:tabs>
      <w:suppressAutoHyphens/>
      <w:spacing w:after="400" w:line="360" w:lineRule="auto"/>
    </w:pPr>
    <w:rPr>
      <w:rFonts w:eastAsiaTheme="minorHAnsi" w:cstheme="minorBidi"/>
      <w:kern w:val="12"/>
      <w:sz w:val="22"/>
    </w:rPr>
  </w:style>
  <w:style w:type="paragraph" w:customStyle="1" w:styleId="EYHeading2">
    <w:name w:val="EY Heading 2"/>
    <w:basedOn w:val="Normal"/>
    <w:next w:val="EYBodytextwithparaspace"/>
    <w:link w:val="EYHeading2Char"/>
    <w:uiPriority w:val="99"/>
    <w:rsid w:val="00E604EA"/>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E604EA"/>
    <w:rPr>
      <w:rFonts w:ascii="Arial" w:eastAsia="Times New Roman" w:hAnsi="Arial" w:cs="Times New Roman"/>
      <w:b/>
      <w:kern w:val="12"/>
      <w:szCs w:val="24"/>
    </w:rPr>
  </w:style>
  <w:style w:type="character" w:customStyle="1" w:styleId="EYNormalChar">
    <w:name w:val="EY Normal Char"/>
    <w:basedOn w:val="DefaultParagraphFont"/>
    <w:link w:val="EYNormal"/>
    <w:locked/>
    <w:rsid w:val="00E604EA"/>
    <w:rPr>
      <w:rFonts w:cs="Times New Roman"/>
      <w:kern w:val="12"/>
      <w:szCs w:val="24"/>
    </w:rPr>
  </w:style>
  <w:style w:type="paragraph" w:customStyle="1" w:styleId="EYNormal">
    <w:name w:val="EY Normal"/>
    <w:link w:val="EYNormalChar"/>
    <w:rsid w:val="00E604EA"/>
    <w:pPr>
      <w:suppressAutoHyphens/>
      <w:spacing w:after="0" w:line="240" w:lineRule="auto"/>
    </w:pPr>
    <w:rPr>
      <w:rFonts w:cs="Times New Roman"/>
      <w:kern w:val="12"/>
      <w:szCs w:val="24"/>
    </w:rPr>
  </w:style>
  <w:style w:type="character" w:styleId="Hyperlink">
    <w:name w:val="Hyperlink"/>
    <w:basedOn w:val="DefaultParagraphFont"/>
    <w:uiPriority w:val="99"/>
    <w:unhideWhenUsed/>
    <w:rsid w:val="00E604EA"/>
    <w:rPr>
      <w:color w:val="0563C1" w:themeColor="hyperlink"/>
      <w:u w:val="single"/>
    </w:rPr>
  </w:style>
  <w:style w:type="character" w:styleId="CommentReference">
    <w:name w:val="annotation reference"/>
    <w:basedOn w:val="DefaultParagraphFont"/>
    <w:uiPriority w:val="99"/>
    <w:semiHidden/>
    <w:unhideWhenUsed/>
    <w:rsid w:val="008D01A6"/>
    <w:rPr>
      <w:sz w:val="16"/>
      <w:szCs w:val="16"/>
    </w:rPr>
  </w:style>
  <w:style w:type="paragraph" w:styleId="CommentText">
    <w:name w:val="annotation text"/>
    <w:basedOn w:val="Normal"/>
    <w:link w:val="CommentTextChar"/>
    <w:uiPriority w:val="99"/>
    <w:semiHidden/>
    <w:unhideWhenUsed/>
    <w:rsid w:val="008D01A6"/>
    <w:rPr>
      <w:szCs w:val="20"/>
    </w:rPr>
  </w:style>
  <w:style w:type="character" w:customStyle="1" w:styleId="CommentTextChar">
    <w:name w:val="Comment Text Char"/>
    <w:basedOn w:val="DefaultParagraphFont"/>
    <w:link w:val="CommentText"/>
    <w:uiPriority w:val="99"/>
    <w:semiHidden/>
    <w:rsid w:val="008D01A6"/>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8D01A6"/>
    <w:rPr>
      <w:b/>
      <w:bCs/>
    </w:rPr>
  </w:style>
  <w:style w:type="character" w:customStyle="1" w:styleId="CommentSubjectChar">
    <w:name w:val="Comment Subject Char"/>
    <w:basedOn w:val="CommentTextChar"/>
    <w:link w:val="CommentSubject"/>
    <w:uiPriority w:val="99"/>
    <w:semiHidden/>
    <w:rsid w:val="008D01A6"/>
    <w:rPr>
      <w:rFonts w:ascii="Arial" w:eastAsia="Times New Roman" w:hAnsi="Arial" w:cs="Times New Roman"/>
      <w:b/>
      <w:bCs/>
      <w:sz w:val="20"/>
      <w:szCs w:val="20"/>
      <w:lang w:val="ro-RO"/>
    </w:rPr>
  </w:style>
  <w:style w:type="paragraph" w:styleId="BalloonText">
    <w:name w:val="Balloon Text"/>
    <w:basedOn w:val="Normal"/>
    <w:link w:val="BalloonTextChar"/>
    <w:uiPriority w:val="99"/>
    <w:semiHidden/>
    <w:unhideWhenUsed/>
    <w:rsid w:val="008D0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1A6"/>
    <w:rPr>
      <w:rFonts w:ascii="Segoe UI" w:eastAsia="Times New Roman" w:hAnsi="Segoe UI" w:cs="Segoe UI"/>
      <w:sz w:val="18"/>
      <w:szCs w:val="18"/>
      <w:lang w:val="ro-RO"/>
    </w:rPr>
  </w:style>
  <w:style w:type="character" w:styleId="FollowedHyperlink">
    <w:name w:val="FollowedHyperlink"/>
    <w:basedOn w:val="DefaultParagraphFont"/>
    <w:uiPriority w:val="99"/>
    <w:semiHidden/>
    <w:unhideWhenUsed/>
    <w:rsid w:val="0057371A"/>
    <w:rPr>
      <w:color w:val="954F72" w:themeColor="followedHyperlink"/>
      <w:u w:val="single"/>
    </w:rPr>
  </w:style>
  <w:style w:type="character" w:customStyle="1" w:styleId="MeniuneNerezolvat1">
    <w:name w:val="Mențiune Nerezolvat1"/>
    <w:basedOn w:val="DefaultParagraphFont"/>
    <w:uiPriority w:val="99"/>
    <w:semiHidden/>
    <w:unhideWhenUsed/>
    <w:rsid w:val="007D69DD"/>
    <w:rPr>
      <w:color w:val="605E5C"/>
      <w:shd w:val="clear" w:color="auto" w:fill="E1DFDD"/>
    </w:rPr>
  </w:style>
  <w:style w:type="paragraph" w:customStyle="1" w:styleId="EYDocumenttitle">
    <w:name w:val="EY Document title"/>
    <w:basedOn w:val="Normal"/>
    <w:next w:val="Normal"/>
    <w:uiPriority w:val="99"/>
    <w:rsid w:val="000A30C3"/>
    <w:pPr>
      <w:suppressAutoHyphens/>
    </w:pPr>
    <w:rPr>
      <w:spacing w:val="-4"/>
      <w:kern w:val="12"/>
      <w:sz w:val="36"/>
    </w:rPr>
  </w:style>
  <w:style w:type="paragraph" w:customStyle="1" w:styleId="EYDocumentprompts">
    <w:name w:val="EY Document prompts"/>
    <w:basedOn w:val="EYNormal"/>
    <w:uiPriority w:val="99"/>
    <w:rsid w:val="000A30C3"/>
    <w:pPr>
      <w:spacing w:before="60" w:after="60" w:line="240" w:lineRule="atLeast"/>
    </w:pPr>
    <w:rPr>
      <w:rFonts w:ascii="Arial" w:eastAsia="Times New Roman" w:hAnsi="Arial"/>
      <w:sz w:val="20"/>
      <w:lang w:val="en-GB"/>
    </w:rPr>
  </w:style>
  <w:style w:type="character" w:customStyle="1" w:styleId="MeniuneNerezolvat2">
    <w:name w:val="Mențiune Nerezolvat2"/>
    <w:basedOn w:val="DefaultParagraphFont"/>
    <w:uiPriority w:val="99"/>
    <w:semiHidden/>
    <w:unhideWhenUsed/>
    <w:rsid w:val="000A30C3"/>
    <w:rPr>
      <w:color w:val="605E5C"/>
      <w:shd w:val="clear" w:color="auto" w:fill="E1DFDD"/>
    </w:rPr>
  </w:style>
  <w:style w:type="paragraph" w:styleId="NormalWeb">
    <w:name w:val="Normal (Web)"/>
    <w:basedOn w:val="Normal"/>
    <w:uiPriority w:val="99"/>
    <w:semiHidden/>
    <w:unhideWhenUsed/>
    <w:rsid w:val="00072965"/>
    <w:pPr>
      <w:spacing w:before="100" w:beforeAutospacing="1" w:after="100" w:afterAutospacing="1"/>
    </w:pPr>
    <w:rPr>
      <w:rFonts w:ascii="Times New Roman" w:eastAsiaTheme="minorHAnsi" w:hAnsi="Times New Roman"/>
      <w:sz w:val="24"/>
      <w:lang w:eastAsia="ro-RO"/>
    </w:rPr>
  </w:style>
  <w:style w:type="character" w:styleId="UnresolvedMention">
    <w:name w:val="Unresolved Mention"/>
    <w:basedOn w:val="DefaultParagraphFont"/>
    <w:uiPriority w:val="99"/>
    <w:semiHidden/>
    <w:unhideWhenUsed/>
    <w:rsid w:val="00593641"/>
    <w:rPr>
      <w:color w:val="605E5C"/>
      <w:shd w:val="clear" w:color="auto" w:fill="E1DFDD"/>
    </w:rPr>
  </w:style>
  <w:style w:type="paragraph" w:styleId="Revision">
    <w:name w:val="Revision"/>
    <w:hidden/>
    <w:uiPriority w:val="99"/>
    <w:semiHidden/>
    <w:rsid w:val="00D33067"/>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2150">
      <w:bodyDiv w:val="1"/>
      <w:marLeft w:val="0"/>
      <w:marRight w:val="0"/>
      <w:marTop w:val="0"/>
      <w:marBottom w:val="0"/>
      <w:divBdr>
        <w:top w:val="none" w:sz="0" w:space="0" w:color="auto"/>
        <w:left w:val="none" w:sz="0" w:space="0" w:color="auto"/>
        <w:bottom w:val="none" w:sz="0" w:space="0" w:color="auto"/>
        <w:right w:val="none" w:sz="0" w:space="0" w:color="auto"/>
      </w:divBdr>
    </w:div>
    <w:div w:id="752237817">
      <w:bodyDiv w:val="1"/>
      <w:marLeft w:val="0"/>
      <w:marRight w:val="0"/>
      <w:marTop w:val="0"/>
      <w:marBottom w:val="0"/>
      <w:divBdr>
        <w:top w:val="none" w:sz="0" w:space="0" w:color="auto"/>
        <w:left w:val="none" w:sz="0" w:space="0" w:color="auto"/>
        <w:bottom w:val="none" w:sz="0" w:space="0" w:color="auto"/>
        <w:right w:val="none" w:sz="0" w:space="0" w:color="auto"/>
      </w:divBdr>
    </w:div>
    <w:div w:id="174590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nda.hutanu@ro.ey.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29CB8E-5848-47E5-A67B-9121F4E0857D}">
  <ds:schemaRefs>
    <ds:schemaRef ds:uri="http://schemas.microsoft.com/sharepoint/v3/contenttype/forms"/>
  </ds:schemaRefs>
</ds:datastoreItem>
</file>

<file path=customXml/itemProps2.xml><?xml version="1.0" encoding="utf-8"?>
<ds:datastoreItem xmlns:ds="http://schemas.openxmlformats.org/officeDocument/2006/customXml" ds:itemID="{0711B5B5-D6F4-4B83-BD6C-D40C4C73B4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6D205-9DA8-4FB9-B780-78CF73E5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1082</Words>
  <Characters>6168</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11 6  FAAS 2018 release 051018.docx</vt:lpstr>
      <vt:lpstr>11 6  FAAS 2018 release 051018.docx</vt:lpstr>
    </vt:vector>
  </TitlesOfParts>
  <Company>EY</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6  FAAS 2018 release 051018.docx</dc:title>
  <dc:subject/>
  <dc:creator>Konstantinos Makrygiannis</dc:creator>
  <cp:keywords/>
  <dc:description/>
  <cp:lastModifiedBy>Felicia Moga</cp:lastModifiedBy>
  <cp:revision>4</cp:revision>
  <dcterms:created xsi:type="dcterms:W3CDTF">2022-04-07T07:32:00Z</dcterms:created>
  <dcterms:modified xsi:type="dcterms:W3CDTF">2022-04-07T07:43:00Z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SubSector">
    <vt:lpwstr/>
  </property>
  <property fmtid="{D5CDD505-2E9C-101B-9397-08002B2CF9AE}" pid="8" name="EYGSAdditionalSubServiceLine1">
    <vt:lpwstr>34;#Brand, Marketing and Communications|6b39c8d3-6895-4456-aa8f-09ed4243bc47</vt:lpwstr>
  </property>
  <property fmtid="{D5CDD505-2E9C-101B-9397-08002B2CF9AE}" pid="9" name="EYGSAdditionalSector">
    <vt:lpwstr/>
  </property>
  <property fmtid="{D5CDD505-2E9C-101B-9397-08002B2CF9AE}" pid="10" name="EYGSSubSServiceLine">
    <vt:lpwstr>35;#Brand and External Communications|b0b352fe-33c7-4bca-8731-a9b0648a65de</vt:lpwstr>
  </property>
  <property fmtid="{D5CDD505-2E9C-101B-9397-08002B2CF9AE}" pid="11" name="EYGSAdditionalSubServiceLine">
    <vt:lpwstr>34;#Brand, Marketing and Communications|6b39c8d3-6895-4456-aa8f-09ed4243bc47</vt:lpwstr>
  </property>
  <property fmtid="{D5CDD505-2E9C-101B-9397-08002B2CF9AE}" pid="12" name="EYGSAreas">
    <vt:lpwstr>22;#EMEIA|f996ef64-9eed-4e53-bc49-92020faa37ae</vt:lpwstr>
  </property>
  <property fmtid="{D5CDD505-2E9C-101B-9397-08002B2CF9AE}" pid="13" name="EYGSAdditionalSubSServiceLine">
    <vt:lpwstr>35;#Brand and External Communications|b0b352fe-33c7-4bca-8731-a9b0648a65de</vt:lpwstr>
  </property>
  <property fmtid="{D5CDD505-2E9C-101B-9397-08002B2CF9AE}" pid="14" name="EYGSAdditionalServiceLine">
    <vt:lpwstr>5;#Core Business Services (CBS)|2cf6a111-d37c-43c1-940d-c7e1830826b5</vt:lpwstr>
  </property>
  <property fmtid="{D5CDD505-2E9C-101B-9397-08002B2CF9AE}" pid="15" name="EYGSServiceLine">
    <vt:lpwstr>5;#Core Business Services (CBS)|2cf6a111-d37c-43c1-940d-c7e1830826b5</vt:lpwstr>
  </property>
  <property fmtid="{D5CDD505-2E9C-101B-9397-08002B2CF9AE}" pid="16" name="EYGSScoreSector">
    <vt:lpwstr/>
  </property>
  <property fmtid="{D5CDD505-2E9C-101B-9397-08002B2CF9AE}" pid="17" name="EYGSRegion">
    <vt:lpwstr>23;#UK and Ireland|6b52dc23-e127-4bdd-a180-89180e1e93dd</vt:lpwstr>
  </property>
  <property fmtid="{D5CDD505-2E9C-101B-9397-08002B2CF9AE}" pid="18" name="EYGSAdditionalSector1">
    <vt:lpwstr/>
  </property>
  <property fmtid="{D5CDD505-2E9C-101B-9397-08002B2CF9AE}" pid="19" name="_docset_NoMedatataSyncRequired">
    <vt:lpwstr>False</vt:lpwstr>
  </property>
  <property fmtid="{D5CDD505-2E9C-101B-9397-08002B2CF9AE}" pid="20" name="_dlc_DocIdItemGuid">
    <vt:lpwstr>10f2309a-a07c-403b-b307-c98073d9a0c0</vt:lpwstr>
  </property>
</Properties>
</file>