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836"/>
        <w:tblW w:w="9271" w:type="dxa"/>
        <w:tblLook w:val="01E0" w:firstRow="1" w:lastRow="1" w:firstColumn="1" w:lastColumn="1" w:noHBand="0" w:noVBand="0"/>
      </w:tblPr>
      <w:tblGrid>
        <w:gridCol w:w="1701"/>
        <w:gridCol w:w="7570"/>
      </w:tblGrid>
      <w:tr w:rsidR="000A30C3" w:rsidRPr="00BF3CC1" w14:paraId="4B6F66F6" w14:textId="77777777" w:rsidTr="00650B62">
        <w:trPr>
          <w:trHeight w:val="902"/>
        </w:trPr>
        <w:tc>
          <w:tcPr>
            <w:tcW w:w="9271" w:type="dxa"/>
            <w:gridSpan w:val="2"/>
            <w:tcMar>
              <w:top w:w="0" w:type="dxa"/>
              <w:left w:w="0" w:type="dxa"/>
              <w:bottom w:w="0" w:type="dxa"/>
              <w:right w:w="0" w:type="dxa"/>
            </w:tcMar>
            <w:hideMark/>
          </w:tcPr>
          <w:p w14:paraId="1E9EC16E" w14:textId="00860C43" w:rsidR="000A30C3" w:rsidRPr="00BF3CC1" w:rsidRDefault="00D14D17" w:rsidP="00650B62">
            <w:pPr>
              <w:pStyle w:val="EYDocumenttitle"/>
              <w:rPr>
                <w:rFonts w:cs="Arial"/>
              </w:rPr>
            </w:pPr>
            <w:r>
              <w:rPr>
                <w:rFonts w:cs="Arial"/>
              </w:rPr>
              <w:t>Punct de vedere</w:t>
            </w:r>
          </w:p>
        </w:tc>
      </w:tr>
      <w:tr w:rsidR="000A30C3" w:rsidRPr="00BF3CC1" w14:paraId="7094AE1A" w14:textId="77777777" w:rsidTr="00650B62">
        <w:trPr>
          <w:trHeight w:val="373"/>
        </w:trPr>
        <w:tc>
          <w:tcPr>
            <w:tcW w:w="9271" w:type="dxa"/>
            <w:gridSpan w:val="2"/>
            <w:shd w:val="clear" w:color="auto" w:fill="auto"/>
            <w:tcMar>
              <w:top w:w="0" w:type="dxa"/>
              <w:left w:w="0" w:type="dxa"/>
              <w:bottom w:w="0" w:type="dxa"/>
              <w:right w:w="0" w:type="dxa"/>
            </w:tcMar>
            <w:hideMark/>
          </w:tcPr>
          <w:p w14:paraId="0BCDC895" w14:textId="22D362C2" w:rsidR="000A30C3" w:rsidRPr="00BF3CC1" w:rsidRDefault="00A77C4A" w:rsidP="00650B62">
            <w:pPr>
              <w:pStyle w:val="EYDocumentpromptsbold"/>
              <w:rPr>
                <w:rFonts w:ascii="Arial" w:hAnsi="Arial" w:cs="Arial"/>
                <w:highlight w:val="yellow"/>
              </w:rPr>
            </w:pPr>
            <w:r>
              <w:rPr>
                <w:rFonts w:ascii="Arial" w:hAnsi="Arial" w:cs="Arial"/>
              </w:rPr>
              <w:t>15</w:t>
            </w:r>
            <w:r w:rsidR="00724414">
              <w:rPr>
                <w:rFonts w:ascii="Arial" w:hAnsi="Arial" w:cs="Arial"/>
              </w:rPr>
              <w:t xml:space="preserve"> </w:t>
            </w:r>
            <w:r w:rsidR="00F067E1">
              <w:rPr>
                <w:rFonts w:ascii="Arial" w:hAnsi="Arial" w:cs="Arial"/>
              </w:rPr>
              <w:t>april</w:t>
            </w:r>
            <w:r w:rsidR="000A30C3">
              <w:rPr>
                <w:rFonts w:ascii="Arial" w:hAnsi="Arial" w:cs="Arial"/>
              </w:rPr>
              <w:t>ie 202</w:t>
            </w:r>
            <w:r w:rsidR="000D61B9">
              <w:rPr>
                <w:rFonts w:ascii="Arial" w:hAnsi="Arial" w:cs="Arial"/>
              </w:rPr>
              <w:t>2</w:t>
            </w:r>
          </w:p>
        </w:tc>
      </w:tr>
      <w:tr w:rsidR="000A30C3" w:rsidRPr="00BF3CC1" w14:paraId="71163D50" w14:textId="77777777" w:rsidTr="00650B62">
        <w:trPr>
          <w:trHeight w:val="20"/>
        </w:trPr>
        <w:tc>
          <w:tcPr>
            <w:tcW w:w="1701" w:type="dxa"/>
            <w:tcMar>
              <w:top w:w="0" w:type="dxa"/>
              <w:left w:w="0" w:type="dxa"/>
              <w:bottom w:w="0" w:type="dxa"/>
              <w:right w:w="0" w:type="dxa"/>
            </w:tcMar>
            <w:hideMark/>
          </w:tcPr>
          <w:p w14:paraId="12E82192" w14:textId="77777777" w:rsidR="000A30C3" w:rsidRPr="00BF3CC1" w:rsidRDefault="000A30C3" w:rsidP="00650B62">
            <w:pPr>
              <w:pStyle w:val="EYDocumentprompts"/>
              <w:rPr>
                <w:rFonts w:cs="Arial"/>
                <w:lang w:val="ro-RO"/>
              </w:rPr>
            </w:pPr>
            <w:r w:rsidRPr="00BF3CC1">
              <w:rPr>
                <w:rFonts w:cs="Arial"/>
                <w:lang w:val="ro-RO"/>
              </w:rPr>
              <w:t>Contact:</w:t>
            </w:r>
          </w:p>
        </w:tc>
        <w:tc>
          <w:tcPr>
            <w:tcW w:w="7570" w:type="dxa"/>
            <w:tcMar>
              <w:top w:w="0" w:type="dxa"/>
              <w:left w:w="0" w:type="dxa"/>
              <w:bottom w:w="0" w:type="dxa"/>
              <w:right w:w="0" w:type="dxa"/>
            </w:tcMar>
            <w:hideMark/>
          </w:tcPr>
          <w:p w14:paraId="6E5C96E8" w14:textId="77777777" w:rsidR="000A30C3" w:rsidRPr="00BF3CC1" w:rsidRDefault="000A30C3" w:rsidP="00650B62">
            <w:pPr>
              <w:pStyle w:val="EYDocumentprompts"/>
              <w:rPr>
                <w:rFonts w:cs="Arial"/>
                <w:lang w:val="ro-RO"/>
              </w:rPr>
            </w:pPr>
            <w:r>
              <w:rPr>
                <w:rFonts w:cs="Arial"/>
                <w:lang w:val="ro-RO"/>
              </w:rPr>
              <w:t>Anda Huțanu</w:t>
            </w:r>
          </w:p>
        </w:tc>
      </w:tr>
      <w:tr w:rsidR="000A30C3" w:rsidRPr="00BF3CC1" w14:paraId="04BF7DC3" w14:textId="77777777" w:rsidTr="00650B62">
        <w:trPr>
          <w:trHeight w:val="20"/>
        </w:trPr>
        <w:tc>
          <w:tcPr>
            <w:tcW w:w="1701" w:type="dxa"/>
            <w:tcMar>
              <w:top w:w="0" w:type="dxa"/>
              <w:left w:w="0" w:type="dxa"/>
              <w:bottom w:w="0" w:type="dxa"/>
              <w:right w:w="0" w:type="dxa"/>
            </w:tcMar>
            <w:hideMark/>
          </w:tcPr>
          <w:p w14:paraId="7D3B09CA" w14:textId="77777777" w:rsidR="000A30C3" w:rsidRPr="00BF3CC1" w:rsidRDefault="000A30C3" w:rsidP="00650B62">
            <w:pPr>
              <w:pStyle w:val="EYDocumentprompts"/>
              <w:rPr>
                <w:rFonts w:cs="Arial"/>
                <w:lang w:val="ro-RO"/>
              </w:rPr>
            </w:pPr>
            <w:r w:rsidRPr="00BF3CC1">
              <w:rPr>
                <w:rFonts w:cs="Arial"/>
                <w:lang w:val="ro-RO"/>
              </w:rPr>
              <w:t>Companie:</w:t>
            </w:r>
          </w:p>
        </w:tc>
        <w:tc>
          <w:tcPr>
            <w:tcW w:w="7570" w:type="dxa"/>
            <w:tcMar>
              <w:top w:w="0" w:type="dxa"/>
              <w:left w:w="0" w:type="dxa"/>
              <w:bottom w:w="0" w:type="dxa"/>
              <w:right w:w="0" w:type="dxa"/>
            </w:tcMar>
            <w:hideMark/>
          </w:tcPr>
          <w:p w14:paraId="5CF38198" w14:textId="77777777" w:rsidR="000A30C3" w:rsidRPr="00BF3CC1" w:rsidRDefault="000A30C3" w:rsidP="00650B62">
            <w:pPr>
              <w:pStyle w:val="EYDocumentprompts"/>
              <w:rPr>
                <w:rFonts w:cs="Arial"/>
                <w:lang w:val="ro-RO"/>
              </w:rPr>
            </w:pPr>
            <w:r>
              <w:rPr>
                <w:rFonts w:cs="Arial"/>
                <w:lang w:val="ro-RO"/>
              </w:rPr>
              <w:t>EY Româ</w:t>
            </w:r>
            <w:r w:rsidRPr="00BF3CC1">
              <w:rPr>
                <w:rFonts w:cs="Arial"/>
                <w:lang w:val="ro-RO"/>
              </w:rPr>
              <w:t>nia</w:t>
            </w:r>
          </w:p>
        </w:tc>
      </w:tr>
      <w:tr w:rsidR="000A30C3" w:rsidRPr="00BF3CC1" w14:paraId="15922916" w14:textId="77777777" w:rsidTr="00650B62">
        <w:trPr>
          <w:trHeight w:val="20"/>
        </w:trPr>
        <w:tc>
          <w:tcPr>
            <w:tcW w:w="1701" w:type="dxa"/>
            <w:tcMar>
              <w:top w:w="0" w:type="dxa"/>
              <w:left w:w="0" w:type="dxa"/>
              <w:bottom w:w="0" w:type="dxa"/>
              <w:right w:w="0" w:type="dxa"/>
            </w:tcMar>
            <w:hideMark/>
          </w:tcPr>
          <w:p w14:paraId="414857A3" w14:textId="77777777" w:rsidR="000A30C3" w:rsidRPr="00BF3CC1" w:rsidRDefault="000A30C3" w:rsidP="00650B62">
            <w:pPr>
              <w:pStyle w:val="EYDocumentprompts"/>
              <w:rPr>
                <w:rFonts w:cs="Arial"/>
                <w:lang w:val="ro-RO"/>
              </w:rPr>
            </w:pPr>
            <w:r w:rsidRPr="00BF3CC1">
              <w:rPr>
                <w:rFonts w:cs="Arial"/>
                <w:lang w:val="ro-RO"/>
              </w:rPr>
              <w:t>Tel:</w:t>
            </w:r>
          </w:p>
        </w:tc>
        <w:tc>
          <w:tcPr>
            <w:tcW w:w="7570" w:type="dxa"/>
            <w:tcMar>
              <w:top w:w="0" w:type="dxa"/>
              <w:left w:w="0" w:type="dxa"/>
              <w:bottom w:w="0" w:type="dxa"/>
              <w:right w:w="0" w:type="dxa"/>
            </w:tcMar>
            <w:hideMark/>
          </w:tcPr>
          <w:p w14:paraId="0F56F218" w14:textId="77777777" w:rsidR="000A30C3" w:rsidRPr="00BF3CC1" w:rsidRDefault="000A30C3" w:rsidP="00650B62">
            <w:pPr>
              <w:pStyle w:val="EYDocumentprompts"/>
              <w:rPr>
                <w:rFonts w:cs="Arial"/>
                <w:lang w:val="ro-RO"/>
              </w:rPr>
            </w:pPr>
            <w:r w:rsidRPr="00BF3CC1">
              <w:rPr>
                <w:rFonts w:cs="Arial"/>
                <w:lang w:val="ro-RO"/>
              </w:rPr>
              <w:t>+40 21 402 4000</w:t>
            </w:r>
          </w:p>
        </w:tc>
      </w:tr>
      <w:tr w:rsidR="000A30C3" w:rsidRPr="00BF3CC1" w14:paraId="3E6A8718" w14:textId="77777777" w:rsidTr="00650B62">
        <w:trPr>
          <w:trHeight w:val="80"/>
        </w:trPr>
        <w:tc>
          <w:tcPr>
            <w:tcW w:w="1701" w:type="dxa"/>
            <w:tcMar>
              <w:top w:w="0" w:type="dxa"/>
              <w:left w:w="0" w:type="dxa"/>
              <w:bottom w:w="0" w:type="dxa"/>
              <w:right w:w="0" w:type="dxa"/>
            </w:tcMar>
            <w:hideMark/>
          </w:tcPr>
          <w:p w14:paraId="233EE478" w14:textId="77777777" w:rsidR="000A30C3" w:rsidRPr="00BF3CC1" w:rsidRDefault="000A30C3" w:rsidP="00650B62">
            <w:pPr>
              <w:pStyle w:val="EYDocumentprompts"/>
              <w:rPr>
                <w:rFonts w:cs="Arial"/>
                <w:lang w:val="ro-RO"/>
              </w:rPr>
            </w:pPr>
            <w:r w:rsidRPr="00BF3CC1">
              <w:rPr>
                <w:rFonts w:cs="Arial"/>
                <w:lang w:val="ro-RO"/>
              </w:rPr>
              <w:t>E-mail:</w:t>
            </w:r>
          </w:p>
        </w:tc>
        <w:tc>
          <w:tcPr>
            <w:tcW w:w="7570" w:type="dxa"/>
            <w:tcMar>
              <w:top w:w="0" w:type="dxa"/>
              <w:left w:w="0" w:type="dxa"/>
              <w:bottom w:w="0" w:type="dxa"/>
              <w:right w:w="0" w:type="dxa"/>
            </w:tcMar>
            <w:hideMark/>
          </w:tcPr>
          <w:p w14:paraId="3ECFA144" w14:textId="77777777" w:rsidR="000A30C3" w:rsidRPr="00BF3CC1" w:rsidRDefault="006A7950" w:rsidP="00650B62">
            <w:pPr>
              <w:pStyle w:val="EYDocumentprompts"/>
              <w:rPr>
                <w:rFonts w:cs="Arial"/>
                <w:color w:val="0000FF"/>
                <w:u w:val="single"/>
                <w:lang w:val="ro-RO"/>
              </w:rPr>
            </w:pPr>
            <w:hyperlink r:id="rId10" w:history="1">
              <w:r w:rsidR="000A30C3" w:rsidRPr="00D539DF">
                <w:rPr>
                  <w:rStyle w:val="Hyperlink"/>
                  <w:rFonts w:cs="Arial"/>
                  <w:lang w:val="ro-RO"/>
                </w:rPr>
                <w:t>anda.hutanu@ro.ey.com</w:t>
              </w:r>
            </w:hyperlink>
          </w:p>
        </w:tc>
      </w:tr>
    </w:tbl>
    <w:p w14:paraId="17CD71F2" w14:textId="0DE12A2B" w:rsidR="00A37BE0" w:rsidRPr="009F6FB0" w:rsidRDefault="00A37BE0" w:rsidP="000A30C3">
      <w:pPr>
        <w:pStyle w:val="EYBodytextwithparaspace"/>
        <w:spacing w:after="0" w:line="240" w:lineRule="auto"/>
        <w:contextualSpacing/>
        <w:rPr>
          <w:rFonts w:cs="Arial"/>
          <w:b/>
          <w:bCs/>
          <w:sz w:val="28"/>
          <w:szCs w:val="28"/>
        </w:rPr>
      </w:pPr>
    </w:p>
    <w:p w14:paraId="11F30DF1" w14:textId="6B494CD4" w:rsidR="00B51B49" w:rsidRDefault="00E2086A" w:rsidP="0084510C">
      <w:pPr>
        <w:rPr>
          <w:rFonts w:cstheme="minorHAnsi"/>
          <w:b/>
          <w:bCs/>
          <w:sz w:val="28"/>
          <w:szCs w:val="28"/>
        </w:rPr>
      </w:pPr>
      <w:r w:rsidRPr="00E2086A">
        <w:rPr>
          <w:rFonts w:cstheme="minorHAnsi"/>
          <w:b/>
          <w:bCs/>
          <w:sz w:val="28"/>
          <w:szCs w:val="28"/>
        </w:rPr>
        <w:t>ICCJ: principiul proporționalității prevalează chiar și în fața unei Directive europene. Avocații Băncilă Diaconu și Asociații obțin anularea unui act de impunere în materia accizelor</w:t>
      </w:r>
    </w:p>
    <w:p w14:paraId="7615638A" w14:textId="77777777" w:rsidR="00E2086A" w:rsidRDefault="00E2086A" w:rsidP="000402A8">
      <w:pPr>
        <w:jc w:val="both"/>
        <w:rPr>
          <w:rFonts w:cstheme="minorHAnsi"/>
          <w:i/>
          <w:iCs/>
          <w:sz w:val="22"/>
          <w:szCs w:val="22"/>
        </w:rPr>
      </w:pPr>
    </w:p>
    <w:p w14:paraId="2984E853" w14:textId="48E86287" w:rsidR="000402A8" w:rsidRDefault="000402A8" w:rsidP="000402A8">
      <w:pPr>
        <w:jc w:val="both"/>
        <w:rPr>
          <w:rFonts w:cstheme="minorHAnsi"/>
          <w:i/>
          <w:iCs/>
          <w:sz w:val="22"/>
          <w:szCs w:val="22"/>
        </w:rPr>
      </w:pPr>
      <w:r w:rsidRPr="000402A8">
        <w:rPr>
          <w:rFonts w:cstheme="minorHAnsi"/>
          <w:i/>
          <w:iCs/>
          <w:sz w:val="22"/>
          <w:szCs w:val="22"/>
        </w:rPr>
        <w:t xml:space="preserve">Autor: </w:t>
      </w:r>
      <w:r w:rsidR="00622127">
        <w:rPr>
          <w:rFonts w:cstheme="minorHAnsi"/>
          <w:i/>
          <w:iCs/>
          <w:sz w:val="22"/>
          <w:szCs w:val="22"/>
        </w:rPr>
        <w:t xml:space="preserve">Emanuel Băncilă, Partener, Coordonatorul practicii de </w:t>
      </w:r>
      <w:r w:rsidR="002D03C9">
        <w:rPr>
          <w:rFonts w:cstheme="minorHAnsi"/>
          <w:i/>
          <w:iCs/>
          <w:sz w:val="22"/>
          <w:szCs w:val="22"/>
        </w:rPr>
        <w:t>I</w:t>
      </w:r>
      <w:r w:rsidR="00622127">
        <w:rPr>
          <w:rFonts w:cstheme="minorHAnsi"/>
          <w:i/>
          <w:iCs/>
          <w:sz w:val="22"/>
          <w:szCs w:val="22"/>
        </w:rPr>
        <w:t xml:space="preserve">nspecţii </w:t>
      </w:r>
      <w:r w:rsidR="001D18FB">
        <w:rPr>
          <w:rFonts w:cstheme="minorHAnsi"/>
          <w:i/>
          <w:iCs/>
          <w:sz w:val="22"/>
          <w:szCs w:val="22"/>
        </w:rPr>
        <w:t xml:space="preserve">şi Controverse </w:t>
      </w:r>
      <w:r w:rsidR="00622127">
        <w:rPr>
          <w:rFonts w:cstheme="minorHAnsi"/>
          <w:i/>
          <w:iCs/>
          <w:sz w:val="22"/>
          <w:szCs w:val="22"/>
        </w:rPr>
        <w:t>fiscale</w:t>
      </w:r>
      <w:r w:rsidRPr="000402A8">
        <w:rPr>
          <w:rFonts w:cstheme="minorHAnsi"/>
          <w:i/>
          <w:iCs/>
          <w:sz w:val="22"/>
          <w:szCs w:val="22"/>
        </w:rPr>
        <w:t>, Băncilă Diaconu și Asociații</w:t>
      </w:r>
    </w:p>
    <w:p w14:paraId="619C9F3A" w14:textId="77777777" w:rsidR="00B35DE2" w:rsidRPr="000402A8" w:rsidRDefault="00B35DE2" w:rsidP="001A3245">
      <w:pPr>
        <w:rPr>
          <w:rFonts w:cstheme="minorHAnsi"/>
          <w:i/>
          <w:iCs/>
          <w:sz w:val="22"/>
          <w:szCs w:val="22"/>
        </w:rPr>
      </w:pPr>
    </w:p>
    <w:p w14:paraId="0D9FFA13" w14:textId="508C2642" w:rsidR="001A3245" w:rsidRPr="001E4BE4" w:rsidRDefault="001A3245" w:rsidP="001A3245">
      <w:pPr>
        <w:pStyle w:val="NoSpacing"/>
        <w:rPr>
          <w:rFonts w:ascii="Arial" w:eastAsia="Times New Roman" w:hAnsi="Arial" w:cs="Arial"/>
          <w:lang w:val="ro-RO"/>
        </w:rPr>
      </w:pPr>
      <w:r w:rsidRPr="001E4BE4">
        <w:rPr>
          <w:rFonts w:ascii="Arial" w:eastAsia="Times New Roman" w:hAnsi="Arial" w:cs="Arial"/>
          <w:lang w:val="ro-RO"/>
        </w:rPr>
        <w:t>Înalta Curte de Casație și Justiție, prin menținerea unei hotărâri a unei instanțe de fond, a confirmat că orice înlăturare de către organele fiscale a regimului suspensiv de accize din cauza neîndeplinirii unor cerințe de formă aduce o atingere principiului proporționalității scopului urmărit. Prin urmare, Curtea a certificat că lipsa unui document administrativ de însoțire nu a împiedicat organele fiscale să efectueze controlul fiscal și să stabilească modalitatea în care bunurile au circulat între cele două antrepozite, ba chiar au putut să stabilească în mod indubitabil că livrările respective au avut loc și că nu a existat vreun prejudiciu pentru stat. Echipa ce a adus câștig de cauză clientului a fost formată din: Emanuel Băncilă, Alex Slujitoru și Andrei Boian, avocați la Băncilă Diaconu și Asociații.</w:t>
      </w:r>
    </w:p>
    <w:p w14:paraId="4D497588" w14:textId="77777777" w:rsidR="001A3245" w:rsidRPr="001E4BE4" w:rsidRDefault="001A3245" w:rsidP="001A3245">
      <w:pPr>
        <w:pStyle w:val="NoSpacing"/>
        <w:rPr>
          <w:rFonts w:ascii="Arial" w:eastAsia="Times New Roman" w:hAnsi="Arial" w:cs="Arial"/>
          <w:lang w:val="ro-RO"/>
        </w:rPr>
      </w:pPr>
    </w:p>
    <w:p w14:paraId="162EB8F4" w14:textId="38F8F4CC" w:rsidR="001A3245" w:rsidRPr="001E4BE4" w:rsidRDefault="001A3245" w:rsidP="001A3245">
      <w:pPr>
        <w:pStyle w:val="NoSpacing"/>
        <w:rPr>
          <w:rFonts w:ascii="Arial" w:eastAsia="Times New Roman" w:hAnsi="Arial" w:cs="Arial"/>
          <w:lang w:val="ro-RO"/>
        </w:rPr>
      </w:pPr>
      <w:r w:rsidRPr="001E4BE4">
        <w:rPr>
          <w:rFonts w:ascii="Arial" w:eastAsia="Times New Roman" w:hAnsi="Arial" w:cs="Arial"/>
          <w:lang w:val="ro-RO"/>
        </w:rPr>
        <w:t>„</w:t>
      </w:r>
      <w:r w:rsidRPr="001E4BE4">
        <w:rPr>
          <w:rFonts w:ascii="Arial" w:eastAsia="Times New Roman" w:hAnsi="Arial" w:cs="Arial"/>
          <w:i/>
          <w:iCs/>
          <w:lang w:val="ro-RO"/>
        </w:rPr>
        <w:t>Este pentru prima dată când Înalta Curte de Casație și Justiție d</w:t>
      </w:r>
      <w:r w:rsidR="007F01A3">
        <w:rPr>
          <w:rFonts w:ascii="Arial" w:eastAsia="Times New Roman" w:hAnsi="Arial" w:cs="Arial"/>
          <w:i/>
          <w:iCs/>
          <w:lang w:val="ro-RO"/>
        </w:rPr>
        <w:t>ă</w:t>
      </w:r>
      <w:r w:rsidRPr="001E4BE4">
        <w:rPr>
          <w:rFonts w:ascii="Arial" w:eastAsia="Times New Roman" w:hAnsi="Arial" w:cs="Arial"/>
          <w:i/>
          <w:iCs/>
          <w:lang w:val="ro-RO"/>
        </w:rPr>
        <w:t xml:space="preserve"> prioritate principiului proporționalității raportat la procedurile obligatorii instituite atât la nivelul Uniunii Europene, cât și prin Codul Fiscal, statuând că măsurile stabilite prin legislația națională în materia fiscalității nu pot depăși ceea ce este proporțional în atingerea scopului pentru care au fost edictate respectivele măsuri</w:t>
      </w:r>
      <w:r w:rsidRPr="001E4BE4">
        <w:rPr>
          <w:rFonts w:ascii="Arial" w:eastAsia="Times New Roman" w:hAnsi="Arial" w:cs="Arial"/>
          <w:lang w:val="ro-RO"/>
        </w:rPr>
        <w:t>”</w:t>
      </w:r>
      <w:r w:rsidR="005D5BE6">
        <w:rPr>
          <w:rFonts w:ascii="Arial" w:eastAsia="Times New Roman" w:hAnsi="Arial" w:cs="Arial"/>
          <w:lang w:val="ro-RO"/>
        </w:rPr>
        <w:t xml:space="preserve">, </w:t>
      </w:r>
      <w:r w:rsidRPr="001E4BE4">
        <w:rPr>
          <w:rFonts w:ascii="Arial" w:eastAsia="Times New Roman" w:hAnsi="Arial" w:cs="Arial"/>
          <w:lang w:val="ro-RO"/>
        </w:rPr>
        <w:t>a declarat Emanuel Băncilă, coordonatorul practicii de controverse fiscale din cadrul Băncilă Diaconu și Asociații SPRL.</w:t>
      </w:r>
    </w:p>
    <w:p w14:paraId="197A1440" w14:textId="77777777" w:rsidR="001A3245" w:rsidRPr="001E4BE4" w:rsidRDefault="001A3245" w:rsidP="001A3245">
      <w:pPr>
        <w:pStyle w:val="NoSpacing"/>
        <w:rPr>
          <w:rFonts w:ascii="Arial" w:eastAsia="Times New Roman" w:hAnsi="Arial" w:cs="Arial"/>
          <w:lang w:val="ro-RO"/>
        </w:rPr>
      </w:pPr>
    </w:p>
    <w:p w14:paraId="7B67AA25" w14:textId="1CF7F93C" w:rsidR="001A3245" w:rsidRPr="001E4BE4" w:rsidRDefault="001A3245" w:rsidP="001A3245">
      <w:pPr>
        <w:pStyle w:val="NoSpacing"/>
        <w:rPr>
          <w:rFonts w:ascii="Arial" w:eastAsia="Times New Roman" w:hAnsi="Arial" w:cs="Arial"/>
          <w:lang w:val="ro-RO"/>
        </w:rPr>
      </w:pPr>
      <w:r w:rsidRPr="001E4BE4">
        <w:rPr>
          <w:rFonts w:ascii="Arial" w:eastAsia="Times New Roman" w:hAnsi="Arial" w:cs="Arial"/>
          <w:lang w:val="ro-RO"/>
        </w:rPr>
        <w:t>Dosarul pe care avocații au obținut decizia favorabilă se referă la o societate care producea biodisel în cadrul unui antrepozit autorizat, care face o livrare către un alt antrepozit de biodisel, în vederea amestecului cu combustibil tradițional, obligație instituită prin HG nr. 1844/2005</w:t>
      </w:r>
      <w:r w:rsidR="007F01A3">
        <w:rPr>
          <w:rFonts w:ascii="Arial" w:eastAsia="Times New Roman" w:hAnsi="Arial" w:cs="Arial"/>
          <w:lang w:val="ro-RO"/>
        </w:rPr>
        <w:t>,</w:t>
      </w:r>
      <w:r w:rsidRPr="001E4BE4">
        <w:rPr>
          <w:rFonts w:ascii="Arial" w:eastAsia="Times New Roman" w:hAnsi="Arial" w:cs="Arial"/>
          <w:lang w:val="ro-RO"/>
        </w:rPr>
        <w:t xml:space="preserve"> privind promovare</w:t>
      </w:r>
      <w:r w:rsidR="007F01A3">
        <w:rPr>
          <w:rFonts w:ascii="Arial" w:eastAsia="Times New Roman" w:hAnsi="Arial" w:cs="Arial"/>
          <w:lang w:val="ro-RO"/>
        </w:rPr>
        <w:t>a</w:t>
      </w:r>
      <w:r w:rsidRPr="001E4BE4">
        <w:rPr>
          <w:rFonts w:ascii="Arial" w:eastAsia="Times New Roman" w:hAnsi="Arial" w:cs="Arial"/>
          <w:lang w:val="ro-RO"/>
        </w:rPr>
        <w:t xml:space="preserve"> utilizării biocarburanților și a altor carburanți regenerabili pentru transport.</w:t>
      </w:r>
    </w:p>
    <w:p w14:paraId="52F757E8" w14:textId="77777777" w:rsidR="001A3245" w:rsidRPr="001E4BE4" w:rsidRDefault="001A3245" w:rsidP="001A3245">
      <w:pPr>
        <w:pStyle w:val="NoSpacing"/>
        <w:rPr>
          <w:rFonts w:ascii="Arial" w:eastAsia="Times New Roman" w:hAnsi="Arial" w:cs="Arial"/>
          <w:lang w:val="ro-RO"/>
        </w:rPr>
      </w:pPr>
    </w:p>
    <w:p w14:paraId="75F452E5" w14:textId="70212E70" w:rsidR="001A3245" w:rsidRDefault="001A3245" w:rsidP="001A3245">
      <w:pPr>
        <w:pStyle w:val="NoSpacing"/>
        <w:rPr>
          <w:rFonts w:ascii="Arial" w:eastAsia="Times New Roman" w:hAnsi="Arial" w:cs="Arial"/>
          <w:lang w:val="ro-RO"/>
        </w:rPr>
      </w:pPr>
      <w:r w:rsidRPr="001E4BE4">
        <w:rPr>
          <w:rFonts w:ascii="Arial" w:eastAsia="Times New Roman" w:hAnsi="Arial" w:cs="Arial"/>
          <w:lang w:val="ro-RO"/>
        </w:rPr>
        <w:t>Legea spune că accizele se aplică atât carburanților tradiționali, cât și altor produse utilizate drept combustibil pentru motor. Producerea și utilizarea produselor accizabile se face doar în cadrul unui antrepozit fiscal autorizat, ceea ce atrage și un regim suspensiv de plată a accizei</w:t>
      </w:r>
      <w:r w:rsidR="007F01A3">
        <w:rPr>
          <w:rFonts w:ascii="Arial" w:eastAsia="Times New Roman" w:hAnsi="Arial" w:cs="Arial"/>
          <w:lang w:val="ro-RO"/>
        </w:rPr>
        <w:t>,</w:t>
      </w:r>
      <w:r w:rsidRPr="001E4BE4">
        <w:rPr>
          <w:rFonts w:ascii="Arial" w:eastAsia="Times New Roman" w:hAnsi="Arial" w:cs="Arial"/>
          <w:lang w:val="ro-RO"/>
        </w:rPr>
        <w:t xml:space="preserve"> cât timp ele se află în interiorul antrepozitului. Părăsirea, chiar și temporară, a antrepozitului autorizat, însă, echivalează cu eliberarea în consum – adică cu momentul în care acciza devine exigibilă și trebuie achitată la bugetul de stat. De la această regulă există o excepție, produsele accizabile pot fi deplasate între două antrepozite autorizate în regim suspensiv de </w:t>
      </w:r>
      <w:r w:rsidRPr="001E4BE4">
        <w:rPr>
          <w:rFonts w:ascii="Arial" w:eastAsia="Times New Roman" w:hAnsi="Arial" w:cs="Arial"/>
          <w:lang w:val="ro-RO"/>
        </w:rPr>
        <w:lastRenderedPageBreak/>
        <w:t>plată a accizei, în situația în care respectivul transport este însoțit de un document special – documentul administrativ de însoțire a mărfii (”</w:t>
      </w:r>
      <w:r w:rsidRPr="001E4BE4">
        <w:rPr>
          <w:rFonts w:ascii="Arial" w:eastAsia="Times New Roman" w:hAnsi="Arial" w:cs="Arial"/>
          <w:b/>
          <w:bCs/>
          <w:lang w:val="ro-RO"/>
        </w:rPr>
        <w:t>DAI</w:t>
      </w:r>
      <w:r w:rsidRPr="001E4BE4">
        <w:rPr>
          <w:rFonts w:ascii="Arial" w:eastAsia="Times New Roman" w:hAnsi="Arial" w:cs="Arial"/>
          <w:lang w:val="ro-RO"/>
        </w:rPr>
        <w:t>”).</w:t>
      </w:r>
    </w:p>
    <w:p w14:paraId="391CFF72" w14:textId="77777777" w:rsidR="001A3245" w:rsidRPr="001E4BE4" w:rsidRDefault="001A3245" w:rsidP="001A3245">
      <w:pPr>
        <w:pStyle w:val="NoSpacing"/>
        <w:rPr>
          <w:rFonts w:ascii="Arial" w:eastAsia="Times New Roman" w:hAnsi="Arial" w:cs="Arial"/>
          <w:lang w:val="ro-RO"/>
        </w:rPr>
      </w:pPr>
    </w:p>
    <w:p w14:paraId="288093C1" w14:textId="43FF6F01" w:rsidR="001A3245" w:rsidRPr="001E4BE4" w:rsidRDefault="001A3245" w:rsidP="001A3245">
      <w:pPr>
        <w:pStyle w:val="NoSpacing"/>
        <w:rPr>
          <w:rFonts w:ascii="Arial" w:eastAsia="Times New Roman" w:hAnsi="Arial" w:cs="Arial"/>
          <w:lang w:val="ro-RO"/>
        </w:rPr>
      </w:pPr>
      <w:r w:rsidRPr="001E4BE4">
        <w:rPr>
          <w:rFonts w:ascii="Arial" w:eastAsia="Times New Roman" w:hAnsi="Arial" w:cs="Arial"/>
          <w:lang w:val="ro-RO"/>
        </w:rPr>
        <w:t>Cum livrarea între cele două antrepozite fiscale s-a făcut fără întocmirea DAI, în urma unui control fiscal încheiat, societatea este obligată să plătească acciza, conform legislației naționale, dar și europene - Directiva 92/12/CEE</w:t>
      </w:r>
      <w:r w:rsidR="007F01A3">
        <w:rPr>
          <w:rFonts w:ascii="Arial" w:eastAsia="Times New Roman" w:hAnsi="Arial" w:cs="Arial"/>
          <w:lang w:val="ro-RO"/>
        </w:rPr>
        <w:t>,</w:t>
      </w:r>
      <w:r w:rsidRPr="001E4BE4">
        <w:rPr>
          <w:rFonts w:ascii="Arial" w:eastAsia="Times New Roman" w:hAnsi="Arial" w:cs="Arial"/>
          <w:lang w:val="ro-RO"/>
        </w:rPr>
        <w:t xml:space="preserve"> privind regimul general al produselor supuse accizelor și privind deținerea, circulația și monitorizarea acestor produse.</w:t>
      </w:r>
    </w:p>
    <w:p w14:paraId="67B116B2" w14:textId="77777777" w:rsidR="001A3245" w:rsidRPr="001E4BE4" w:rsidRDefault="001A3245" w:rsidP="001A3245">
      <w:pPr>
        <w:pStyle w:val="NoSpacing"/>
        <w:rPr>
          <w:rFonts w:ascii="Arial" w:eastAsia="Times New Roman" w:hAnsi="Arial" w:cs="Arial"/>
          <w:lang w:val="ro-RO"/>
        </w:rPr>
      </w:pPr>
      <w:r w:rsidRPr="001E4BE4">
        <w:rPr>
          <w:rFonts w:ascii="Arial" w:eastAsia="Times New Roman" w:hAnsi="Arial" w:cs="Arial"/>
          <w:lang w:val="ro-RO"/>
        </w:rPr>
        <w:t> </w:t>
      </w:r>
    </w:p>
    <w:p w14:paraId="0FC0A4BA" w14:textId="7F802E6E" w:rsidR="001A3245" w:rsidRPr="001E4BE4" w:rsidRDefault="001A3245" w:rsidP="001A3245">
      <w:pPr>
        <w:pStyle w:val="NoSpacing"/>
        <w:rPr>
          <w:rFonts w:ascii="Arial" w:eastAsia="Times New Roman" w:hAnsi="Arial" w:cs="Arial"/>
          <w:lang w:val="ro-RO"/>
        </w:rPr>
      </w:pPr>
      <w:r w:rsidRPr="001E4BE4">
        <w:rPr>
          <w:rFonts w:ascii="Arial" w:eastAsia="Times New Roman" w:hAnsi="Arial" w:cs="Arial"/>
          <w:lang w:val="ro-RO"/>
        </w:rPr>
        <w:t>Curtea de Apel București a reținut că deplasarea produselor accizabile în regim suspensiv este permisă doar în situația în care este întocmit DAI, per a contrario, atunci când nu se respectă această obligație nu se mai aplică regimul suspensiv, ci intervine obligația de plat</w:t>
      </w:r>
      <w:r w:rsidR="002A1863">
        <w:rPr>
          <w:rFonts w:ascii="Arial" w:eastAsia="Times New Roman" w:hAnsi="Arial" w:cs="Arial"/>
          <w:lang w:val="ro-RO"/>
        </w:rPr>
        <w:t>ă</w:t>
      </w:r>
      <w:r w:rsidRPr="001E4BE4">
        <w:rPr>
          <w:rFonts w:ascii="Arial" w:eastAsia="Times New Roman" w:hAnsi="Arial" w:cs="Arial"/>
          <w:lang w:val="ro-RO"/>
        </w:rPr>
        <w:t xml:space="preserve"> a accizei de către persoan</w:t>
      </w:r>
      <w:r w:rsidR="002A1863">
        <w:rPr>
          <w:rFonts w:ascii="Arial" w:eastAsia="Times New Roman" w:hAnsi="Arial" w:cs="Arial"/>
          <w:lang w:val="ro-RO"/>
        </w:rPr>
        <w:t>a</w:t>
      </w:r>
      <w:r w:rsidRPr="001E4BE4">
        <w:rPr>
          <w:rFonts w:ascii="Arial" w:eastAsia="Times New Roman" w:hAnsi="Arial" w:cs="Arial"/>
          <w:lang w:val="ro-RO"/>
        </w:rPr>
        <w:t xml:space="preserve"> care a expediat produsul.</w:t>
      </w:r>
    </w:p>
    <w:p w14:paraId="6C7C22EC" w14:textId="77777777" w:rsidR="001A3245" w:rsidRPr="001E4BE4" w:rsidRDefault="001A3245" w:rsidP="001A3245">
      <w:pPr>
        <w:pStyle w:val="NoSpacing"/>
        <w:rPr>
          <w:rFonts w:ascii="Arial" w:eastAsia="Times New Roman" w:hAnsi="Arial" w:cs="Arial"/>
          <w:lang w:val="ro-RO"/>
        </w:rPr>
      </w:pPr>
      <w:r w:rsidRPr="001E4BE4">
        <w:rPr>
          <w:rFonts w:ascii="Arial" w:eastAsia="Times New Roman" w:hAnsi="Arial" w:cs="Arial"/>
          <w:lang w:val="ro-RO"/>
        </w:rPr>
        <w:t> </w:t>
      </w:r>
    </w:p>
    <w:p w14:paraId="7154B024" w14:textId="5F4C658E" w:rsidR="001A3245" w:rsidRPr="001E4BE4" w:rsidRDefault="001A3245" w:rsidP="001A3245">
      <w:pPr>
        <w:pStyle w:val="NoSpacing"/>
        <w:rPr>
          <w:rFonts w:ascii="Arial" w:eastAsia="Times New Roman" w:hAnsi="Arial" w:cs="Arial"/>
          <w:lang w:val="ro-RO"/>
        </w:rPr>
      </w:pPr>
      <w:r w:rsidRPr="001E4BE4">
        <w:rPr>
          <w:rFonts w:ascii="Arial" w:eastAsia="Times New Roman" w:hAnsi="Arial" w:cs="Arial"/>
          <w:lang w:val="ro-RO"/>
        </w:rPr>
        <w:t>Chiar dacă, în acord cu organele fiscale, Curtea a apreciat că Societatea trebuia să întocmească DAI pentru produsul biodiesel, totuși instanța a admis acțiunea Societății și a anulat actul administrativ de impunere</w:t>
      </w:r>
      <w:r w:rsidR="002A1863">
        <w:rPr>
          <w:rFonts w:ascii="Arial" w:eastAsia="Times New Roman" w:hAnsi="Arial" w:cs="Arial"/>
          <w:lang w:val="ro-RO"/>
        </w:rPr>
        <w:t>,</w:t>
      </w:r>
      <w:r w:rsidRPr="001E4BE4">
        <w:rPr>
          <w:rFonts w:ascii="Arial" w:eastAsia="Times New Roman" w:hAnsi="Arial" w:cs="Arial"/>
          <w:lang w:val="ro-RO"/>
        </w:rPr>
        <w:t xml:space="preserve"> constatând că sancțiunea aplicată de organele fiscale nu este proporțională, având în vedere scopul pentru care a fost prevăzută obligația întocmirii DAI</w:t>
      </w:r>
      <w:r>
        <w:rPr>
          <w:rFonts w:ascii="Arial" w:eastAsia="Times New Roman" w:hAnsi="Arial" w:cs="Arial"/>
          <w:lang w:val="ro-RO"/>
        </w:rPr>
        <w:t xml:space="preserve"> -</w:t>
      </w:r>
      <w:r w:rsidRPr="001E4BE4">
        <w:rPr>
          <w:rFonts w:ascii="Arial" w:eastAsia="Times New Roman" w:hAnsi="Arial" w:cs="Arial"/>
          <w:lang w:val="ro-RO"/>
        </w:rPr>
        <w:t xml:space="preserve"> evitarea fraudei și imposibilității stabilirii traseului produselor accizabile.   </w:t>
      </w:r>
    </w:p>
    <w:p w14:paraId="58F65162" w14:textId="77777777" w:rsidR="001A3245" w:rsidRPr="001E4BE4" w:rsidRDefault="001A3245" w:rsidP="001A3245">
      <w:pPr>
        <w:pStyle w:val="NoSpacing"/>
        <w:rPr>
          <w:rFonts w:ascii="Arial" w:eastAsia="Times New Roman" w:hAnsi="Arial" w:cs="Arial"/>
          <w:lang w:val="ro-RO"/>
        </w:rPr>
      </w:pPr>
      <w:r w:rsidRPr="001E4BE4">
        <w:rPr>
          <w:rFonts w:ascii="Arial" w:eastAsia="Times New Roman" w:hAnsi="Arial" w:cs="Arial"/>
          <w:lang w:val="ro-RO"/>
        </w:rPr>
        <w:t> </w:t>
      </w:r>
    </w:p>
    <w:p w14:paraId="7C9D03A0" w14:textId="7382213A" w:rsidR="001A3245" w:rsidRPr="001E4BE4" w:rsidRDefault="001A3245" w:rsidP="001A3245">
      <w:pPr>
        <w:pStyle w:val="NoSpacing"/>
        <w:rPr>
          <w:rFonts w:ascii="Arial" w:eastAsia="Times New Roman" w:hAnsi="Arial" w:cs="Arial"/>
          <w:lang w:val="ro-RO"/>
        </w:rPr>
      </w:pPr>
      <w:r w:rsidRPr="001E4BE4">
        <w:rPr>
          <w:rFonts w:ascii="Arial" w:eastAsia="Times New Roman" w:hAnsi="Arial" w:cs="Arial"/>
          <w:lang w:val="ro-RO"/>
        </w:rPr>
        <w:t>Curtea reține incidența în cauză a principiilor dezvoltate de Curtea de Justiție a Uniunii Europene („</w:t>
      </w:r>
      <w:r w:rsidRPr="001E4BE4">
        <w:rPr>
          <w:rFonts w:ascii="Arial" w:eastAsia="Times New Roman" w:hAnsi="Arial" w:cs="Arial"/>
          <w:b/>
          <w:bCs/>
          <w:lang w:val="ro-RO"/>
        </w:rPr>
        <w:t>CJUE</w:t>
      </w:r>
      <w:r w:rsidRPr="001E4BE4">
        <w:rPr>
          <w:rFonts w:ascii="Arial" w:eastAsia="Times New Roman" w:hAnsi="Arial" w:cs="Arial"/>
          <w:lang w:val="ro-RO"/>
        </w:rPr>
        <w:t>”), și în special a principiului proporționalității în cauze similare. Statele membre dispun de o marjă de apreciere în ceea ce privește măsurile și mecanismele care trebuie adoptate în vederea prevenirii fraudei și evaziunii fiscale. Astfel, o măsur</w:t>
      </w:r>
      <w:r w:rsidR="002A1863">
        <w:rPr>
          <w:rFonts w:ascii="Arial" w:eastAsia="Times New Roman" w:hAnsi="Arial" w:cs="Arial"/>
          <w:lang w:val="ro-RO"/>
        </w:rPr>
        <w:t>ă</w:t>
      </w:r>
      <w:r w:rsidRPr="001E4BE4">
        <w:rPr>
          <w:rFonts w:ascii="Arial" w:eastAsia="Times New Roman" w:hAnsi="Arial" w:cs="Arial"/>
          <w:lang w:val="ro-RO"/>
        </w:rPr>
        <w:t xml:space="preserve"> cu caracter formal (așa cum este impunerea DAI) nu prezintă un caracter vădit disproporționat cu scopul urmărit, fiind necesar să se considere că o asemenea obligație constituie o măsură adecvată pentru realizarea unui asemenea obiectiv și nu depășește ceea ce este necesar pentru atingerea acestuia.</w:t>
      </w:r>
    </w:p>
    <w:p w14:paraId="2EA107F6" w14:textId="77777777" w:rsidR="001A3245" w:rsidRPr="001E4BE4" w:rsidRDefault="001A3245" w:rsidP="001A3245">
      <w:pPr>
        <w:pStyle w:val="NoSpacing"/>
        <w:rPr>
          <w:rFonts w:ascii="Arial" w:eastAsia="Times New Roman" w:hAnsi="Arial" w:cs="Arial"/>
          <w:lang w:val="ro-RO"/>
        </w:rPr>
      </w:pPr>
      <w:r w:rsidRPr="001E4BE4">
        <w:rPr>
          <w:rFonts w:ascii="Arial" w:eastAsia="Times New Roman" w:hAnsi="Arial" w:cs="Arial"/>
          <w:lang w:val="ro-RO"/>
        </w:rPr>
        <w:t> </w:t>
      </w:r>
    </w:p>
    <w:p w14:paraId="72BB4580" w14:textId="29874317" w:rsidR="001A3245" w:rsidRDefault="001A3245" w:rsidP="001A3245">
      <w:pPr>
        <w:pStyle w:val="NoSpacing"/>
        <w:rPr>
          <w:rFonts w:ascii="Arial" w:eastAsia="Times New Roman" w:hAnsi="Arial" w:cs="Arial"/>
          <w:lang w:val="ro-RO"/>
        </w:rPr>
      </w:pPr>
      <w:r w:rsidRPr="001E4BE4">
        <w:rPr>
          <w:rFonts w:ascii="Arial" w:eastAsia="Times New Roman" w:hAnsi="Arial" w:cs="Arial"/>
          <w:lang w:val="ro-RO"/>
        </w:rPr>
        <w:t>Cu toate acestea, în primul rând, jurisprudența CJUE statuează principiul potrivit căruia „</w:t>
      </w:r>
      <w:r w:rsidRPr="001E4BE4">
        <w:rPr>
          <w:rFonts w:ascii="Arial" w:eastAsia="Times New Roman" w:hAnsi="Arial" w:cs="Arial"/>
          <w:i/>
          <w:iCs/>
          <w:lang w:val="ro-RO"/>
        </w:rPr>
        <w:t>produsele energetice sunt impozitate în funcție de utilizarea lor reală</w:t>
      </w:r>
      <w:r w:rsidRPr="001E4BE4">
        <w:rPr>
          <w:rFonts w:ascii="Arial" w:eastAsia="Times New Roman" w:hAnsi="Arial" w:cs="Arial"/>
          <w:lang w:val="ro-RO"/>
        </w:rPr>
        <w:t>”. În consecință, o dispoziție de drept național în temeiul căreia, în lipsa DAI se aplică în mod automat plata accizei în sarcina expeditorului, chiar dacă, astfel cum s-a constatat, deplasarea faptică a avut loc între două antrepozite fiscale, contravine însăși finalității Directivei  92/12/CEE.</w:t>
      </w:r>
    </w:p>
    <w:p w14:paraId="4525A18C" w14:textId="77777777" w:rsidR="00C03C83" w:rsidRPr="001E4BE4" w:rsidRDefault="00C03C83" w:rsidP="001A3245">
      <w:pPr>
        <w:pStyle w:val="NoSpacing"/>
        <w:rPr>
          <w:rFonts w:ascii="Arial" w:eastAsia="Times New Roman" w:hAnsi="Arial" w:cs="Arial"/>
          <w:lang w:val="ro-RO"/>
        </w:rPr>
      </w:pPr>
    </w:p>
    <w:p w14:paraId="1566373D" w14:textId="71C430FA" w:rsidR="001A3245" w:rsidRPr="001E4BE4" w:rsidRDefault="001A3245" w:rsidP="001A3245">
      <w:pPr>
        <w:pStyle w:val="NoSpacing"/>
        <w:rPr>
          <w:rFonts w:ascii="Arial" w:eastAsia="Times New Roman" w:hAnsi="Arial" w:cs="Arial"/>
          <w:lang w:val="ro-RO"/>
        </w:rPr>
      </w:pPr>
      <w:r w:rsidRPr="001E4BE4">
        <w:rPr>
          <w:rFonts w:ascii="Arial" w:eastAsia="Times New Roman" w:hAnsi="Arial" w:cs="Arial"/>
          <w:lang w:val="ro-RO"/>
        </w:rPr>
        <w:t>În al doilea rând, o asemenea aplicare automată a ratei accizei prevăzute în cazul nerespectării obligației de întocmire a DAI încalcă principiul proporționalității. Astfel, Curtea a consta</w:t>
      </w:r>
      <w:r w:rsidR="00925B00">
        <w:rPr>
          <w:rFonts w:ascii="Arial" w:eastAsia="Times New Roman" w:hAnsi="Arial" w:cs="Arial"/>
          <w:lang w:val="ro-RO"/>
        </w:rPr>
        <w:t>ta</w:t>
      </w:r>
      <w:r w:rsidRPr="001E4BE4">
        <w:rPr>
          <w:rFonts w:ascii="Arial" w:eastAsia="Times New Roman" w:hAnsi="Arial" w:cs="Arial"/>
          <w:lang w:val="ro-RO"/>
        </w:rPr>
        <w:t>t că în prezenta cauză, realitatea situației de fapt, reținută de către organele fiscale nu se contestă, acestea putând determina, traseul direct între cele două antrepozite fiscale, astfel încât finalitatea legii – asigurarea deplasării produselor accizabile în regim suspensiv de accize între două antrepozite fiscale, a fost atinsă.</w:t>
      </w:r>
    </w:p>
    <w:p w14:paraId="0D61DCD4" w14:textId="77777777" w:rsidR="001A3245" w:rsidRPr="001E4BE4" w:rsidRDefault="001A3245" w:rsidP="001A3245">
      <w:pPr>
        <w:pStyle w:val="NoSpacing"/>
        <w:rPr>
          <w:rFonts w:ascii="Arial" w:eastAsia="Times New Roman" w:hAnsi="Arial" w:cs="Arial"/>
          <w:lang w:val="ro-RO"/>
        </w:rPr>
      </w:pPr>
    </w:p>
    <w:p w14:paraId="7E61774B" w14:textId="31A2C1B0" w:rsidR="001A3245" w:rsidRPr="001E4BE4" w:rsidRDefault="001A3245" w:rsidP="001A3245">
      <w:pPr>
        <w:pStyle w:val="NoSpacing"/>
        <w:rPr>
          <w:rFonts w:ascii="Arial" w:hAnsi="Arial" w:cs="Arial"/>
          <w:bCs/>
          <w:lang w:val="ro-RO"/>
        </w:rPr>
      </w:pPr>
      <w:r w:rsidRPr="001E4BE4">
        <w:rPr>
          <w:rFonts w:ascii="Arial" w:hAnsi="Arial" w:cs="Arial"/>
          <w:bCs/>
          <w:lang w:val="ro-RO"/>
        </w:rPr>
        <w:t xml:space="preserve">Înalta Curte de Casație si Justiție a menținut hotărârea instanței de fond confirmând astfel </w:t>
      </w:r>
      <w:r w:rsidR="002A1863" w:rsidRPr="001E4BE4">
        <w:rPr>
          <w:rFonts w:ascii="Arial" w:hAnsi="Arial" w:cs="Arial"/>
          <w:bCs/>
          <w:lang w:val="ro-RO"/>
        </w:rPr>
        <w:t>c</w:t>
      </w:r>
      <w:r w:rsidR="002A1863">
        <w:rPr>
          <w:rFonts w:ascii="Arial" w:hAnsi="Arial" w:cs="Arial"/>
          <w:bCs/>
          <w:lang w:val="ro-RO"/>
        </w:rPr>
        <w:t>ă</w:t>
      </w:r>
      <w:r w:rsidR="002A1863" w:rsidRPr="001E4BE4">
        <w:rPr>
          <w:rFonts w:ascii="Arial" w:hAnsi="Arial" w:cs="Arial"/>
          <w:bCs/>
          <w:lang w:val="ro-RO"/>
        </w:rPr>
        <w:t xml:space="preserve"> </w:t>
      </w:r>
      <w:r w:rsidRPr="001E4BE4">
        <w:rPr>
          <w:rFonts w:ascii="Arial" w:hAnsi="Arial" w:cs="Arial"/>
          <w:bCs/>
          <w:lang w:val="ro-RO"/>
        </w:rPr>
        <w:t>„înlăturarea de către organele fiscale a regimului suspensiv de accize datorit</w:t>
      </w:r>
      <w:r w:rsidR="002A1863">
        <w:rPr>
          <w:rFonts w:ascii="Arial" w:hAnsi="Arial" w:cs="Arial"/>
          <w:bCs/>
          <w:lang w:val="ro-RO"/>
        </w:rPr>
        <w:t>ă</w:t>
      </w:r>
      <w:r w:rsidRPr="001E4BE4">
        <w:rPr>
          <w:rFonts w:ascii="Arial" w:hAnsi="Arial" w:cs="Arial"/>
          <w:bCs/>
          <w:lang w:val="ro-RO"/>
        </w:rPr>
        <w:t xml:space="preserve"> neîndeplinirii unor cerințe de form</w:t>
      </w:r>
      <w:r w:rsidR="002A1863">
        <w:rPr>
          <w:rFonts w:ascii="Arial" w:hAnsi="Arial" w:cs="Arial"/>
          <w:bCs/>
          <w:lang w:val="ro-RO"/>
        </w:rPr>
        <w:t>ă</w:t>
      </w:r>
      <w:r w:rsidRPr="001E4BE4">
        <w:rPr>
          <w:rFonts w:ascii="Arial" w:hAnsi="Arial" w:cs="Arial"/>
          <w:bCs/>
          <w:lang w:val="ro-RO"/>
        </w:rPr>
        <w:t>, aduce fără îndoial</w:t>
      </w:r>
      <w:r w:rsidR="002A1863">
        <w:rPr>
          <w:rFonts w:ascii="Arial" w:hAnsi="Arial" w:cs="Arial"/>
          <w:bCs/>
          <w:lang w:val="ro-RO"/>
        </w:rPr>
        <w:t>ă</w:t>
      </w:r>
      <w:r w:rsidRPr="001E4BE4">
        <w:rPr>
          <w:rFonts w:ascii="Arial" w:hAnsi="Arial" w:cs="Arial"/>
          <w:bCs/>
          <w:lang w:val="ro-RO"/>
        </w:rPr>
        <w:t xml:space="preserve"> atingere principiului proporționalității.”</w:t>
      </w:r>
    </w:p>
    <w:p w14:paraId="7C2A86FB" w14:textId="77777777" w:rsidR="001A3245" w:rsidRPr="001E4BE4" w:rsidRDefault="001A3245" w:rsidP="001A3245">
      <w:pPr>
        <w:pStyle w:val="NoSpacing"/>
        <w:rPr>
          <w:rFonts w:ascii="Arial" w:hAnsi="Arial" w:cs="Arial"/>
          <w:bCs/>
          <w:lang w:val="ro-RO"/>
        </w:rPr>
      </w:pPr>
    </w:p>
    <w:p w14:paraId="06894C70" w14:textId="6AD385B7" w:rsidR="001A3245" w:rsidRPr="001E4BE4" w:rsidRDefault="001A3245" w:rsidP="001A3245">
      <w:pPr>
        <w:pStyle w:val="NoSpacing"/>
        <w:rPr>
          <w:rFonts w:ascii="Arial" w:hAnsi="Arial" w:cs="Arial"/>
          <w:bCs/>
          <w:lang w:val="ro-RO"/>
        </w:rPr>
      </w:pPr>
      <w:r w:rsidRPr="001E4BE4">
        <w:rPr>
          <w:rFonts w:ascii="Arial" w:hAnsi="Arial" w:cs="Arial"/>
          <w:bCs/>
          <w:lang w:val="ro-RO"/>
        </w:rPr>
        <w:t>Principiul pe care CJUE îl reliefează este că orice măsură excepțională luat</w:t>
      </w:r>
      <w:r w:rsidR="002A1863">
        <w:rPr>
          <w:rFonts w:ascii="Arial" w:hAnsi="Arial" w:cs="Arial"/>
          <w:bCs/>
          <w:lang w:val="ro-RO"/>
        </w:rPr>
        <w:t>ă</w:t>
      </w:r>
      <w:r w:rsidRPr="001E4BE4">
        <w:rPr>
          <w:rFonts w:ascii="Arial" w:hAnsi="Arial" w:cs="Arial"/>
          <w:bCs/>
          <w:lang w:val="ro-RO"/>
        </w:rPr>
        <w:t xml:space="preserve"> de stat, așa cum este </w:t>
      </w:r>
      <w:r w:rsidR="00C03C83">
        <w:rPr>
          <w:rFonts w:ascii="Arial" w:hAnsi="Arial" w:cs="Arial"/>
          <w:bCs/>
          <w:lang w:val="ro-RO"/>
        </w:rPr>
        <w:t>ş</w:t>
      </w:r>
      <w:r w:rsidRPr="001E4BE4">
        <w:rPr>
          <w:rFonts w:ascii="Arial" w:hAnsi="Arial" w:cs="Arial"/>
          <w:bCs/>
          <w:lang w:val="ro-RO"/>
        </w:rPr>
        <w:t>i înlăturarea regimului suspensiv al plă</w:t>
      </w:r>
      <w:r w:rsidR="002A1863">
        <w:rPr>
          <w:rFonts w:ascii="Arial" w:hAnsi="Arial" w:cs="Arial"/>
          <w:bCs/>
          <w:lang w:val="ro-RO"/>
        </w:rPr>
        <w:t>ț</w:t>
      </w:r>
      <w:r w:rsidRPr="001E4BE4">
        <w:rPr>
          <w:rFonts w:ascii="Arial" w:hAnsi="Arial" w:cs="Arial"/>
          <w:bCs/>
          <w:lang w:val="ro-RO"/>
        </w:rPr>
        <w:t xml:space="preserve">ii accizei </w:t>
      </w:r>
      <w:r w:rsidR="00C03C83">
        <w:rPr>
          <w:rFonts w:ascii="Arial" w:hAnsi="Arial" w:cs="Arial"/>
          <w:bCs/>
          <w:lang w:val="ro-RO"/>
        </w:rPr>
        <w:t>î</w:t>
      </w:r>
      <w:r w:rsidRPr="001E4BE4">
        <w:rPr>
          <w:rFonts w:ascii="Arial" w:hAnsi="Arial" w:cs="Arial"/>
          <w:bCs/>
          <w:lang w:val="ro-RO"/>
        </w:rPr>
        <w:t>n lipsa DAI, trebuie s</w:t>
      </w:r>
      <w:r w:rsidR="00C03C83">
        <w:rPr>
          <w:rFonts w:ascii="Arial" w:hAnsi="Arial" w:cs="Arial"/>
          <w:bCs/>
          <w:lang w:val="ro-RO"/>
        </w:rPr>
        <w:t>ă</w:t>
      </w:r>
      <w:r w:rsidRPr="001E4BE4">
        <w:rPr>
          <w:rFonts w:ascii="Arial" w:hAnsi="Arial" w:cs="Arial"/>
          <w:bCs/>
          <w:lang w:val="ro-RO"/>
        </w:rPr>
        <w:t xml:space="preserve"> fie proporțională cu scopul urmărit - prevenirea evaziunii în speța de față.</w:t>
      </w:r>
    </w:p>
    <w:p w14:paraId="5C4624E6" w14:textId="77777777" w:rsidR="001A3245" w:rsidRPr="001E4BE4" w:rsidRDefault="001A3245" w:rsidP="001A3245">
      <w:pPr>
        <w:pStyle w:val="NoSpacing"/>
        <w:rPr>
          <w:rFonts w:ascii="Arial" w:hAnsi="Arial" w:cs="Arial"/>
          <w:bCs/>
          <w:lang w:val="ro-RO"/>
        </w:rPr>
      </w:pPr>
    </w:p>
    <w:p w14:paraId="0A027EF3" w14:textId="37FB4F9C" w:rsidR="001A3245" w:rsidRDefault="001A3245" w:rsidP="001A3245">
      <w:pPr>
        <w:pStyle w:val="NoSpacing"/>
        <w:rPr>
          <w:rFonts w:ascii="Arial" w:hAnsi="Arial" w:cs="Arial"/>
          <w:bCs/>
          <w:lang w:val="ro-RO"/>
        </w:rPr>
      </w:pPr>
      <w:r w:rsidRPr="001E4BE4">
        <w:rPr>
          <w:rFonts w:ascii="Arial" w:hAnsi="Arial" w:cs="Arial"/>
          <w:bCs/>
          <w:lang w:val="ro-RO"/>
        </w:rPr>
        <w:t>Or</w:t>
      </w:r>
      <w:r w:rsidR="00C03C83">
        <w:rPr>
          <w:rFonts w:ascii="Arial" w:hAnsi="Arial" w:cs="Arial"/>
          <w:bCs/>
          <w:lang w:val="ro-RO"/>
        </w:rPr>
        <w:t>i</w:t>
      </w:r>
      <w:r w:rsidRPr="001E4BE4">
        <w:rPr>
          <w:rFonts w:ascii="Arial" w:hAnsi="Arial" w:cs="Arial"/>
          <w:bCs/>
          <w:lang w:val="ro-RO"/>
        </w:rPr>
        <w:t>, lipsa documentului administrativ de însoțire nu a împiedicat organele fiscale s</w:t>
      </w:r>
      <w:r w:rsidR="00C03C83">
        <w:rPr>
          <w:rFonts w:ascii="Arial" w:hAnsi="Arial" w:cs="Arial"/>
          <w:bCs/>
          <w:lang w:val="ro-RO"/>
        </w:rPr>
        <w:t>ă</w:t>
      </w:r>
      <w:r w:rsidRPr="001E4BE4">
        <w:rPr>
          <w:rFonts w:ascii="Arial" w:hAnsi="Arial" w:cs="Arial"/>
          <w:bCs/>
          <w:lang w:val="ro-RO"/>
        </w:rPr>
        <w:t xml:space="preserve"> efectueze controlul fiscal și să stabilească modalitatea în care bunurile au circulat între cele dou</w:t>
      </w:r>
      <w:r w:rsidR="00C03C83">
        <w:rPr>
          <w:rFonts w:ascii="Arial" w:hAnsi="Arial" w:cs="Arial"/>
          <w:bCs/>
          <w:lang w:val="ro-RO"/>
        </w:rPr>
        <w:t>ă</w:t>
      </w:r>
      <w:r w:rsidR="002A1863">
        <w:rPr>
          <w:rFonts w:ascii="Arial" w:hAnsi="Arial" w:cs="Arial"/>
          <w:bCs/>
          <w:lang w:val="ro-RO"/>
        </w:rPr>
        <w:t xml:space="preserve"> </w:t>
      </w:r>
      <w:r w:rsidRPr="001E4BE4">
        <w:rPr>
          <w:rFonts w:ascii="Arial" w:hAnsi="Arial" w:cs="Arial"/>
          <w:bCs/>
          <w:lang w:val="ro-RO"/>
        </w:rPr>
        <w:lastRenderedPageBreak/>
        <w:t>antrepozite, ba chiar au putut s</w:t>
      </w:r>
      <w:r w:rsidR="00236C2F">
        <w:rPr>
          <w:rFonts w:ascii="Arial" w:hAnsi="Arial" w:cs="Arial"/>
          <w:bCs/>
          <w:lang w:val="ro-RO"/>
        </w:rPr>
        <w:t>ă</w:t>
      </w:r>
      <w:r w:rsidRPr="001E4BE4">
        <w:rPr>
          <w:rFonts w:ascii="Arial" w:hAnsi="Arial" w:cs="Arial"/>
          <w:bCs/>
          <w:lang w:val="ro-RO"/>
        </w:rPr>
        <w:t xml:space="preserve"> stabilească în mod indubitabil că livrările respective au avut loc, fără c</w:t>
      </w:r>
      <w:r w:rsidR="002A1863">
        <w:rPr>
          <w:rFonts w:ascii="Arial" w:hAnsi="Arial" w:cs="Arial"/>
          <w:bCs/>
          <w:lang w:val="ro-RO"/>
        </w:rPr>
        <w:t>a</w:t>
      </w:r>
      <w:r w:rsidRPr="001E4BE4">
        <w:rPr>
          <w:rFonts w:ascii="Arial" w:hAnsi="Arial" w:cs="Arial"/>
          <w:bCs/>
          <w:lang w:val="ro-RO"/>
        </w:rPr>
        <w:t xml:space="preserve"> statul să fie prejudiciat. </w:t>
      </w:r>
    </w:p>
    <w:p w14:paraId="57B324A2" w14:textId="0E9139B7" w:rsidR="002A1863" w:rsidRDefault="002A1863" w:rsidP="001A3245">
      <w:pPr>
        <w:pStyle w:val="NoSpacing"/>
        <w:rPr>
          <w:rFonts w:ascii="Arial" w:hAnsi="Arial" w:cs="Arial"/>
          <w:bCs/>
          <w:lang w:val="ro-RO"/>
        </w:rPr>
      </w:pPr>
    </w:p>
    <w:p w14:paraId="745FD34E" w14:textId="308D3B9A" w:rsidR="002A1863" w:rsidRPr="001E4BE4" w:rsidRDefault="002A1863" w:rsidP="001A3245">
      <w:pPr>
        <w:pStyle w:val="NoSpacing"/>
        <w:rPr>
          <w:rFonts w:ascii="Arial" w:hAnsi="Arial" w:cs="Arial"/>
          <w:lang w:val="ro-RO"/>
        </w:rPr>
      </w:pPr>
      <w:r>
        <w:rPr>
          <w:rFonts w:ascii="Arial" w:hAnsi="Arial" w:cs="Arial"/>
          <w:bCs/>
          <w:lang w:val="ro-RO"/>
        </w:rPr>
        <w:t>-//-</w:t>
      </w:r>
    </w:p>
    <w:p w14:paraId="045B7A03" w14:textId="77777777" w:rsidR="00EF46A2" w:rsidRPr="000E4E6A" w:rsidRDefault="00EF46A2" w:rsidP="00EF46A2">
      <w:pPr>
        <w:rPr>
          <w:rFonts w:cs="Arial"/>
          <w:b/>
          <w:bCs/>
          <w:sz w:val="18"/>
          <w:szCs w:val="18"/>
        </w:rPr>
      </w:pPr>
    </w:p>
    <w:p w14:paraId="1293301A" w14:textId="3AF909C5" w:rsidR="000E4E6A" w:rsidRPr="000E4E6A" w:rsidRDefault="000E4E6A" w:rsidP="00186D3B">
      <w:pPr>
        <w:rPr>
          <w:rFonts w:cs="Arial"/>
          <w:b/>
          <w:bCs/>
          <w:sz w:val="18"/>
          <w:szCs w:val="18"/>
        </w:rPr>
      </w:pPr>
      <w:r w:rsidRPr="000E4E6A">
        <w:rPr>
          <w:rFonts w:cs="Arial"/>
          <w:b/>
          <w:bCs/>
          <w:sz w:val="18"/>
          <w:szCs w:val="18"/>
        </w:rPr>
        <w:t>Despre Băncilă, Diaconu și Asociații SPRL</w:t>
      </w:r>
    </w:p>
    <w:p w14:paraId="6FDBD8C8" w14:textId="6E822A07" w:rsidR="00186D3B" w:rsidRPr="00186D3B" w:rsidRDefault="00186D3B" w:rsidP="00186D3B">
      <w:pPr>
        <w:rPr>
          <w:rFonts w:cs="Arial"/>
          <w:sz w:val="18"/>
          <w:szCs w:val="18"/>
        </w:rPr>
      </w:pPr>
      <w:r w:rsidRPr="00186D3B">
        <w:rPr>
          <w:rFonts w:cs="Arial"/>
          <w:sz w:val="18"/>
          <w:szCs w:val="18"/>
        </w:rPr>
        <w:t>Băncilă, Diaconu și Asociații SPRL (denumită anterior Radu și Asociații SPRL) este o societate de avocați ce oferă servicii juridice complete, care includ atât servicii de consultanță juridică cât și asistență și reprezentare în fața instanțelor de judecată, având o practică importantă de controverse și dispute fiscale.</w:t>
      </w:r>
    </w:p>
    <w:p w14:paraId="6018597B" w14:textId="77777777" w:rsidR="00186D3B" w:rsidRPr="00186D3B" w:rsidRDefault="00186D3B" w:rsidP="00186D3B">
      <w:pPr>
        <w:rPr>
          <w:rFonts w:cs="Arial"/>
          <w:sz w:val="18"/>
          <w:szCs w:val="18"/>
        </w:rPr>
      </w:pPr>
    </w:p>
    <w:p w14:paraId="212DB8F3" w14:textId="77777777" w:rsidR="00186D3B" w:rsidRPr="00186D3B" w:rsidRDefault="00186D3B" w:rsidP="00186D3B">
      <w:pPr>
        <w:rPr>
          <w:rFonts w:cs="Arial"/>
          <w:sz w:val="18"/>
          <w:szCs w:val="18"/>
        </w:rPr>
      </w:pPr>
      <w:r w:rsidRPr="00186D3B">
        <w:rPr>
          <w:rFonts w:cs="Arial"/>
          <w:sz w:val="18"/>
          <w:szCs w:val="18"/>
        </w:rPr>
        <w:t>Băncilă, Diaconu și Asociații SPRL este membră a grupului Ernst &amp; Young Global Ltd și face parte din rețeaua globală EY Law, aflată în plină expansiune, în cadrul căreia lucrează peste 2400 de avocați în mai mult de 90 de jurisdicții.</w:t>
      </w:r>
    </w:p>
    <w:p w14:paraId="721D0004" w14:textId="77777777" w:rsidR="00186D3B" w:rsidRPr="00186D3B" w:rsidRDefault="00186D3B" w:rsidP="00186D3B">
      <w:pPr>
        <w:rPr>
          <w:rFonts w:cs="Arial"/>
          <w:sz w:val="18"/>
          <w:szCs w:val="18"/>
        </w:rPr>
      </w:pPr>
    </w:p>
    <w:p w14:paraId="5D968D11" w14:textId="77777777" w:rsidR="00186D3B" w:rsidRPr="00186D3B" w:rsidRDefault="00186D3B" w:rsidP="00186D3B">
      <w:pPr>
        <w:rPr>
          <w:rFonts w:cs="Arial"/>
          <w:sz w:val="18"/>
          <w:szCs w:val="18"/>
        </w:rPr>
      </w:pPr>
      <w:r w:rsidRPr="00186D3B">
        <w:rPr>
          <w:rFonts w:cs="Arial"/>
          <w:sz w:val="18"/>
          <w:szCs w:val="18"/>
        </w:rPr>
        <w:t>Experiența noastră a fost recunoscută de piață și de publicații internaționale.</w:t>
      </w:r>
    </w:p>
    <w:p w14:paraId="73AEA980" w14:textId="77777777" w:rsidR="00186D3B" w:rsidRPr="00186D3B" w:rsidRDefault="00186D3B" w:rsidP="00186D3B">
      <w:pPr>
        <w:rPr>
          <w:rFonts w:cs="Arial"/>
          <w:sz w:val="18"/>
          <w:szCs w:val="18"/>
        </w:rPr>
      </w:pPr>
    </w:p>
    <w:p w14:paraId="0EA99C06" w14:textId="77777777" w:rsidR="00186D3B" w:rsidRPr="00186D3B" w:rsidRDefault="00186D3B" w:rsidP="00186D3B">
      <w:pPr>
        <w:rPr>
          <w:rFonts w:cs="Arial"/>
          <w:sz w:val="18"/>
          <w:szCs w:val="18"/>
        </w:rPr>
      </w:pPr>
      <w:r w:rsidRPr="00186D3B">
        <w:rPr>
          <w:rFonts w:cs="Arial"/>
          <w:sz w:val="18"/>
          <w:szCs w:val="18"/>
        </w:rPr>
        <w:t>Chambers Global 2019 a recunoscut practica noastră de Corporate/M&amp;A în timp ce Chambers Europe 2019, 2020, 2021 și 2022 au plasat practica noastră de Controverse și Dispute Fiscale pe banda 1. Totodată, The Legal 500 Europe, Middle East and Africa 2019, 2020 și 2021 au premiat practica noastră de Drept Comercial, Drept Societar și M&amp;A, edițiile 2020 și 2021 plasând practica de Controverse și Dispute Fiscale pe poziția 1.</w:t>
      </w:r>
    </w:p>
    <w:p w14:paraId="1BD343DC" w14:textId="77777777" w:rsidR="00186D3B" w:rsidRPr="00186D3B" w:rsidRDefault="00186D3B" w:rsidP="00186D3B">
      <w:pPr>
        <w:rPr>
          <w:rFonts w:cs="Arial"/>
          <w:sz w:val="18"/>
          <w:szCs w:val="18"/>
        </w:rPr>
      </w:pPr>
    </w:p>
    <w:p w14:paraId="176D3234" w14:textId="3CAB6432" w:rsidR="00BB6595" w:rsidRPr="00186D3B" w:rsidRDefault="00186D3B" w:rsidP="00186D3B">
      <w:pPr>
        <w:rPr>
          <w:rFonts w:cs="Arial"/>
          <w:sz w:val="18"/>
          <w:szCs w:val="18"/>
        </w:rPr>
      </w:pPr>
      <w:r w:rsidRPr="00186D3B">
        <w:rPr>
          <w:rFonts w:cs="Arial"/>
          <w:sz w:val="18"/>
          <w:szCs w:val="18"/>
        </w:rPr>
        <w:t xml:space="preserve">Pentru mai multe detalii, vă rugăm </w:t>
      </w:r>
      <w:r w:rsidR="002A1863">
        <w:rPr>
          <w:rFonts w:cs="Arial"/>
          <w:sz w:val="18"/>
          <w:szCs w:val="18"/>
        </w:rPr>
        <w:t xml:space="preserve">să </w:t>
      </w:r>
      <w:r w:rsidRPr="00186D3B">
        <w:rPr>
          <w:rFonts w:cs="Arial"/>
          <w:sz w:val="18"/>
          <w:szCs w:val="18"/>
        </w:rPr>
        <w:t>accesați: www.bdattorneys.ro</w:t>
      </w:r>
    </w:p>
    <w:sectPr w:rsidR="00BB6595" w:rsidRPr="00186D3B" w:rsidSect="008731BE">
      <w:headerReference w:type="default" r:id="rId11"/>
      <w:footerReference w:type="default" r:id="rId12"/>
      <w:headerReference w:type="first" r:id="rId13"/>
      <w:pgSz w:w="11907" w:h="16840" w:code="9"/>
      <w:pgMar w:top="2722" w:right="1282" w:bottom="936" w:left="1368" w:header="706"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427A7" w14:textId="77777777" w:rsidR="00A05ED6" w:rsidRDefault="00A05ED6">
      <w:r>
        <w:separator/>
      </w:r>
    </w:p>
  </w:endnote>
  <w:endnote w:type="continuationSeparator" w:id="0">
    <w:p w14:paraId="40870ECD" w14:textId="77777777" w:rsidR="00A05ED6" w:rsidRDefault="00A0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8DC7" w14:textId="0BF4D02C" w:rsidR="008731BE" w:rsidRDefault="000A30C3">
    <w:pPr>
      <w:pStyle w:val="Footer"/>
    </w:pPr>
    <w:r>
      <w:rPr>
        <w:noProof/>
        <w:lang w:eastAsia="ro-RO"/>
      </w:rPr>
      <mc:AlternateContent>
        <mc:Choice Requires="wps">
          <w:drawing>
            <wp:anchor distT="0" distB="0" distL="114300" distR="114300" simplePos="0" relativeHeight="251659264" behindDoc="1" locked="1" layoutInCell="1" allowOverlap="1" wp14:anchorId="23CC86E2" wp14:editId="784BB893">
              <wp:simplePos x="0" y="0"/>
              <wp:positionH relativeFrom="column">
                <wp:posOffset>0</wp:posOffset>
              </wp:positionH>
              <wp:positionV relativeFrom="page">
                <wp:posOffset>10333355</wp:posOffset>
              </wp:positionV>
              <wp:extent cx="1714500" cy="1143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
                      </a:xfrm>
                      <a:prstGeom prst="rect">
                        <a:avLst/>
                      </a:prstGeom>
                      <a:noFill/>
                      <a:ln>
                        <a:noFill/>
                      </a:ln>
                    </wps:spPr>
                    <wps:txbx>
                      <w:txbxContent>
                        <w:p w14:paraId="77586310" w14:textId="77777777" w:rsidR="008731BE" w:rsidRPr="00195C92" w:rsidRDefault="00A05ED6" w:rsidP="008731BE">
                          <w:pPr>
                            <w:pStyle w:val="EYFooterinf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C86E2" id="_x0000_t202" coordsize="21600,21600" o:spt="202" path="m,l,21600r21600,l21600,xe">
              <v:stroke joinstyle="miter"/>
              <v:path gradientshapeok="t" o:connecttype="rect"/>
            </v:shapetype>
            <v:shape id="Text Box 5" o:spid="_x0000_s1027" type="#_x0000_t202" style="position:absolute;margin-left:0;margin-top:813.65pt;width:13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" filled="f" stroked="f">
              <v:textbox inset="0,0,0,0">
                <w:txbxContent>
                  <w:p w14:paraId="77586310" w14:textId="77777777" w:rsidR="008731BE" w:rsidRPr="00195C92" w:rsidRDefault="00A05ED6" w:rsidP="008731BE">
                    <w:pPr>
                      <w:pStyle w:val="EYFooterinfo"/>
                    </w:pP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62B7" w14:textId="77777777" w:rsidR="00A05ED6" w:rsidRDefault="00A05ED6">
      <w:r>
        <w:separator/>
      </w:r>
    </w:p>
  </w:footnote>
  <w:footnote w:type="continuationSeparator" w:id="0">
    <w:p w14:paraId="10FB9791" w14:textId="77777777" w:rsidR="00A05ED6" w:rsidRDefault="00A0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3720" w14:textId="635D6F8E" w:rsidR="008731BE" w:rsidRDefault="008016BB" w:rsidP="008731BE">
    <w:pPr>
      <w:pStyle w:val="Header"/>
    </w:pPr>
    <w:r>
      <w:rPr>
        <w:noProof/>
      </w:rPr>
      <w:drawing>
        <wp:anchor distT="0" distB="0" distL="114300" distR="114300" simplePos="0" relativeHeight="251668480" behindDoc="0" locked="0" layoutInCell="1" allowOverlap="1" wp14:anchorId="128D7B9F" wp14:editId="58CC3EDA">
          <wp:simplePos x="0" y="0"/>
          <wp:positionH relativeFrom="margin">
            <wp:posOffset>0</wp:posOffset>
          </wp:positionH>
          <wp:positionV relativeFrom="topMargin">
            <wp:posOffset>591185</wp:posOffset>
          </wp:positionV>
          <wp:extent cx="2103120" cy="666115"/>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666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30C3">
      <w:rPr>
        <w:noProof/>
        <w:lang w:eastAsia="ro-RO"/>
      </w:rPr>
      <mc:AlternateContent>
        <mc:Choice Requires="wps">
          <w:drawing>
            <wp:anchor distT="0" distB="0" distL="114300" distR="114300" simplePos="0" relativeHeight="251660288" behindDoc="0" locked="0" layoutInCell="1" allowOverlap="1" wp14:anchorId="34EA83BC" wp14:editId="59CB3281">
              <wp:simplePos x="0" y="0"/>
              <wp:positionH relativeFrom="page">
                <wp:posOffset>5403850</wp:posOffset>
              </wp:positionH>
              <wp:positionV relativeFrom="page">
                <wp:posOffset>403225</wp:posOffset>
              </wp:positionV>
              <wp:extent cx="1800225" cy="61785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17855"/>
                      </a:xfrm>
                      <a:prstGeom prst="rect">
                        <a:avLst/>
                      </a:prstGeom>
                      <a:noFill/>
                      <a:ln>
                        <a:noFill/>
                      </a:ln>
                    </wps:spPr>
                    <wps:txbx>
                      <w:txbxContent>
                        <w:p w14:paraId="383F9910" w14:textId="77777777" w:rsidR="008731BE" w:rsidRDefault="00A646D4" w:rsidP="008731BE">
                          <w:pPr>
                            <w:pStyle w:val="EYContinuationheader"/>
                            <w:jc w:val="right"/>
                          </w:pPr>
                          <w:r>
                            <w:t xml:space="preserve">Pagina </w:t>
                          </w:r>
                          <w:r w:rsidR="00B74BC5">
                            <w:fldChar w:fldCharType="begin"/>
                          </w:r>
                          <w:r>
                            <w:instrText xml:space="preserve"> PAGE  \* Arabic  \* MERGEFORMAT </w:instrText>
                          </w:r>
                          <w:r w:rsidR="00B74BC5">
                            <w:fldChar w:fldCharType="separate"/>
                          </w:r>
                          <w:r w:rsidR="003A6CD6">
                            <w:rPr>
                              <w:noProof/>
                            </w:rPr>
                            <w:t>3</w:t>
                          </w:r>
                          <w:r w:rsidR="00B74BC5">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A83BC" id="_x0000_t202" coordsize="21600,21600" o:spt="202" path="m,l,21600r21600,l21600,xe">
              <v:stroke joinstyle="miter"/>
              <v:path gradientshapeok="t" o:connecttype="rect"/>
            </v:shapetype>
            <v:shape id="Text Box 7" o:spid="_x0000_s1026" type="#_x0000_t202" style="position:absolute;margin-left:425.5pt;margin-top:31.75pt;width:141.75pt;height:48.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" filled="f" stroked="f">
              <v:textbox inset="0,0,0,0">
                <w:txbxContent>
                  <w:p w14:paraId="383F9910" w14:textId="77777777" w:rsidR="008731BE" w:rsidRDefault="00A646D4" w:rsidP="008731BE">
                    <w:pPr>
                      <w:pStyle w:val="EYContinuationheader"/>
                      <w:jc w:val="right"/>
                    </w:pPr>
                    <w:r>
                      <w:t xml:space="preserve">Pagina </w:t>
                    </w:r>
                    <w:r w:rsidR="00B74BC5">
                      <w:fldChar w:fldCharType="begin"/>
                    </w:r>
                    <w:r>
                      <w:instrText xml:space="preserve"> PAGE  \* Arabic  \* MERGEFORMAT </w:instrText>
                    </w:r>
                    <w:r w:rsidR="00B74BC5">
                      <w:fldChar w:fldCharType="separate"/>
                    </w:r>
                    <w:r w:rsidR="003A6CD6">
                      <w:rPr>
                        <w:noProof/>
                      </w:rPr>
                      <w:t>3</w:t>
                    </w:r>
                    <w:r w:rsidR="00B74BC5">
                      <w:fldChar w:fldCharType="end"/>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C318" w14:textId="1FE8037F" w:rsidR="008731BE" w:rsidRDefault="008D7F90">
    <w:pPr>
      <w:pStyle w:val="Header"/>
    </w:pPr>
    <w:r w:rsidRPr="007E54E1">
      <w:rPr>
        <w:noProof/>
      </w:rPr>
      <mc:AlternateContent>
        <mc:Choice Requires="wps">
          <w:drawing>
            <wp:anchor distT="45720" distB="45720" distL="114300" distR="114300" simplePos="0" relativeHeight="251670528" behindDoc="0" locked="0" layoutInCell="1" allowOverlap="1" wp14:anchorId="22DAEB57" wp14:editId="6C57F499">
              <wp:simplePos x="0" y="0"/>
              <wp:positionH relativeFrom="margin">
                <wp:posOffset>3369945</wp:posOffset>
              </wp:positionH>
              <wp:positionV relativeFrom="paragraph">
                <wp:posOffset>102870</wp:posOffset>
              </wp:positionV>
              <wp:extent cx="2907792" cy="140462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792" cy="1404620"/>
                      </a:xfrm>
                      <a:prstGeom prst="rect">
                        <a:avLst/>
                      </a:prstGeom>
                      <a:solidFill>
                        <a:srgbClr val="FFFFFF"/>
                      </a:solidFill>
                      <a:ln w="9525">
                        <a:noFill/>
                        <a:miter lim="800000"/>
                        <a:headEnd/>
                        <a:tailEnd/>
                      </a:ln>
                    </wps:spPr>
                    <wps:txbx>
                      <w:txbxContent>
                        <w:p w14:paraId="3A29243B" w14:textId="77777777" w:rsidR="008D7F90" w:rsidRDefault="008D7F90" w:rsidP="008D7F90">
                          <w:pPr>
                            <w:rPr>
                              <w:rFonts w:cs="Arial"/>
                              <w:sz w:val="15"/>
                              <w:szCs w:val="15"/>
                            </w:rPr>
                          </w:pPr>
                          <w:r w:rsidRPr="002004B4">
                            <w:rPr>
                              <w:rFonts w:cs="Arial"/>
                              <w:b/>
                              <w:sz w:val="15"/>
                              <w:szCs w:val="15"/>
                            </w:rPr>
                            <w:t>Bucharest Tower Center Building</w:t>
                          </w:r>
                          <w:r w:rsidRPr="002004B4">
                            <w:rPr>
                              <w:rFonts w:cs="Arial"/>
                              <w:sz w:val="15"/>
                              <w:szCs w:val="15"/>
                            </w:rPr>
                            <w:t xml:space="preserve">, 15-17 Ion Mihalache Blvd., </w:t>
                          </w:r>
                        </w:p>
                        <w:p w14:paraId="575FAC05" w14:textId="77777777" w:rsidR="008D7F90" w:rsidRPr="002004B4" w:rsidRDefault="008D7F90" w:rsidP="008D7F90">
                          <w:pPr>
                            <w:rPr>
                              <w:rFonts w:cs="Arial"/>
                              <w:sz w:val="15"/>
                              <w:szCs w:val="15"/>
                            </w:rPr>
                          </w:pPr>
                          <w:r w:rsidRPr="002004B4">
                            <w:rPr>
                              <w:rFonts w:cs="Arial"/>
                              <w:sz w:val="15"/>
                              <w:szCs w:val="15"/>
                            </w:rPr>
                            <w:t>Sector 1, 011171 Bucharest, Romania</w:t>
                          </w:r>
                          <w:r w:rsidRPr="002004B4">
                            <w:rPr>
                              <w:rFonts w:cs="Arial"/>
                              <w:sz w:val="15"/>
                              <w:szCs w:val="15"/>
                            </w:rPr>
                            <w:tab/>
                          </w:r>
                          <w:r w:rsidRPr="002004B4">
                            <w:rPr>
                              <w:rFonts w:cs="Arial"/>
                              <w:sz w:val="15"/>
                              <w:szCs w:val="15"/>
                            </w:rPr>
                            <w:tab/>
                          </w:r>
                        </w:p>
                        <w:p w14:paraId="0C572BB0" w14:textId="77777777" w:rsidR="008D7F90" w:rsidRPr="002004B4" w:rsidRDefault="008D7F90" w:rsidP="008D7F90">
                          <w:pPr>
                            <w:rPr>
                              <w:rFonts w:cs="Arial"/>
                              <w:sz w:val="15"/>
                              <w:szCs w:val="15"/>
                            </w:rPr>
                          </w:pPr>
                        </w:p>
                        <w:p w14:paraId="0733B9AF" w14:textId="77777777" w:rsidR="008D7F90" w:rsidRDefault="008D7F90" w:rsidP="008D7F90">
                          <w:pPr>
                            <w:rPr>
                              <w:rFonts w:cs="Arial"/>
                              <w:sz w:val="15"/>
                              <w:szCs w:val="15"/>
                            </w:rPr>
                          </w:pPr>
                          <w:r w:rsidRPr="002004B4">
                            <w:rPr>
                              <w:rFonts w:cs="Arial"/>
                              <w:sz w:val="15"/>
                              <w:szCs w:val="15"/>
                            </w:rPr>
                            <w:t xml:space="preserve">Tel:  +40 21 402 4000 | Fax: +40 21 310 6987 </w:t>
                          </w:r>
                        </w:p>
                        <w:p w14:paraId="666731A2" w14:textId="77777777" w:rsidR="008D7F90" w:rsidRPr="002004B4" w:rsidRDefault="008D7F90" w:rsidP="008D7F90">
                          <w:pPr>
                            <w:rPr>
                              <w:rFonts w:cs="Arial"/>
                              <w:sz w:val="15"/>
                              <w:szCs w:val="15"/>
                            </w:rPr>
                          </w:pPr>
                          <w:r w:rsidRPr="002004B4">
                            <w:rPr>
                              <w:rFonts w:cs="Arial"/>
                              <w:sz w:val="15"/>
                              <w:szCs w:val="15"/>
                            </w:rPr>
                            <w:t xml:space="preserve">E-mail: </w:t>
                          </w:r>
                          <w:r w:rsidRPr="00B11F7C">
                            <w:rPr>
                              <w:rFonts w:cs="Arial"/>
                              <w:sz w:val="15"/>
                              <w:szCs w:val="15"/>
                            </w:rPr>
                            <w:t>office@</w:t>
                          </w:r>
                          <w:r w:rsidRPr="00FC3AD0">
                            <w:rPr>
                              <w:rFonts w:cs="Arial"/>
                              <w:sz w:val="15"/>
                              <w:szCs w:val="15"/>
                            </w:rPr>
                            <w:t>bdattorneys.ro</w:t>
                          </w:r>
                          <w:r w:rsidRPr="00B11F7C">
                            <w:rPr>
                              <w:rFonts w:cs="Arial"/>
                              <w:sz w:val="15"/>
                              <w:szCs w:val="15"/>
                            </w:rPr>
                            <w:t>|</w:t>
                          </w:r>
                          <w:r>
                            <w:rPr>
                              <w:rFonts w:cs="Arial"/>
                              <w:sz w:val="15"/>
                              <w:szCs w:val="15"/>
                            </w:rPr>
                            <w:t xml:space="preserve"> Website: </w:t>
                          </w:r>
                          <w:r w:rsidRPr="002004B4">
                            <w:rPr>
                              <w:rFonts w:cs="Arial"/>
                              <w:sz w:val="15"/>
                              <w:szCs w:val="15"/>
                            </w:rPr>
                            <w:t>www.</w:t>
                          </w:r>
                          <w:r w:rsidRPr="00FC3AD0">
                            <w:rPr>
                              <w:rFonts w:cs="Arial"/>
                              <w:sz w:val="15"/>
                              <w:szCs w:val="15"/>
                            </w:rPr>
                            <w:t>bdattorneys.ro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DAEB57" id="_x0000_t202" coordsize="21600,21600" o:spt="202" path="m,l,21600r21600,l21600,xe">
              <v:stroke joinstyle="miter"/>
              <v:path gradientshapeok="t" o:connecttype="rect"/>
            </v:shapetype>
            <v:shape id="Text Box 2" o:spid="_x0000_s1028" type="#_x0000_t202" style="position:absolute;margin-left:265.35pt;margin-top:8.1pt;width:228.9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" stroked="f">
              <v:textbox style="mso-fit-shape-to-text:t">
                <w:txbxContent>
                  <w:p w14:paraId="3A29243B" w14:textId="77777777" w:rsidR="008D7F90" w:rsidRDefault="008D7F90" w:rsidP="008D7F90">
                    <w:pPr>
                      <w:rPr>
                        <w:rFonts w:cs="Arial"/>
                        <w:sz w:val="15"/>
                        <w:szCs w:val="15"/>
                      </w:rPr>
                    </w:pPr>
                    <w:r w:rsidRPr="002004B4">
                      <w:rPr>
                        <w:rFonts w:cs="Arial"/>
                        <w:b/>
                        <w:sz w:val="15"/>
                        <w:szCs w:val="15"/>
                      </w:rPr>
                      <w:t>Bucharest Tower Center Building</w:t>
                    </w:r>
                    <w:r w:rsidRPr="002004B4">
                      <w:rPr>
                        <w:rFonts w:cs="Arial"/>
                        <w:sz w:val="15"/>
                        <w:szCs w:val="15"/>
                      </w:rPr>
                      <w:t xml:space="preserve">, 15-17 Ion Mihalache Blvd., </w:t>
                    </w:r>
                  </w:p>
                  <w:p w14:paraId="575FAC05" w14:textId="77777777" w:rsidR="008D7F90" w:rsidRPr="002004B4" w:rsidRDefault="008D7F90" w:rsidP="008D7F90">
                    <w:pPr>
                      <w:rPr>
                        <w:rFonts w:cs="Arial"/>
                        <w:sz w:val="15"/>
                        <w:szCs w:val="15"/>
                      </w:rPr>
                    </w:pPr>
                    <w:r w:rsidRPr="002004B4">
                      <w:rPr>
                        <w:rFonts w:cs="Arial"/>
                        <w:sz w:val="15"/>
                        <w:szCs w:val="15"/>
                      </w:rPr>
                      <w:t>Sector 1, 011171 Bucharest, Romania</w:t>
                    </w:r>
                    <w:r w:rsidRPr="002004B4">
                      <w:rPr>
                        <w:rFonts w:cs="Arial"/>
                        <w:sz w:val="15"/>
                        <w:szCs w:val="15"/>
                      </w:rPr>
                      <w:tab/>
                    </w:r>
                    <w:r w:rsidRPr="002004B4">
                      <w:rPr>
                        <w:rFonts w:cs="Arial"/>
                        <w:sz w:val="15"/>
                        <w:szCs w:val="15"/>
                      </w:rPr>
                      <w:tab/>
                    </w:r>
                  </w:p>
                  <w:p w14:paraId="0C572BB0" w14:textId="77777777" w:rsidR="008D7F90" w:rsidRPr="002004B4" w:rsidRDefault="008D7F90" w:rsidP="008D7F90">
                    <w:pPr>
                      <w:rPr>
                        <w:rFonts w:cs="Arial"/>
                        <w:sz w:val="15"/>
                        <w:szCs w:val="15"/>
                      </w:rPr>
                    </w:pPr>
                  </w:p>
                  <w:p w14:paraId="0733B9AF" w14:textId="77777777" w:rsidR="008D7F90" w:rsidRDefault="008D7F90" w:rsidP="008D7F90">
                    <w:pPr>
                      <w:rPr>
                        <w:rFonts w:cs="Arial"/>
                        <w:sz w:val="15"/>
                        <w:szCs w:val="15"/>
                      </w:rPr>
                    </w:pPr>
                    <w:r w:rsidRPr="002004B4">
                      <w:rPr>
                        <w:rFonts w:cs="Arial"/>
                        <w:sz w:val="15"/>
                        <w:szCs w:val="15"/>
                      </w:rPr>
                      <w:t xml:space="preserve">Tel:  +40 21 402 4000 | Fax: +40 21 310 6987 </w:t>
                    </w:r>
                  </w:p>
                  <w:p w14:paraId="666731A2" w14:textId="77777777" w:rsidR="008D7F90" w:rsidRPr="002004B4" w:rsidRDefault="008D7F90" w:rsidP="008D7F90">
                    <w:pPr>
                      <w:rPr>
                        <w:rFonts w:cs="Arial"/>
                        <w:sz w:val="15"/>
                        <w:szCs w:val="15"/>
                      </w:rPr>
                    </w:pPr>
                    <w:r w:rsidRPr="002004B4">
                      <w:rPr>
                        <w:rFonts w:cs="Arial"/>
                        <w:sz w:val="15"/>
                        <w:szCs w:val="15"/>
                      </w:rPr>
                      <w:t xml:space="preserve">E-mail: </w:t>
                    </w:r>
                    <w:r w:rsidRPr="00B11F7C">
                      <w:rPr>
                        <w:rFonts w:cs="Arial"/>
                        <w:sz w:val="15"/>
                        <w:szCs w:val="15"/>
                      </w:rPr>
                      <w:t>office@</w:t>
                    </w:r>
                    <w:r w:rsidRPr="00FC3AD0">
                      <w:rPr>
                        <w:rFonts w:cs="Arial"/>
                        <w:sz w:val="15"/>
                        <w:szCs w:val="15"/>
                      </w:rPr>
                      <w:t>bdattorneys.ro</w:t>
                    </w:r>
                    <w:r w:rsidRPr="00B11F7C">
                      <w:rPr>
                        <w:rFonts w:cs="Arial"/>
                        <w:sz w:val="15"/>
                        <w:szCs w:val="15"/>
                      </w:rPr>
                      <w:t>|</w:t>
                    </w:r>
                    <w:r>
                      <w:rPr>
                        <w:rFonts w:cs="Arial"/>
                        <w:sz w:val="15"/>
                        <w:szCs w:val="15"/>
                      </w:rPr>
                      <w:t xml:space="preserve"> Website: </w:t>
                    </w:r>
                    <w:r w:rsidRPr="002004B4">
                      <w:rPr>
                        <w:rFonts w:cs="Arial"/>
                        <w:sz w:val="15"/>
                        <w:szCs w:val="15"/>
                      </w:rPr>
                      <w:t>www.</w:t>
                    </w:r>
                    <w:r w:rsidRPr="00FC3AD0">
                      <w:rPr>
                        <w:rFonts w:cs="Arial"/>
                        <w:sz w:val="15"/>
                        <w:szCs w:val="15"/>
                      </w:rPr>
                      <w:t>bdattorneys.ro</w:t>
                    </w:r>
                  </w:p>
                </w:txbxContent>
              </v:textbox>
              <w10:wrap type="square" anchorx="margin"/>
            </v:shape>
          </w:pict>
        </mc:Fallback>
      </mc:AlternateContent>
    </w:r>
    <w:r w:rsidR="00920EFF">
      <w:rPr>
        <w:noProof/>
      </w:rPr>
      <w:drawing>
        <wp:anchor distT="0" distB="0" distL="114300" distR="114300" simplePos="0" relativeHeight="251664384" behindDoc="0" locked="0" layoutInCell="1" allowOverlap="1" wp14:anchorId="5200A0B5" wp14:editId="2ED4F0DD">
          <wp:simplePos x="0" y="0"/>
          <wp:positionH relativeFrom="margin">
            <wp:posOffset>0</wp:posOffset>
          </wp:positionH>
          <wp:positionV relativeFrom="topMargin">
            <wp:posOffset>591185</wp:posOffset>
          </wp:positionV>
          <wp:extent cx="2103120" cy="666115"/>
          <wp:effectExtent l="0" t="0" r="0" b="0"/>
          <wp:wrapSquare wrapText="bothSides"/>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6661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6E80"/>
    <w:multiLevelType w:val="hybridMultilevel"/>
    <w:tmpl w:val="F6745320"/>
    <w:lvl w:ilvl="0" w:tplc="AB06A944">
      <w:start w:val="1"/>
      <w:numFmt w:val="bullet"/>
      <w:lvlText w:val=""/>
      <w:lvlJc w:val="left"/>
      <w:pPr>
        <w:ind w:left="5889" w:hanging="360"/>
      </w:pPr>
      <w:rPr>
        <w:rFonts w:ascii="Wingdings 3" w:hAnsi="Wingdings 3" w:hint="default"/>
        <w:sz w:val="16"/>
        <w:szCs w:val="16"/>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1" w15:restartNumberingAfterBreak="0">
    <w:nsid w:val="47E5569E"/>
    <w:multiLevelType w:val="hybridMultilevel"/>
    <w:tmpl w:val="39C23C88"/>
    <w:lvl w:ilvl="0" w:tplc="AB06A944">
      <w:start w:val="1"/>
      <w:numFmt w:val="bullet"/>
      <w:lvlText w:val=""/>
      <w:lvlJc w:val="left"/>
      <w:pPr>
        <w:ind w:left="720" w:hanging="360"/>
      </w:pPr>
      <w:rPr>
        <w:rFonts w:ascii="Wingdings 3" w:hAnsi="Wingdings 3"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83341">
    <w:abstractNumId w:val="1"/>
  </w:num>
  <w:num w:numId="2" w16cid:durableId="1085615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EA"/>
    <w:rsid w:val="00002F9B"/>
    <w:rsid w:val="000118C0"/>
    <w:rsid w:val="00011F0C"/>
    <w:rsid w:val="0001482B"/>
    <w:rsid w:val="00014FCA"/>
    <w:rsid w:val="000402A8"/>
    <w:rsid w:val="0004053B"/>
    <w:rsid w:val="000424CE"/>
    <w:rsid w:val="0004334D"/>
    <w:rsid w:val="000500F1"/>
    <w:rsid w:val="00051CFA"/>
    <w:rsid w:val="0005477E"/>
    <w:rsid w:val="00072965"/>
    <w:rsid w:val="000746E5"/>
    <w:rsid w:val="00092FF0"/>
    <w:rsid w:val="00093829"/>
    <w:rsid w:val="00094877"/>
    <w:rsid w:val="00095366"/>
    <w:rsid w:val="000A2E33"/>
    <w:rsid w:val="000A30C3"/>
    <w:rsid w:val="000A3147"/>
    <w:rsid w:val="000B0185"/>
    <w:rsid w:val="000B62F3"/>
    <w:rsid w:val="000D61B9"/>
    <w:rsid w:val="000E4E6A"/>
    <w:rsid w:val="000F0F7C"/>
    <w:rsid w:val="001026CF"/>
    <w:rsid w:val="00126C72"/>
    <w:rsid w:val="00136CE2"/>
    <w:rsid w:val="00136DDD"/>
    <w:rsid w:val="0013771C"/>
    <w:rsid w:val="00145617"/>
    <w:rsid w:val="00146B1C"/>
    <w:rsid w:val="00163F8D"/>
    <w:rsid w:val="00170FD9"/>
    <w:rsid w:val="0017314E"/>
    <w:rsid w:val="001772ED"/>
    <w:rsid w:val="00186D3B"/>
    <w:rsid w:val="001879EC"/>
    <w:rsid w:val="001961EC"/>
    <w:rsid w:val="001977A3"/>
    <w:rsid w:val="001A3245"/>
    <w:rsid w:val="001A4B8A"/>
    <w:rsid w:val="001B0350"/>
    <w:rsid w:val="001B4DA6"/>
    <w:rsid w:val="001B7D9D"/>
    <w:rsid w:val="001C4197"/>
    <w:rsid w:val="001C60D3"/>
    <w:rsid w:val="001D18FB"/>
    <w:rsid w:val="001D63F1"/>
    <w:rsid w:val="001E18A9"/>
    <w:rsid w:val="001F2A24"/>
    <w:rsid w:val="001F5517"/>
    <w:rsid w:val="0020127C"/>
    <w:rsid w:val="00204B97"/>
    <w:rsid w:val="0021746D"/>
    <w:rsid w:val="0022335F"/>
    <w:rsid w:val="002240EA"/>
    <w:rsid w:val="00224196"/>
    <w:rsid w:val="00236C2F"/>
    <w:rsid w:val="00240106"/>
    <w:rsid w:val="002540CB"/>
    <w:rsid w:val="002641C8"/>
    <w:rsid w:val="00272E7E"/>
    <w:rsid w:val="00291253"/>
    <w:rsid w:val="002A1863"/>
    <w:rsid w:val="002A3E77"/>
    <w:rsid w:val="002A476A"/>
    <w:rsid w:val="002B316E"/>
    <w:rsid w:val="002D03C9"/>
    <w:rsid w:val="002D245C"/>
    <w:rsid w:val="002D48E2"/>
    <w:rsid w:val="002D663B"/>
    <w:rsid w:val="002F0D67"/>
    <w:rsid w:val="002F5C56"/>
    <w:rsid w:val="002F7F9E"/>
    <w:rsid w:val="00302ABE"/>
    <w:rsid w:val="00305E50"/>
    <w:rsid w:val="00312963"/>
    <w:rsid w:val="00316676"/>
    <w:rsid w:val="00333279"/>
    <w:rsid w:val="003367D0"/>
    <w:rsid w:val="00343922"/>
    <w:rsid w:val="00352BEF"/>
    <w:rsid w:val="00370D92"/>
    <w:rsid w:val="00374FEA"/>
    <w:rsid w:val="003908A8"/>
    <w:rsid w:val="003A2749"/>
    <w:rsid w:val="003A6CD6"/>
    <w:rsid w:val="003B7197"/>
    <w:rsid w:val="003B75BF"/>
    <w:rsid w:val="003C120F"/>
    <w:rsid w:val="003C4618"/>
    <w:rsid w:val="003D247A"/>
    <w:rsid w:val="003F4F3D"/>
    <w:rsid w:val="004041EB"/>
    <w:rsid w:val="00412E12"/>
    <w:rsid w:val="00413663"/>
    <w:rsid w:val="00415BE2"/>
    <w:rsid w:val="00423019"/>
    <w:rsid w:val="004310C7"/>
    <w:rsid w:val="004360DE"/>
    <w:rsid w:val="00442438"/>
    <w:rsid w:val="00453BEA"/>
    <w:rsid w:val="0046717B"/>
    <w:rsid w:val="00480BD2"/>
    <w:rsid w:val="00486F15"/>
    <w:rsid w:val="00490A99"/>
    <w:rsid w:val="0049335B"/>
    <w:rsid w:val="004A3D7C"/>
    <w:rsid w:val="004B159A"/>
    <w:rsid w:val="004C7758"/>
    <w:rsid w:val="004E1A81"/>
    <w:rsid w:val="004E3CC7"/>
    <w:rsid w:val="004F070B"/>
    <w:rsid w:val="004F2746"/>
    <w:rsid w:val="004F5813"/>
    <w:rsid w:val="005045C1"/>
    <w:rsid w:val="005132A6"/>
    <w:rsid w:val="00517A33"/>
    <w:rsid w:val="00535653"/>
    <w:rsid w:val="00535C70"/>
    <w:rsid w:val="00545F9B"/>
    <w:rsid w:val="005469EB"/>
    <w:rsid w:val="00554419"/>
    <w:rsid w:val="005611A0"/>
    <w:rsid w:val="0056122D"/>
    <w:rsid w:val="00566C2A"/>
    <w:rsid w:val="0057371A"/>
    <w:rsid w:val="00581424"/>
    <w:rsid w:val="00582EFC"/>
    <w:rsid w:val="005859A1"/>
    <w:rsid w:val="00593641"/>
    <w:rsid w:val="005A383F"/>
    <w:rsid w:val="005B2DF6"/>
    <w:rsid w:val="005B6C1F"/>
    <w:rsid w:val="005C07C8"/>
    <w:rsid w:val="005C110F"/>
    <w:rsid w:val="005C2734"/>
    <w:rsid w:val="005C2A47"/>
    <w:rsid w:val="005C40DD"/>
    <w:rsid w:val="005C673A"/>
    <w:rsid w:val="005D432C"/>
    <w:rsid w:val="005D5870"/>
    <w:rsid w:val="005D5BE6"/>
    <w:rsid w:val="005E0311"/>
    <w:rsid w:val="005E3F4A"/>
    <w:rsid w:val="005F0C14"/>
    <w:rsid w:val="005F2079"/>
    <w:rsid w:val="00603EB3"/>
    <w:rsid w:val="00604BAC"/>
    <w:rsid w:val="00622127"/>
    <w:rsid w:val="006272F6"/>
    <w:rsid w:val="00634DD2"/>
    <w:rsid w:val="00662571"/>
    <w:rsid w:val="00662B79"/>
    <w:rsid w:val="00663786"/>
    <w:rsid w:val="00665728"/>
    <w:rsid w:val="006757D3"/>
    <w:rsid w:val="00681BC5"/>
    <w:rsid w:val="00682376"/>
    <w:rsid w:val="00686F9A"/>
    <w:rsid w:val="00690AA2"/>
    <w:rsid w:val="006A1B66"/>
    <w:rsid w:val="006A7950"/>
    <w:rsid w:val="006B5E42"/>
    <w:rsid w:val="006B76B4"/>
    <w:rsid w:val="006C53A4"/>
    <w:rsid w:val="006C6879"/>
    <w:rsid w:val="006D1A3D"/>
    <w:rsid w:val="006D7B6E"/>
    <w:rsid w:val="006F19A1"/>
    <w:rsid w:val="006F2BCD"/>
    <w:rsid w:val="006F759F"/>
    <w:rsid w:val="00700AE8"/>
    <w:rsid w:val="00713CF2"/>
    <w:rsid w:val="00714AB4"/>
    <w:rsid w:val="007229A9"/>
    <w:rsid w:val="00724414"/>
    <w:rsid w:val="00740400"/>
    <w:rsid w:val="00742BE4"/>
    <w:rsid w:val="007434E3"/>
    <w:rsid w:val="007454AC"/>
    <w:rsid w:val="00745904"/>
    <w:rsid w:val="007537D0"/>
    <w:rsid w:val="00773105"/>
    <w:rsid w:val="00773A6C"/>
    <w:rsid w:val="00780674"/>
    <w:rsid w:val="007839B1"/>
    <w:rsid w:val="00783F72"/>
    <w:rsid w:val="007858E4"/>
    <w:rsid w:val="00791BF9"/>
    <w:rsid w:val="00792860"/>
    <w:rsid w:val="00797F0D"/>
    <w:rsid w:val="007A2060"/>
    <w:rsid w:val="007A2745"/>
    <w:rsid w:val="007B176D"/>
    <w:rsid w:val="007C5366"/>
    <w:rsid w:val="007D69DD"/>
    <w:rsid w:val="007E69BE"/>
    <w:rsid w:val="007E7FC5"/>
    <w:rsid w:val="007F01A3"/>
    <w:rsid w:val="008016BB"/>
    <w:rsid w:val="00801E20"/>
    <w:rsid w:val="00802161"/>
    <w:rsid w:val="0081476F"/>
    <w:rsid w:val="00831774"/>
    <w:rsid w:val="00836CE8"/>
    <w:rsid w:val="00844C29"/>
    <w:rsid w:val="0084510C"/>
    <w:rsid w:val="00852838"/>
    <w:rsid w:val="008558A6"/>
    <w:rsid w:val="00855B2F"/>
    <w:rsid w:val="00866672"/>
    <w:rsid w:val="00883BBD"/>
    <w:rsid w:val="00884454"/>
    <w:rsid w:val="00890C55"/>
    <w:rsid w:val="008A041B"/>
    <w:rsid w:val="008A6BA4"/>
    <w:rsid w:val="008C39E8"/>
    <w:rsid w:val="008C419D"/>
    <w:rsid w:val="008D01A6"/>
    <w:rsid w:val="008D2DD2"/>
    <w:rsid w:val="008D7F90"/>
    <w:rsid w:val="008E0658"/>
    <w:rsid w:val="008F48A3"/>
    <w:rsid w:val="00906E2D"/>
    <w:rsid w:val="00916D09"/>
    <w:rsid w:val="009179C9"/>
    <w:rsid w:val="00920EFF"/>
    <w:rsid w:val="00923387"/>
    <w:rsid w:val="009238BB"/>
    <w:rsid w:val="00925B00"/>
    <w:rsid w:val="009347C4"/>
    <w:rsid w:val="009604AA"/>
    <w:rsid w:val="009631B0"/>
    <w:rsid w:val="009825DB"/>
    <w:rsid w:val="00995652"/>
    <w:rsid w:val="00995A75"/>
    <w:rsid w:val="00995B87"/>
    <w:rsid w:val="009A42E1"/>
    <w:rsid w:val="009B2E5E"/>
    <w:rsid w:val="009B647A"/>
    <w:rsid w:val="009C66D9"/>
    <w:rsid w:val="009D38F7"/>
    <w:rsid w:val="009D4779"/>
    <w:rsid w:val="009E02CD"/>
    <w:rsid w:val="009E73DA"/>
    <w:rsid w:val="009F6941"/>
    <w:rsid w:val="009F6FB0"/>
    <w:rsid w:val="00A00281"/>
    <w:rsid w:val="00A04348"/>
    <w:rsid w:val="00A05ED6"/>
    <w:rsid w:val="00A06982"/>
    <w:rsid w:val="00A141B7"/>
    <w:rsid w:val="00A22984"/>
    <w:rsid w:val="00A31C23"/>
    <w:rsid w:val="00A36B09"/>
    <w:rsid w:val="00A37BE0"/>
    <w:rsid w:val="00A43387"/>
    <w:rsid w:val="00A44E41"/>
    <w:rsid w:val="00A508BF"/>
    <w:rsid w:val="00A50B26"/>
    <w:rsid w:val="00A5647F"/>
    <w:rsid w:val="00A57603"/>
    <w:rsid w:val="00A646D4"/>
    <w:rsid w:val="00A77048"/>
    <w:rsid w:val="00A77C4A"/>
    <w:rsid w:val="00A82698"/>
    <w:rsid w:val="00A96FD6"/>
    <w:rsid w:val="00A973D4"/>
    <w:rsid w:val="00A97F7F"/>
    <w:rsid w:val="00AA520B"/>
    <w:rsid w:val="00AC3380"/>
    <w:rsid w:val="00AD702C"/>
    <w:rsid w:val="00AE4226"/>
    <w:rsid w:val="00AF02ED"/>
    <w:rsid w:val="00AF331B"/>
    <w:rsid w:val="00AF4E0F"/>
    <w:rsid w:val="00AF62B9"/>
    <w:rsid w:val="00B02C6A"/>
    <w:rsid w:val="00B04D40"/>
    <w:rsid w:val="00B17C13"/>
    <w:rsid w:val="00B226EF"/>
    <w:rsid w:val="00B259BF"/>
    <w:rsid w:val="00B35D2D"/>
    <w:rsid w:val="00B35DE2"/>
    <w:rsid w:val="00B4327D"/>
    <w:rsid w:val="00B47CF7"/>
    <w:rsid w:val="00B51B49"/>
    <w:rsid w:val="00B5320E"/>
    <w:rsid w:val="00B65078"/>
    <w:rsid w:val="00B74BC5"/>
    <w:rsid w:val="00B7561C"/>
    <w:rsid w:val="00B84411"/>
    <w:rsid w:val="00BA0914"/>
    <w:rsid w:val="00BA5491"/>
    <w:rsid w:val="00BA5A90"/>
    <w:rsid w:val="00BA625C"/>
    <w:rsid w:val="00BB6595"/>
    <w:rsid w:val="00BC0EA8"/>
    <w:rsid w:val="00BC316E"/>
    <w:rsid w:val="00BD1584"/>
    <w:rsid w:val="00BD66D5"/>
    <w:rsid w:val="00BE131B"/>
    <w:rsid w:val="00BE51F4"/>
    <w:rsid w:val="00BE6A7C"/>
    <w:rsid w:val="00BE7E5F"/>
    <w:rsid w:val="00BF4B62"/>
    <w:rsid w:val="00C021FD"/>
    <w:rsid w:val="00C03C83"/>
    <w:rsid w:val="00C0545B"/>
    <w:rsid w:val="00C05EE0"/>
    <w:rsid w:val="00C22B6E"/>
    <w:rsid w:val="00C249F4"/>
    <w:rsid w:val="00C33916"/>
    <w:rsid w:val="00C351F0"/>
    <w:rsid w:val="00C47837"/>
    <w:rsid w:val="00C61E59"/>
    <w:rsid w:val="00C658DB"/>
    <w:rsid w:val="00C676BF"/>
    <w:rsid w:val="00C679D2"/>
    <w:rsid w:val="00C771E8"/>
    <w:rsid w:val="00C86014"/>
    <w:rsid w:val="00C95394"/>
    <w:rsid w:val="00C95A22"/>
    <w:rsid w:val="00CA43A1"/>
    <w:rsid w:val="00CA47A2"/>
    <w:rsid w:val="00CC3424"/>
    <w:rsid w:val="00CD3675"/>
    <w:rsid w:val="00CD4936"/>
    <w:rsid w:val="00CE59A7"/>
    <w:rsid w:val="00D011F9"/>
    <w:rsid w:val="00D14D17"/>
    <w:rsid w:val="00D15495"/>
    <w:rsid w:val="00D16246"/>
    <w:rsid w:val="00D23151"/>
    <w:rsid w:val="00D2420F"/>
    <w:rsid w:val="00D33067"/>
    <w:rsid w:val="00D337B4"/>
    <w:rsid w:val="00D34D3D"/>
    <w:rsid w:val="00D4392C"/>
    <w:rsid w:val="00D50C87"/>
    <w:rsid w:val="00D51BB0"/>
    <w:rsid w:val="00D70E75"/>
    <w:rsid w:val="00D71A46"/>
    <w:rsid w:val="00D74301"/>
    <w:rsid w:val="00D74D81"/>
    <w:rsid w:val="00D84746"/>
    <w:rsid w:val="00D852D5"/>
    <w:rsid w:val="00D914C2"/>
    <w:rsid w:val="00D93FDF"/>
    <w:rsid w:val="00DB18FD"/>
    <w:rsid w:val="00DD2BBA"/>
    <w:rsid w:val="00DE1158"/>
    <w:rsid w:val="00DE2102"/>
    <w:rsid w:val="00DE3589"/>
    <w:rsid w:val="00DE38A3"/>
    <w:rsid w:val="00DE3FBC"/>
    <w:rsid w:val="00DE40D0"/>
    <w:rsid w:val="00DE6D4B"/>
    <w:rsid w:val="00DF1741"/>
    <w:rsid w:val="00E001CF"/>
    <w:rsid w:val="00E04CD5"/>
    <w:rsid w:val="00E077AF"/>
    <w:rsid w:val="00E105A0"/>
    <w:rsid w:val="00E12EC3"/>
    <w:rsid w:val="00E17307"/>
    <w:rsid w:val="00E2086A"/>
    <w:rsid w:val="00E2421D"/>
    <w:rsid w:val="00E268D9"/>
    <w:rsid w:val="00E37840"/>
    <w:rsid w:val="00E52E86"/>
    <w:rsid w:val="00E604EA"/>
    <w:rsid w:val="00E7570A"/>
    <w:rsid w:val="00E76172"/>
    <w:rsid w:val="00E9730D"/>
    <w:rsid w:val="00EA1CC7"/>
    <w:rsid w:val="00EB07FA"/>
    <w:rsid w:val="00EB1E84"/>
    <w:rsid w:val="00EB40F2"/>
    <w:rsid w:val="00EB5880"/>
    <w:rsid w:val="00EB7094"/>
    <w:rsid w:val="00EC3845"/>
    <w:rsid w:val="00ED63B2"/>
    <w:rsid w:val="00ED69DC"/>
    <w:rsid w:val="00EE06F9"/>
    <w:rsid w:val="00EE7B3A"/>
    <w:rsid w:val="00EF321A"/>
    <w:rsid w:val="00EF46A2"/>
    <w:rsid w:val="00EF6DDC"/>
    <w:rsid w:val="00F03A14"/>
    <w:rsid w:val="00F067E1"/>
    <w:rsid w:val="00F15389"/>
    <w:rsid w:val="00F276CE"/>
    <w:rsid w:val="00F311AB"/>
    <w:rsid w:val="00F34E5B"/>
    <w:rsid w:val="00F35DD4"/>
    <w:rsid w:val="00F40545"/>
    <w:rsid w:val="00F4119B"/>
    <w:rsid w:val="00F41DC8"/>
    <w:rsid w:val="00F46A6D"/>
    <w:rsid w:val="00F54ED1"/>
    <w:rsid w:val="00F55C40"/>
    <w:rsid w:val="00F61A55"/>
    <w:rsid w:val="00F636D9"/>
    <w:rsid w:val="00F66E7B"/>
    <w:rsid w:val="00F67A4A"/>
    <w:rsid w:val="00F71FD8"/>
    <w:rsid w:val="00F8222F"/>
    <w:rsid w:val="00F82F37"/>
    <w:rsid w:val="00F840A5"/>
    <w:rsid w:val="00F84284"/>
    <w:rsid w:val="00F86048"/>
    <w:rsid w:val="00F97025"/>
    <w:rsid w:val="00F97E81"/>
    <w:rsid w:val="00FA1CCA"/>
    <w:rsid w:val="00FD1386"/>
    <w:rsid w:val="00FD21B9"/>
    <w:rsid w:val="00FD3F66"/>
    <w:rsid w:val="00FD63CC"/>
    <w:rsid w:val="00FF0CAA"/>
    <w:rsid w:val="00FF1A6E"/>
    <w:rsid w:val="00FF39B7"/>
    <w:rsid w:val="00FF3CCB"/>
    <w:rsid w:val="00FF404D"/>
    <w:rsid w:val="00FF5A1C"/>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7E3A6"/>
  <w15:docId w15:val="{EFF560BA-EC5E-46BB-A6C7-3320D216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4EA"/>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04EA"/>
    <w:pPr>
      <w:tabs>
        <w:tab w:val="center" w:pos="4320"/>
        <w:tab w:val="right" w:pos="8640"/>
      </w:tabs>
    </w:pPr>
  </w:style>
  <w:style w:type="character" w:customStyle="1" w:styleId="HeaderChar">
    <w:name w:val="Header Char"/>
    <w:basedOn w:val="DefaultParagraphFont"/>
    <w:link w:val="Header"/>
    <w:rsid w:val="00E604EA"/>
    <w:rPr>
      <w:rFonts w:ascii="Arial" w:eastAsia="Times New Roman" w:hAnsi="Arial" w:cs="Times New Roman"/>
      <w:sz w:val="20"/>
      <w:szCs w:val="24"/>
      <w:lang w:val="ro-RO"/>
    </w:rPr>
  </w:style>
  <w:style w:type="paragraph" w:customStyle="1" w:styleId="EYBoldsubjectheading">
    <w:name w:val="EY Bold subject heading"/>
    <w:basedOn w:val="Normal"/>
    <w:rsid w:val="00E604EA"/>
    <w:pPr>
      <w:suppressAutoHyphens/>
      <w:spacing w:before="480" w:line="260" w:lineRule="atLeast"/>
    </w:pPr>
    <w:rPr>
      <w:b/>
      <w:kern w:val="12"/>
      <w:sz w:val="26"/>
    </w:rPr>
  </w:style>
  <w:style w:type="paragraph" w:customStyle="1" w:styleId="EYFooterinfo">
    <w:name w:val="EY Footer info"/>
    <w:basedOn w:val="Normal"/>
    <w:rsid w:val="00E604EA"/>
    <w:pPr>
      <w:suppressAutoHyphens/>
    </w:pPr>
    <w:rPr>
      <w:color w:val="808080"/>
      <w:kern w:val="12"/>
      <w:sz w:val="11"/>
    </w:rPr>
  </w:style>
  <w:style w:type="paragraph" w:customStyle="1" w:styleId="EYDocumentpromptsbold">
    <w:name w:val="EY Document prompts (bold)"/>
    <w:basedOn w:val="Normal"/>
    <w:uiPriority w:val="99"/>
    <w:rsid w:val="00E604EA"/>
    <w:pPr>
      <w:suppressAutoHyphens/>
      <w:spacing w:line="260" w:lineRule="atLeast"/>
    </w:pPr>
    <w:rPr>
      <w:rFonts w:ascii="Arial Bold" w:hAnsi="Arial Bold"/>
      <w:b/>
      <w:kern w:val="12"/>
    </w:rPr>
  </w:style>
  <w:style w:type="paragraph" w:customStyle="1" w:styleId="EYContinuationheader">
    <w:name w:val="EY Continuation header"/>
    <w:basedOn w:val="Normal"/>
    <w:rsid w:val="00E604EA"/>
    <w:pPr>
      <w:tabs>
        <w:tab w:val="left" w:pos="2495"/>
      </w:tabs>
      <w:suppressAutoHyphens/>
      <w:spacing w:line="260" w:lineRule="atLeast"/>
    </w:pPr>
    <w:rPr>
      <w:kern w:val="12"/>
    </w:rPr>
  </w:style>
  <w:style w:type="paragraph" w:styleId="Footer">
    <w:name w:val="footer"/>
    <w:basedOn w:val="Normal"/>
    <w:link w:val="FooterChar"/>
    <w:rsid w:val="00E604EA"/>
    <w:pPr>
      <w:tabs>
        <w:tab w:val="center" w:pos="4320"/>
        <w:tab w:val="right" w:pos="8640"/>
      </w:tabs>
    </w:pPr>
  </w:style>
  <w:style w:type="character" w:customStyle="1" w:styleId="FooterChar">
    <w:name w:val="Footer Char"/>
    <w:basedOn w:val="DefaultParagraphFont"/>
    <w:link w:val="Footer"/>
    <w:rsid w:val="00E604EA"/>
    <w:rPr>
      <w:rFonts w:ascii="Arial" w:eastAsia="Times New Roman" w:hAnsi="Arial" w:cs="Times New Roman"/>
      <w:sz w:val="20"/>
      <w:szCs w:val="24"/>
      <w:lang w:val="ro-RO"/>
    </w:rPr>
  </w:style>
  <w:style w:type="character" w:customStyle="1" w:styleId="EYBodytextwithparaspaceChar">
    <w:name w:val="EY Body text (with para space) Char"/>
    <w:basedOn w:val="DefaultParagraphFont"/>
    <w:link w:val="EYBodytextwithparaspace"/>
    <w:rsid w:val="00E604EA"/>
    <w:rPr>
      <w:rFonts w:ascii="Arial" w:hAnsi="Arial"/>
      <w:kern w:val="12"/>
      <w:szCs w:val="24"/>
    </w:rPr>
  </w:style>
  <w:style w:type="paragraph" w:customStyle="1" w:styleId="EYBodytextsubhead2">
    <w:name w:val="EY Body text subhead 2"/>
    <w:basedOn w:val="Normal"/>
    <w:rsid w:val="00E604EA"/>
    <w:pPr>
      <w:tabs>
        <w:tab w:val="left" w:pos="907"/>
      </w:tabs>
      <w:suppressAutoHyphens/>
      <w:spacing w:after="200" w:line="500" w:lineRule="atLeast"/>
    </w:pPr>
    <w:rPr>
      <w:rFonts w:ascii="Arial Bold" w:hAnsi="Arial Bold"/>
      <w:b/>
      <w:i/>
      <w:kern w:val="12"/>
    </w:rPr>
  </w:style>
  <w:style w:type="paragraph" w:customStyle="1" w:styleId="EYBodytextwithparaspace">
    <w:name w:val="EY Body text (with para space)"/>
    <w:basedOn w:val="Normal"/>
    <w:link w:val="EYBodytextwithparaspaceChar"/>
    <w:rsid w:val="00E604EA"/>
    <w:pPr>
      <w:tabs>
        <w:tab w:val="left" w:pos="907"/>
      </w:tabs>
      <w:suppressAutoHyphens/>
      <w:spacing w:after="400" w:line="360" w:lineRule="auto"/>
    </w:pPr>
    <w:rPr>
      <w:rFonts w:eastAsiaTheme="minorHAnsi" w:cstheme="minorBidi"/>
      <w:kern w:val="12"/>
      <w:sz w:val="22"/>
    </w:rPr>
  </w:style>
  <w:style w:type="paragraph" w:customStyle="1" w:styleId="EYHeading2">
    <w:name w:val="EY Heading 2"/>
    <w:basedOn w:val="Normal"/>
    <w:next w:val="EYBodytextwithparaspace"/>
    <w:link w:val="EYHeading2Char"/>
    <w:uiPriority w:val="99"/>
    <w:rsid w:val="00E604EA"/>
    <w:pPr>
      <w:keepNext/>
      <w:suppressAutoHyphens/>
      <w:spacing w:before="120" w:after="120"/>
    </w:pPr>
    <w:rPr>
      <w:b/>
      <w:kern w:val="12"/>
      <w:sz w:val="22"/>
    </w:rPr>
  </w:style>
  <w:style w:type="character" w:customStyle="1" w:styleId="EYHeading2Char">
    <w:name w:val="EY Heading 2 Char"/>
    <w:basedOn w:val="DefaultParagraphFont"/>
    <w:link w:val="EYHeading2"/>
    <w:uiPriority w:val="99"/>
    <w:locked/>
    <w:rsid w:val="00E604EA"/>
    <w:rPr>
      <w:rFonts w:ascii="Arial" w:eastAsia="Times New Roman" w:hAnsi="Arial" w:cs="Times New Roman"/>
      <w:b/>
      <w:kern w:val="12"/>
      <w:szCs w:val="24"/>
    </w:rPr>
  </w:style>
  <w:style w:type="character" w:customStyle="1" w:styleId="EYNormalChar">
    <w:name w:val="EY Normal Char"/>
    <w:basedOn w:val="DefaultParagraphFont"/>
    <w:link w:val="EYNormal"/>
    <w:locked/>
    <w:rsid w:val="00E604EA"/>
    <w:rPr>
      <w:rFonts w:cs="Times New Roman"/>
      <w:kern w:val="12"/>
      <w:szCs w:val="24"/>
    </w:rPr>
  </w:style>
  <w:style w:type="paragraph" w:customStyle="1" w:styleId="EYNormal">
    <w:name w:val="EY Normal"/>
    <w:link w:val="EYNormalChar"/>
    <w:rsid w:val="00E604EA"/>
    <w:pPr>
      <w:suppressAutoHyphens/>
      <w:spacing w:after="0" w:line="240" w:lineRule="auto"/>
    </w:pPr>
    <w:rPr>
      <w:rFonts w:cs="Times New Roman"/>
      <w:kern w:val="12"/>
      <w:szCs w:val="24"/>
    </w:rPr>
  </w:style>
  <w:style w:type="character" w:styleId="Hyperlink">
    <w:name w:val="Hyperlink"/>
    <w:basedOn w:val="DefaultParagraphFont"/>
    <w:uiPriority w:val="99"/>
    <w:unhideWhenUsed/>
    <w:rsid w:val="00E604EA"/>
    <w:rPr>
      <w:color w:val="0563C1" w:themeColor="hyperlink"/>
      <w:u w:val="single"/>
    </w:rPr>
  </w:style>
  <w:style w:type="character" w:styleId="CommentReference">
    <w:name w:val="annotation reference"/>
    <w:basedOn w:val="DefaultParagraphFont"/>
    <w:uiPriority w:val="99"/>
    <w:semiHidden/>
    <w:unhideWhenUsed/>
    <w:rsid w:val="008D01A6"/>
    <w:rPr>
      <w:sz w:val="16"/>
      <w:szCs w:val="16"/>
    </w:rPr>
  </w:style>
  <w:style w:type="paragraph" w:styleId="CommentText">
    <w:name w:val="annotation text"/>
    <w:basedOn w:val="Normal"/>
    <w:link w:val="CommentTextChar"/>
    <w:uiPriority w:val="99"/>
    <w:semiHidden/>
    <w:unhideWhenUsed/>
    <w:rsid w:val="008D01A6"/>
    <w:rPr>
      <w:szCs w:val="20"/>
    </w:rPr>
  </w:style>
  <w:style w:type="character" w:customStyle="1" w:styleId="CommentTextChar">
    <w:name w:val="Comment Text Char"/>
    <w:basedOn w:val="DefaultParagraphFont"/>
    <w:link w:val="CommentText"/>
    <w:uiPriority w:val="99"/>
    <w:semiHidden/>
    <w:rsid w:val="008D01A6"/>
    <w:rPr>
      <w:rFonts w:ascii="Arial" w:eastAsia="Times New Roman" w:hAnsi="Arial"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8D01A6"/>
    <w:rPr>
      <w:b/>
      <w:bCs/>
    </w:rPr>
  </w:style>
  <w:style w:type="character" w:customStyle="1" w:styleId="CommentSubjectChar">
    <w:name w:val="Comment Subject Char"/>
    <w:basedOn w:val="CommentTextChar"/>
    <w:link w:val="CommentSubject"/>
    <w:uiPriority w:val="99"/>
    <w:semiHidden/>
    <w:rsid w:val="008D01A6"/>
    <w:rPr>
      <w:rFonts w:ascii="Arial" w:eastAsia="Times New Roman" w:hAnsi="Arial" w:cs="Times New Roman"/>
      <w:b/>
      <w:bCs/>
      <w:sz w:val="20"/>
      <w:szCs w:val="20"/>
      <w:lang w:val="ro-RO"/>
    </w:rPr>
  </w:style>
  <w:style w:type="paragraph" w:styleId="BalloonText">
    <w:name w:val="Balloon Text"/>
    <w:basedOn w:val="Normal"/>
    <w:link w:val="BalloonTextChar"/>
    <w:uiPriority w:val="99"/>
    <w:semiHidden/>
    <w:unhideWhenUsed/>
    <w:rsid w:val="008D0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1A6"/>
    <w:rPr>
      <w:rFonts w:ascii="Segoe UI" w:eastAsia="Times New Roman" w:hAnsi="Segoe UI" w:cs="Segoe UI"/>
      <w:sz w:val="18"/>
      <w:szCs w:val="18"/>
      <w:lang w:val="ro-RO"/>
    </w:rPr>
  </w:style>
  <w:style w:type="character" w:styleId="FollowedHyperlink">
    <w:name w:val="FollowedHyperlink"/>
    <w:basedOn w:val="DefaultParagraphFont"/>
    <w:uiPriority w:val="99"/>
    <w:semiHidden/>
    <w:unhideWhenUsed/>
    <w:rsid w:val="0057371A"/>
    <w:rPr>
      <w:color w:val="954F72" w:themeColor="followedHyperlink"/>
      <w:u w:val="single"/>
    </w:rPr>
  </w:style>
  <w:style w:type="character" w:customStyle="1" w:styleId="MeniuneNerezolvat1">
    <w:name w:val="Mențiune Nerezolvat1"/>
    <w:basedOn w:val="DefaultParagraphFont"/>
    <w:uiPriority w:val="99"/>
    <w:semiHidden/>
    <w:unhideWhenUsed/>
    <w:rsid w:val="007D69DD"/>
    <w:rPr>
      <w:color w:val="605E5C"/>
      <w:shd w:val="clear" w:color="auto" w:fill="E1DFDD"/>
    </w:rPr>
  </w:style>
  <w:style w:type="paragraph" w:customStyle="1" w:styleId="EYDocumenttitle">
    <w:name w:val="EY Document title"/>
    <w:basedOn w:val="Normal"/>
    <w:next w:val="Normal"/>
    <w:uiPriority w:val="99"/>
    <w:rsid w:val="000A30C3"/>
    <w:pPr>
      <w:suppressAutoHyphens/>
    </w:pPr>
    <w:rPr>
      <w:spacing w:val="-4"/>
      <w:kern w:val="12"/>
      <w:sz w:val="36"/>
    </w:rPr>
  </w:style>
  <w:style w:type="paragraph" w:customStyle="1" w:styleId="EYDocumentprompts">
    <w:name w:val="EY Document prompts"/>
    <w:basedOn w:val="EYNormal"/>
    <w:uiPriority w:val="99"/>
    <w:rsid w:val="000A30C3"/>
    <w:pPr>
      <w:spacing w:before="60" w:after="60" w:line="240" w:lineRule="atLeast"/>
    </w:pPr>
    <w:rPr>
      <w:rFonts w:ascii="Arial" w:eastAsia="Times New Roman" w:hAnsi="Arial"/>
      <w:sz w:val="20"/>
      <w:lang w:val="en-GB"/>
    </w:rPr>
  </w:style>
  <w:style w:type="character" w:customStyle="1" w:styleId="MeniuneNerezolvat2">
    <w:name w:val="Mențiune Nerezolvat2"/>
    <w:basedOn w:val="DefaultParagraphFont"/>
    <w:uiPriority w:val="99"/>
    <w:semiHidden/>
    <w:unhideWhenUsed/>
    <w:rsid w:val="000A30C3"/>
    <w:rPr>
      <w:color w:val="605E5C"/>
      <w:shd w:val="clear" w:color="auto" w:fill="E1DFDD"/>
    </w:rPr>
  </w:style>
  <w:style w:type="paragraph" w:styleId="NormalWeb">
    <w:name w:val="Normal (Web)"/>
    <w:basedOn w:val="Normal"/>
    <w:uiPriority w:val="99"/>
    <w:unhideWhenUsed/>
    <w:rsid w:val="00072965"/>
    <w:pPr>
      <w:spacing w:before="100" w:beforeAutospacing="1" w:after="100" w:afterAutospacing="1"/>
    </w:pPr>
    <w:rPr>
      <w:rFonts w:ascii="Times New Roman" w:eastAsiaTheme="minorHAnsi" w:hAnsi="Times New Roman"/>
      <w:sz w:val="24"/>
      <w:lang w:eastAsia="ro-RO"/>
    </w:rPr>
  </w:style>
  <w:style w:type="character" w:styleId="UnresolvedMention">
    <w:name w:val="Unresolved Mention"/>
    <w:basedOn w:val="DefaultParagraphFont"/>
    <w:uiPriority w:val="99"/>
    <w:semiHidden/>
    <w:unhideWhenUsed/>
    <w:rsid w:val="00593641"/>
    <w:rPr>
      <w:color w:val="605E5C"/>
      <w:shd w:val="clear" w:color="auto" w:fill="E1DFDD"/>
    </w:rPr>
  </w:style>
  <w:style w:type="paragraph" w:styleId="Revision">
    <w:name w:val="Revision"/>
    <w:hidden/>
    <w:uiPriority w:val="99"/>
    <w:semiHidden/>
    <w:rsid w:val="00D33067"/>
    <w:pPr>
      <w:spacing w:after="0" w:line="240" w:lineRule="auto"/>
    </w:pPr>
    <w:rPr>
      <w:rFonts w:ascii="Arial" w:eastAsia="Times New Roman" w:hAnsi="Arial" w:cs="Times New Roman"/>
      <w:sz w:val="20"/>
      <w:szCs w:val="24"/>
    </w:rPr>
  </w:style>
  <w:style w:type="paragraph" w:customStyle="1" w:styleId="EYBusinessaddress">
    <w:name w:val="EY Business address"/>
    <w:basedOn w:val="Normal"/>
    <w:rsid w:val="00D93FDF"/>
    <w:pPr>
      <w:suppressAutoHyphens/>
      <w:spacing w:line="170" w:lineRule="atLeast"/>
    </w:pPr>
    <w:rPr>
      <w:color w:val="666666"/>
      <w:kern w:val="12"/>
      <w:sz w:val="15"/>
      <w:lang w:val="en-GB"/>
    </w:rPr>
  </w:style>
  <w:style w:type="paragraph" w:styleId="NoSpacing">
    <w:name w:val="No Spacing"/>
    <w:uiPriority w:val="1"/>
    <w:qFormat/>
    <w:rsid w:val="001A324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0632">
      <w:bodyDiv w:val="1"/>
      <w:marLeft w:val="0"/>
      <w:marRight w:val="0"/>
      <w:marTop w:val="0"/>
      <w:marBottom w:val="0"/>
      <w:divBdr>
        <w:top w:val="none" w:sz="0" w:space="0" w:color="auto"/>
        <w:left w:val="none" w:sz="0" w:space="0" w:color="auto"/>
        <w:bottom w:val="none" w:sz="0" w:space="0" w:color="auto"/>
        <w:right w:val="none" w:sz="0" w:space="0" w:color="auto"/>
      </w:divBdr>
    </w:div>
    <w:div w:id="752237817">
      <w:bodyDiv w:val="1"/>
      <w:marLeft w:val="0"/>
      <w:marRight w:val="0"/>
      <w:marTop w:val="0"/>
      <w:marBottom w:val="0"/>
      <w:divBdr>
        <w:top w:val="none" w:sz="0" w:space="0" w:color="auto"/>
        <w:left w:val="none" w:sz="0" w:space="0" w:color="auto"/>
        <w:bottom w:val="none" w:sz="0" w:space="0" w:color="auto"/>
        <w:right w:val="none" w:sz="0" w:space="0" w:color="auto"/>
      </w:divBdr>
    </w:div>
    <w:div w:id="854417331">
      <w:bodyDiv w:val="1"/>
      <w:marLeft w:val="0"/>
      <w:marRight w:val="0"/>
      <w:marTop w:val="0"/>
      <w:marBottom w:val="0"/>
      <w:divBdr>
        <w:top w:val="none" w:sz="0" w:space="0" w:color="auto"/>
        <w:left w:val="none" w:sz="0" w:space="0" w:color="auto"/>
        <w:bottom w:val="none" w:sz="0" w:space="0" w:color="auto"/>
        <w:right w:val="none" w:sz="0" w:space="0" w:color="auto"/>
      </w:divBdr>
    </w:div>
    <w:div w:id="1224171730">
      <w:bodyDiv w:val="1"/>
      <w:marLeft w:val="0"/>
      <w:marRight w:val="0"/>
      <w:marTop w:val="0"/>
      <w:marBottom w:val="0"/>
      <w:divBdr>
        <w:top w:val="none" w:sz="0" w:space="0" w:color="auto"/>
        <w:left w:val="none" w:sz="0" w:space="0" w:color="auto"/>
        <w:bottom w:val="none" w:sz="0" w:space="0" w:color="auto"/>
        <w:right w:val="none" w:sz="0" w:space="0" w:color="auto"/>
      </w:divBdr>
    </w:div>
    <w:div w:id="17459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da.hutanu@ro.e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FBF0B9CEACA34A981A7F46EA19F3F9" ma:contentTypeVersion="12" ma:contentTypeDescription="Create a new document." ma:contentTypeScope="" ma:versionID="cc8ffc874984966ee79012f110195910">
  <xsd:schema xmlns:xsd="http://www.w3.org/2001/XMLSchema" xmlns:xs="http://www.w3.org/2001/XMLSchema" xmlns:p="http://schemas.microsoft.com/office/2006/metadata/properties" xmlns:ns3="fd550b8b-0dd7-4de3-a8e6-af527f15a8ac" xmlns:ns4="45cbc027-4fdb-4325-ba4c-14e20f088a7f" targetNamespace="http://schemas.microsoft.com/office/2006/metadata/properties" ma:root="true" ma:fieldsID="0b4085e1d47cf19cc0ca9c96945ecf35" ns3:_="" ns4:_="">
    <xsd:import namespace="fd550b8b-0dd7-4de3-a8e6-af527f15a8ac"/>
    <xsd:import namespace="45cbc027-4fdb-4325-ba4c-14e20f088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0b8b-0dd7-4de3-a8e6-af527f15a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bc027-4fdb-4325-ba4c-14e20f088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6D205-9DA8-4FB9-B780-78CF73E5E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0b8b-0dd7-4de3-a8e6-af527f15a8ac"/>
    <ds:schemaRef ds:uri="45cbc027-4fdb-4325-ba4c-14e20f088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1B5B5-D6F4-4B83-BD6C-D40C4C73B4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29CB8E-5848-47E5-A67B-9121F4E085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1178</Words>
  <Characters>6721</Characters>
  <Application>Microsoft Office Word</Application>
  <DocSecurity>0</DocSecurity>
  <Lines>56</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11 6  FAAS 2018 release 051018.docx</vt:lpstr>
      <vt:lpstr>11 6  FAAS 2018 release 051018.docx</vt:lpstr>
    </vt:vector>
  </TitlesOfParts>
  <Company>EY</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6  FAAS 2018 release 051018.docx</dc:title>
  <dc:subject/>
  <dc:creator>Konstantinos Makrygiannis</dc:creator>
  <cp:keywords/>
  <dc:description/>
  <cp:lastModifiedBy>Felicia Moga</cp:lastModifiedBy>
  <cp:revision>5</cp:revision>
  <dcterms:created xsi:type="dcterms:W3CDTF">2022-04-15T07:19:00Z</dcterms:created>
  <dcterms:modified xsi:type="dcterms:W3CDTF">2022-04-15T07:45:00Z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0x010100B7FBF0B9CEACA34A981A7F46EA19F3F9</vt:lpwstr>
  </property>
  <property fmtid="{D5CDD505-2E9C-101B-9397-08002B2CF9AE}" pid="3" name="EYGSSubServiceLine">
    <vt:lpwstr>34;#Brand, Marketing and Communications|6b39c8d3-6895-4456-aa8f-09ed4243bc47</vt:lpwstr>
  </property>
  <property fmtid="{D5CDD505-2E9C-101B-9397-08002B2CF9AE}" pid="4" name="EYGSAdditionalServiceLine1">
    <vt:lpwstr>5;#Core Business Services (CBS)|2cf6a111-d37c-43c1-940d-c7e1830826b5</vt:lpwstr>
  </property>
  <property fmtid="{D5CDD505-2E9C-101B-9397-08002B2CF9AE}" pid="5" name="EYGSAdditionalSubSServiceLine1">
    <vt:lpwstr>35;#Brand and External Communications|b0b352fe-33c7-4bca-8731-a9b0648a65de</vt:lpwstr>
  </property>
  <property fmtid="{D5CDD505-2E9C-101B-9397-08002B2CF9AE}" pid="6" name="EYGSGeographicScope">
    <vt:lpwstr>17;#Global|500f1427-2ec5-408e-9c7e-c7ecab3f14e9</vt:lpwstr>
  </property>
  <property fmtid="{D5CDD505-2E9C-101B-9397-08002B2CF9AE}" pid="7" name="EYGSSubSector">
    <vt:lpwstr/>
  </property>
  <property fmtid="{D5CDD505-2E9C-101B-9397-08002B2CF9AE}" pid="8" name="EYGSAdditionalSubServiceLine1">
    <vt:lpwstr>34;#Brand, Marketing and Communications|6b39c8d3-6895-4456-aa8f-09ed4243bc47</vt:lpwstr>
  </property>
  <property fmtid="{D5CDD505-2E9C-101B-9397-08002B2CF9AE}" pid="9" name="EYGSAdditionalSector">
    <vt:lpwstr/>
  </property>
  <property fmtid="{D5CDD505-2E9C-101B-9397-08002B2CF9AE}" pid="10" name="EYGSSubSServiceLine">
    <vt:lpwstr>35;#Brand and External Communications|b0b352fe-33c7-4bca-8731-a9b0648a65de</vt:lpwstr>
  </property>
  <property fmtid="{D5CDD505-2E9C-101B-9397-08002B2CF9AE}" pid="11" name="EYGSAdditionalSubServiceLine">
    <vt:lpwstr>34;#Brand, Marketing and Communications|6b39c8d3-6895-4456-aa8f-09ed4243bc47</vt:lpwstr>
  </property>
  <property fmtid="{D5CDD505-2E9C-101B-9397-08002B2CF9AE}" pid="12" name="EYGSAreas">
    <vt:lpwstr>22;#EMEIA|f996ef64-9eed-4e53-bc49-92020faa37ae</vt:lpwstr>
  </property>
  <property fmtid="{D5CDD505-2E9C-101B-9397-08002B2CF9AE}" pid="13" name="EYGSAdditionalSubSServiceLine">
    <vt:lpwstr>35;#Brand and External Communications|b0b352fe-33c7-4bca-8731-a9b0648a65de</vt:lpwstr>
  </property>
  <property fmtid="{D5CDD505-2E9C-101B-9397-08002B2CF9AE}" pid="14" name="EYGSAdditionalServiceLine">
    <vt:lpwstr>5;#Core Business Services (CBS)|2cf6a111-d37c-43c1-940d-c7e1830826b5</vt:lpwstr>
  </property>
  <property fmtid="{D5CDD505-2E9C-101B-9397-08002B2CF9AE}" pid="15" name="EYGSServiceLine">
    <vt:lpwstr>5;#Core Business Services (CBS)|2cf6a111-d37c-43c1-940d-c7e1830826b5</vt:lpwstr>
  </property>
  <property fmtid="{D5CDD505-2E9C-101B-9397-08002B2CF9AE}" pid="16" name="EYGSScoreSector">
    <vt:lpwstr/>
  </property>
  <property fmtid="{D5CDD505-2E9C-101B-9397-08002B2CF9AE}" pid="17" name="EYGSRegion">
    <vt:lpwstr>23;#UK and Ireland|6b52dc23-e127-4bdd-a180-89180e1e93dd</vt:lpwstr>
  </property>
  <property fmtid="{D5CDD505-2E9C-101B-9397-08002B2CF9AE}" pid="18" name="EYGSAdditionalSector1">
    <vt:lpwstr/>
  </property>
  <property fmtid="{D5CDD505-2E9C-101B-9397-08002B2CF9AE}" pid="19" name="_docset_NoMedatataSyncRequired">
    <vt:lpwstr>False</vt:lpwstr>
  </property>
  <property fmtid="{D5CDD505-2E9C-101B-9397-08002B2CF9AE}" pid="20" name="_dlc_DocIdItemGuid">
    <vt:lpwstr>10f2309a-a07c-403b-b307-c98073d9a0c0</vt:lpwstr>
  </property>
</Properties>
</file>