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F0530" w14:textId="61A7EBAC" w:rsidR="00E34E84" w:rsidRPr="00E21CB9" w:rsidRDefault="0041554E" w:rsidP="00F10A47">
      <w:pPr>
        <w:spacing w:after="200" w:line="276" w:lineRule="auto"/>
        <w:jc w:val="both"/>
        <w:rPr>
          <w:rFonts w:ascii="Times New Roman" w:hAnsi="Times New Roman"/>
          <w:b/>
          <w:bCs/>
          <w:noProof/>
          <w:sz w:val="24"/>
          <w:szCs w:val="24"/>
          <w:lang w:val="ro-RO"/>
        </w:rPr>
      </w:pPr>
      <w:r w:rsidRPr="00E21CB9">
        <w:rPr>
          <w:rFonts w:ascii="Times New Roman" w:hAnsi="Times New Roman"/>
          <w:b/>
          <w:bCs/>
          <w:noProof/>
          <w:sz w:val="24"/>
          <w:szCs w:val="24"/>
          <w:lang w:val="ro-RO"/>
        </w:rPr>
        <w:t>CONSTITUȚIA vs. DREPTUL UE. Despre iminența declan</w:t>
      </w:r>
      <w:r w:rsidR="003C22FC" w:rsidRPr="00E21CB9">
        <w:rPr>
          <w:rFonts w:ascii="Times New Roman" w:hAnsi="Times New Roman"/>
          <w:b/>
          <w:bCs/>
          <w:noProof/>
          <w:sz w:val="24"/>
          <w:szCs w:val="24"/>
          <w:lang w:val="ro-RO"/>
        </w:rPr>
        <w:t>ș</w:t>
      </w:r>
      <w:r w:rsidRPr="00E21CB9">
        <w:rPr>
          <w:rFonts w:ascii="Times New Roman" w:hAnsi="Times New Roman"/>
          <w:b/>
          <w:bCs/>
          <w:noProof/>
          <w:sz w:val="24"/>
          <w:szCs w:val="24"/>
          <w:lang w:val="ro-RO"/>
        </w:rPr>
        <w:t>ării procedurii contralimitelor de către Curtea Constituțională a României</w:t>
      </w:r>
    </w:p>
    <w:p w14:paraId="5F1EEA98" w14:textId="77777777" w:rsidR="00C61AC8" w:rsidRDefault="00C61AC8" w:rsidP="00F10A47">
      <w:pPr>
        <w:spacing w:after="200" w:line="276" w:lineRule="auto"/>
        <w:jc w:val="both"/>
        <w:rPr>
          <w:rFonts w:ascii="Times New Roman" w:hAnsi="Times New Roman"/>
          <w:b/>
          <w:bCs/>
          <w:noProof/>
          <w:sz w:val="24"/>
          <w:szCs w:val="24"/>
          <w:lang w:val="ro-RO"/>
        </w:rPr>
      </w:pPr>
    </w:p>
    <w:p w14:paraId="5BF1DFE4" w14:textId="2A60D02C" w:rsidR="00C562F6" w:rsidRPr="00E21CB9" w:rsidRDefault="00C2384E" w:rsidP="00F10A47">
      <w:pPr>
        <w:spacing w:after="200" w:line="276" w:lineRule="auto"/>
        <w:jc w:val="both"/>
        <w:rPr>
          <w:rFonts w:ascii="Times New Roman" w:hAnsi="Times New Roman"/>
          <w:b/>
          <w:bCs/>
          <w:noProof/>
          <w:sz w:val="24"/>
          <w:szCs w:val="24"/>
          <w:lang w:val="ro-RO"/>
        </w:rPr>
      </w:pPr>
      <w:r w:rsidRPr="00E21CB9">
        <w:rPr>
          <w:rFonts w:ascii="Times New Roman" w:hAnsi="Times New Roman"/>
          <w:b/>
          <w:bCs/>
          <w:noProof/>
          <w:sz w:val="24"/>
          <w:szCs w:val="24"/>
          <w:lang w:val="ro-RO"/>
        </w:rPr>
        <w:t>Apariția conflictului constituțional</w:t>
      </w:r>
    </w:p>
    <w:p w14:paraId="2D0E9513" w14:textId="0F1EB055" w:rsidR="0041554E" w:rsidRPr="00E21CB9" w:rsidRDefault="0041554E"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Orice problemă juridică parcurge un oarecare drum până la</w:t>
      </w:r>
      <w:r w:rsidR="00CD5660" w:rsidRPr="00E21CB9">
        <w:rPr>
          <w:rFonts w:ascii="Times New Roman" w:hAnsi="Times New Roman"/>
          <w:noProof/>
          <w:sz w:val="24"/>
          <w:szCs w:val="24"/>
          <w:lang w:val="ro-RO"/>
        </w:rPr>
        <w:t xml:space="preserve"> </w:t>
      </w:r>
      <w:r w:rsidR="00CD5660" w:rsidRPr="00E21CB9">
        <w:rPr>
          <w:rFonts w:ascii="Times New Roman" w:hAnsi="Times New Roman"/>
          <w:i/>
          <w:iCs/>
          <w:noProof/>
          <w:sz w:val="24"/>
          <w:szCs w:val="24"/>
          <w:lang w:val="ro-RO"/>
        </w:rPr>
        <w:t>maturitate</w:t>
      </w:r>
      <w:r w:rsidR="003C22FC" w:rsidRPr="00E21CB9">
        <w:rPr>
          <w:rFonts w:ascii="Times New Roman" w:hAnsi="Times New Roman"/>
          <w:i/>
          <w:iCs/>
          <w:noProof/>
          <w:sz w:val="24"/>
          <w:szCs w:val="24"/>
          <w:lang w:val="ro-RO"/>
        </w:rPr>
        <w:t>.</w:t>
      </w:r>
      <w:r w:rsidR="003C22FC" w:rsidRPr="00E21CB9">
        <w:rPr>
          <w:rFonts w:ascii="Times New Roman" w:hAnsi="Times New Roman"/>
          <w:noProof/>
          <w:sz w:val="24"/>
          <w:szCs w:val="24"/>
          <w:lang w:val="ro-RO"/>
        </w:rPr>
        <w:t xml:space="preserve"> C</w:t>
      </w:r>
      <w:r w:rsidR="00EF5542" w:rsidRPr="00E21CB9">
        <w:rPr>
          <w:rFonts w:ascii="Times New Roman" w:hAnsi="Times New Roman"/>
          <w:noProof/>
          <w:sz w:val="24"/>
          <w:szCs w:val="24"/>
          <w:lang w:val="ro-RO"/>
        </w:rPr>
        <w:t>ând sunt în discuție valori importante precum identitatea constituțională sau drepturile fundamentale,</w:t>
      </w:r>
      <w:r w:rsidR="003C22FC" w:rsidRPr="00E21CB9">
        <w:rPr>
          <w:rFonts w:ascii="Times New Roman" w:hAnsi="Times New Roman"/>
          <w:noProof/>
          <w:sz w:val="24"/>
          <w:szCs w:val="24"/>
          <w:lang w:val="ro-RO"/>
        </w:rPr>
        <w:t xml:space="preserve"> timpul necesar de regulă pentru </w:t>
      </w:r>
      <w:r w:rsidR="00CD5660" w:rsidRPr="00E21CB9">
        <w:rPr>
          <w:rFonts w:ascii="Times New Roman" w:hAnsi="Times New Roman"/>
          <w:noProof/>
          <w:sz w:val="24"/>
          <w:szCs w:val="24"/>
          <w:lang w:val="ro-RO"/>
        </w:rPr>
        <w:t>dezbateri și clarificări</w:t>
      </w:r>
      <w:r w:rsidR="00EF5542" w:rsidRPr="00E21CB9">
        <w:rPr>
          <w:rFonts w:ascii="Times New Roman" w:hAnsi="Times New Roman"/>
          <w:noProof/>
          <w:sz w:val="24"/>
          <w:szCs w:val="24"/>
          <w:lang w:val="ro-RO"/>
        </w:rPr>
        <w:t xml:space="preserve"> </w:t>
      </w:r>
      <w:r w:rsidR="003C22FC" w:rsidRPr="00E21CB9">
        <w:rPr>
          <w:rFonts w:ascii="Times New Roman" w:hAnsi="Times New Roman"/>
          <w:noProof/>
          <w:sz w:val="24"/>
          <w:szCs w:val="24"/>
          <w:lang w:val="ro-RO"/>
        </w:rPr>
        <w:t xml:space="preserve">se comprimă, </w:t>
      </w:r>
      <w:r w:rsidR="00CD5660" w:rsidRPr="00E21CB9">
        <w:rPr>
          <w:rFonts w:ascii="Times New Roman" w:hAnsi="Times New Roman"/>
          <w:noProof/>
          <w:sz w:val="24"/>
          <w:szCs w:val="24"/>
          <w:lang w:val="ro-RO"/>
        </w:rPr>
        <w:t xml:space="preserve">iar </w:t>
      </w:r>
      <w:r w:rsidR="003C22FC" w:rsidRPr="00E21CB9">
        <w:rPr>
          <w:rFonts w:ascii="Times New Roman" w:hAnsi="Times New Roman"/>
          <w:noProof/>
          <w:sz w:val="24"/>
          <w:szCs w:val="24"/>
          <w:lang w:val="ro-RO"/>
        </w:rPr>
        <w:t xml:space="preserve">nevoia de </w:t>
      </w:r>
      <w:r w:rsidR="00CD5660" w:rsidRPr="00E21CB9">
        <w:rPr>
          <w:rFonts w:ascii="Times New Roman" w:hAnsi="Times New Roman"/>
          <w:noProof/>
          <w:sz w:val="24"/>
          <w:szCs w:val="24"/>
          <w:lang w:val="ro-RO"/>
        </w:rPr>
        <w:t>soluții devine urgentă.</w:t>
      </w:r>
    </w:p>
    <w:p w14:paraId="053449A0" w14:textId="29C0DCB3" w:rsidR="00763AE2" w:rsidRPr="00E21CB9" w:rsidRDefault="003875E9"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 xml:space="preserve">România s-a trezit în mijlocul unei astfel de </w:t>
      </w:r>
      <w:r w:rsidR="00E53C6C" w:rsidRPr="00E21CB9">
        <w:rPr>
          <w:rFonts w:ascii="Times New Roman" w:hAnsi="Times New Roman"/>
          <w:noProof/>
          <w:sz w:val="24"/>
          <w:szCs w:val="24"/>
          <w:lang w:val="ro-RO"/>
        </w:rPr>
        <w:t>complicații în anul 2021, când Înalta Curte de Casație și Justiție</w:t>
      </w:r>
      <w:r w:rsidR="00CD5660" w:rsidRPr="00E21CB9">
        <w:rPr>
          <w:rFonts w:ascii="Times New Roman" w:hAnsi="Times New Roman"/>
          <w:noProof/>
          <w:sz w:val="24"/>
          <w:szCs w:val="24"/>
          <w:lang w:val="ro-RO"/>
        </w:rPr>
        <w:t xml:space="preserve"> </w:t>
      </w:r>
      <w:r w:rsidR="002C4422" w:rsidRPr="00E21CB9">
        <w:rPr>
          <w:rFonts w:ascii="Times New Roman" w:hAnsi="Times New Roman"/>
          <w:noProof/>
          <w:sz w:val="24"/>
          <w:szCs w:val="24"/>
          <w:lang w:val="ro-RO"/>
        </w:rPr>
        <w:t xml:space="preserve">(„Înalta Curte” sau „ÎCCJ”) </w:t>
      </w:r>
      <w:r w:rsidR="00E53C6C" w:rsidRPr="00E21CB9">
        <w:rPr>
          <w:rFonts w:ascii="Times New Roman" w:hAnsi="Times New Roman"/>
          <w:noProof/>
          <w:sz w:val="24"/>
          <w:szCs w:val="24"/>
          <w:lang w:val="ro-RO"/>
        </w:rPr>
        <w:t>și alte instanțe din România au formulat trimiteri preliminare către Curtea de Justiție a Uniunii Europene</w:t>
      </w:r>
      <w:r w:rsidR="003B0318" w:rsidRPr="00E21CB9">
        <w:rPr>
          <w:rFonts w:ascii="Times New Roman" w:hAnsi="Times New Roman"/>
          <w:noProof/>
          <w:sz w:val="24"/>
          <w:szCs w:val="24"/>
          <w:lang w:val="ro-RO"/>
        </w:rPr>
        <w:t xml:space="preserve"> („Curtea de Justiție” sau „CJUE” sau „CEJ”)</w:t>
      </w:r>
      <w:r w:rsidR="00763AE2" w:rsidRPr="00E21CB9">
        <w:rPr>
          <w:rFonts w:ascii="Times New Roman" w:hAnsi="Times New Roman"/>
          <w:noProof/>
          <w:sz w:val="24"/>
          <w:szCs w:val="24"/>
          <w:lang w:val="ro-RO"/>
        </w:rPr>
        <w:t xml:space="preserve">, una dintre </w:t>
      </w:r>
      <w:r w:rsidR="00CD5660" w:rsidRPr="00E21CB9">
        <w:rPr>
          <w:rFonts w:ascii="Times New Roman" w:hAnsi="Times New Roman"/>
          <w:noProof/>
          <w:sz w:val="24"/>
          <w:szCs w:val="24"/>
          <w:lang w:val="ro-RO"/>
        </w:rPr>
        <w:t>întrebările adresate</w:t>
      </w:r>
      <w:r w:rsidR="00763AE2" w:rsidRPr="00E21CB9">
        <w:rPr>
          <w:rFonts w:ascii="Times New Roman" w:hAnsi="Times New Roman"/>
          <w:noProof/>
          <w:sz w:val="24"/>
          <w:szCs w:val="24"/>
          <w:lang w:val="ro-RO"/>
        </w:rPr>
        <w:t xml:space="preserve"> urmărind un răspuns privind conformitatea cu dreptul Uniunii a unei reglementări sau a unei practici naționale potrivit căreia instanțele naționale de drept comun sunt ținute de deciziile curții constituționale naționale referitoare la admisibilitatea anumitor probe și la legalitatea compunerii completurilor de judecată.</w:t>
      </w:r>
    </w:p>
    <w:p w14:paraId="6891C167" w14:textId="1BC1D97C" w:rsidR="009A135B" w:rsidRPr="00E21CB9" w:rsidRDefault="009A135B"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Legalitatea compunerii completurilor de judecată este o componentă a dreptului la un proces echitabil, garantat prin art</w:t>
      </w:r>
      <w:r w:rsidR="003720C2" w:rsidRPr="00E21CB9">
        <w:rPr>
          <w:rFonts w:ascii="Times New Roman" w:hAnsi="Times New Roman"/>
          <w:noProof/>
          <w:sz w:val="24"/>
          <w:szCs w:val="24"/>
          <w:lang w:val="ro-RO"/>
        </w:rPr>
        <w:t>icolul</w:t>
      </w:r>
      <w:r w:rsidRPr="00E21CB9">
        <w:rPr>
          <w:rFonts w:ascii="Times New Roman" w:hAnsi="Times New Roman"/>
          <w:noProof/>
          <w:sz w:val="24"/>
          <w:szCs w:val="24"/>
          <w:lang w:val="ro-RO"/>
        </w:rPr>
        <w:t xml:space="preserve"> 21 din Constituție, prin art</w:t>
      </w:r>
      <w:r w:rsidR="003720C2" w:rsidRPr="00E21CB9">
        <w:rPr>
          <w:rFonts w:ascii="Times New Roman" w:hAnsi="Times New Roman"/>
          <w:noProof/>
          <w:sz w:val="24"/>
          <w:szCs w:val="24"/>
          <w:lang w:val="ro-RO"/>
        </w:rPr>
        <w:t>icolul</w:t>
      </w:r>
      <w:r w:rsidRPr="00E21CB9">
        <w:rPr>
          <w:rFonts w:ascii="Times New Roman" w:hAnsi="Times New Roman"/>
          <w:noProof/>
          <w:sz w:val="24"/>
          <w:szCs w:val="24"/>
          <w:lang w:val="ro-RO"/>
        </w:rPr>
        <w:t xml:space="preserve"> 6 din Convenția privind drepturile și libertățile fundamentale („Convenția”) și prin art</w:t>
      </w:r>
      <w:r w:rsidR="003720C2" w:rsidRPr="00E21CB9">
        <w:rPr>
          <w:rFonts w:ascii="Times New Roman" w:hAnsi="Times New Roman"/>
          <w:noProof/>
          <w:sz w:val="24"/>
          <w:szCs w:val="24"/>
          <w:lang w:val="ro-RO"/>
        </w:rPr>
        <w:t>icolul</w:t>
      </w:r>
      <w:r w:rsidRPr="00E21CB9">
        <w:rPr>
          <w:rFonts w:ascii="Times New Roman" w:hAnsi="Times New Roman"/>
          <w:noProof/>
          <w:sz w:val="24"/>
          <w:szCs w:val="24"/>
          <w:lang w:val="ro-RO"/>
        </w:rPr>
        <w:t xml:space="preserve"> 47 din Carta drepturilor fundamentale a Uniunii Europene („C</w:t>
      </w:r>
      <w:r w:rsidR="005645AE">
        <w:rPr>
          <w:rFonts w:ascii="Times New Roman" w:hAnsi="Times New Roman"/>
          <w:noProof/>
          <w:sz w:val="24"/>
          <w:szCs w:val="24"/>
          <w:lang w:val="ro-RO"/>
        </w:rPr>
        <w:t>D</w:t>
      </w:r>
      <w:r w:rsidRPr="00E21CB9">
        <w:rPr>
          <w:rFonts w:ascii="Times New Roman" w:hAnsi="Times New Roman"/>
          <w:noProof/>
          <w:sz w:val="24"/>
          <w:szCs w:val="24"/>
          <w:lang w:val="ro-RO"/>
        </w:rPr>
        <w:t>FUE”</w:t>
      </w:r>
      <w:r w:rsidR="00D7088F" w:rsidRPr="00E21CB9">
        <w:rPr>
          <w:rFonts w:ascii="Times New Roman" w:hAnsi="Times New Roman"/>
          <w:noProof/>
          <w:sz w:val="24"/>
          <w:szCs w:val="24"/>
          <w:lang w:val="ro-RO"/>
        </w:rPr>
        <w:t xml:space="preserve"> sau „Carta”</w:t>
      </w:r>
      <w:r w:rsidRPr="00E21CB9">
        <w:rPr>
          <w:rFonts w:ascii="Times New Roman" w:hAnsi="Times New Roman"/>
          <w:noProof/>
          <w:sz w:val="24"/>
          <w:szCs w:val="24"/>
          <w:lang w:val="ro-RO"/>
        </w:rPr>
        <w:t>).</w:t>
      </w:r>
    </w:p>
    <w:p w14:paraId="7A84E896" w14:textId="61B54418" w:rsidR="00763AE2" w:rsidRPr="00E21CB9" w:rsidRDefault="00763AE2"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 xml:space="preserve">Prin hotărârea din </w:t>
      </w:r>
      <w:r w:rsidR="00C92BCE" w:rsidRPr="00E21CB9">
        <w:rPr>
          <w:rFonts w:ascii="Times New Roman" w:hAnsi="Times New Roman"/>
          <w:noProof/>
          <w:sz w:val="24"/>
          <w:szCs w:val="24"/>
          <w:lang w:val="ro-RO"/>
        </w:rPr>
        <w:t xml:space="preserve">21 decembrie 2021, cunoscută drept cauza </w:t>
      </w:r>
      <w:r w:rsidR="00C92BCE" w:rsidRPr="00E21CB9">
        <w:rPr>
          <w:rFonts w:ascii="Times New Roman" w:hAnsi="Times New Roman"/>
          <w:i/>
          <w:iCs/>
          <w:noProof/>
          <w:sz w:val="24"/>
          <w:szCs w:val="24"/>
          <w:lang w:val="ro-RO"/>
        </w:rPr>
        <w:t>Euro box</w:t>
      </w:r>
      <w:r w:rsidR="00C92BCE" w:rsidRPr="00E21CB9">
        <w:rPr>
          <w:rFonts w:ascii="Times New Roman" w:hAnsi="Times New Roman"/>
          <w:noProof/>
          <w:vertAlign w:val="superscript"/>
          <w:lang w:val="ro-RO"/>
        </w:rPr>
        <w:footnoteReference w:id="1"/>
      </w:r>
      <w:r w:rsidR="00C92BCE" w:rsidRPr="00E21CB9">
        <w:rPr>
          <w:rFonts w:ascii="Times New Roman" w:hAnsi="Times New Roman"/>
          <w:noProof/>
          <w:sz w:val="24"/>
          <w:szCs w:val="24"/>
          <w:lang w:val="ro-RO"/>
        </w:rPr>
        <w:t xml:space="preserve">, </w:t>
      </w:r>
      <w:r w:rsidRPr="00E21CB9">
        <w:rPr>
          <w:rFonts w:ascii="Times New Roman" w:hAnsi="Times New Roman"/>
          <w:noProof/>
          <w:sz w:val="24"/>
          <w:szCs w:val="24"/>
          <w:lang w:val="ro-RO"/>
        </w:rPr>
        <w:t xml:space="preserve">Curtea de Justiție a </w:t>
      </w:r>
      <w:r w:rsidR="00C92BCE" w:rsidRPr="00E21CB9">
        <w:rPr>
          <w:rFonts w:ascii="Times New Roman" w:hAnsi="Times New Roman"/>
          <w:noProof/>
          <w:sz w:val="24"/>
          <w:szCs w:val="24"/>
          <w:lang w:val="ro-RO"/>
        </w:rPr>
        <w:t xml:space="preserve">oferit un răspuns de tipul </w:t>
      </w:r>
      <w:r w:rsidR="00C92BCE" w:rsidRPr="00E21CB9">
        <w:rPr>
          <w:rFonts w:ascii="Times New Roman" w:hAnsi="Times New Roman"/>
          <w:i/>
          <w:iCs/>
          <w:noProof/>
          <w:sz w:val="24"/>
          <w:szCs w:val="24"/>
          <w:lang w:val="ro-RO"/>
        </w:rPr>
        <w:t>da, dar nu</w:t>
      </w:r>
      <w:r w:rsidR="00C92BCE" w:rsidRPr="00E21CB9">
        <w:rPr>
          <w:rFonts w:ascii="Times New Roman" w:hAnsi="Times New Roman"/>
          <w:noProof/>
          <w:sz w:val="24"/>
          <w:szCs w:val="24"/>
          <w:lang w:val="ro-RO"/>
        </w:rPr>
        <w:t xml:space="preserve">, recunoscând obligativitatea deciziilor curții constituționale naționale, dar condiționând aplicarea acestora de </w:t>
      </w:r>
      <w:r w:rsidR="00411670" w:rsidRPr="00E21CB9">
        <w:rPr>
          <w:rFonts w:ascii="Times New Roman" w:hAnsi="Times New Roman"/>
          <w:noProof/>
          <w:sz w:val="24"/>
          <w:szCs w:val="24"/>
          <w:lang w:val="ro-RO"/>
        </w:rPr>
        <w:t>respectarea cerinței impunerii de sancțiuni penale care au un caracter efectiv și disuasiv în domenii reglementate de dreptul Uniunii.</w:t>
      </w:r>
    </w:p>
    <w:p w14:paraId="02022EF4" w14:textId="3EA04ED2" w:rsidR="00411670" w:rsidRPr="00E21CB9" w:rsidRDefault="00411670"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 xml:space="preserve">Mai specific, Curtea de Justiție a </w:t>
      </w:r>
      <w:r w:rsidR="00CD5660" w:rsidRPr="00E21CB9">
        <w:rPr>
          <w:rFonts w:ascii="Times New Roman" w:hAnsi="Times New Roman"/>
          <w:noProof/>
          <w:sz w:val="24"/>
          <w:szCs w:val="24"/>
          <w:lang w:val="ro-RO"/>
        </w:rPr>
        <w:t>declarat</w:t>
      </w:r>
      <w:r w:rsidRPr="00E21CB9">
        <w:rPr>
          <w:rFonts w:ascii="Times New Roman" w:hAnsi="Times New Roman"/>
          <w:noProof/>
          <w:sz w:val="24"/>
          <w:szCs w:val="24"/>
          <w:lang w:val="ro-RO"/>
        </w:rPr>
        <w:t xml:space="preserve">  că instanța națională nu poate aplica un standard național de protecție a drepturilor fundamentale care să implice un risc sistemic de impunitate, stabilind o ierarhie potrivit căreia art</w:t>
      </w:r>
      <w:r w:rsidR="003720C2" w:rsidRPr="00E21CB9">
        <w:rPr>
          <w:rFonts w:ascii="Times New Roman" w:hAnsi="Times New Roman"/>
          <w:noProof/>
          <w:sz w:val="24"/>
          <w:szCs w:val="24"/>
          <w:lang w:val="ro-RO"/>
        </w:rPr>
        <w:t>icolul</w:t>
      </w:r>
      <w:r w:rsidRPr="00E21CB9">
        <w:rPr>
          <w:rFonts w:ascii="Times New Roman" w:hAnsi="Times New Roman"/>
          <w:noProof/>
          <w:sz w:val="24"/>
          <w:szCs w:val="24"/>
          <w:lang w:val="ro-RO"/>
        </w:rPr>
        <w:t xml:space="preserve"> 47 din </w:t>
      </w:r>
      <w:r w:rsidR="003720C2" w:rsidRPr="00E21CB9">
        <w:rPr>
          <w:rFonts w:ascii="Times New Roman" w:hAnsi="Times New Roman"/>
          <w:noProof/>
          <w:sz w:val="24"/>
          <w:szCs w:val="24"/>
          <w:lang w:val="ro-RO"/>
        </w:rPr>
        <w:t>CDFUE,</w:t>
      </w:r>
      <w:r w:rsidR="00011C06" w:rsidRPr="00E21CB9">
        <w:rPr>
          <w:rFonts w:ascii="Times New Roman" w:hAnsi="Times New Roman"/>
          <w:noProof/>
          <w:sz w:val="24"/>
          <w:szCs w:val="24"/>
          <w:lang w:val="ro-RO"/>
        </w:rPr>
        <w:t xml:space="preserve"> astfel cum acesta este interpretat de </w:t>
      </w:r>
      <w:r w:rsidR="003720C2" w:rsidRPr="00E21CB9">
        <w:rPr>
          <w:rFonts w:ascii="Times New Roman" w:hAnsi="Times New Roman"/>
          <w:noProof/>
          <w:sz w:val="24"/>
          <w:szCs w:val="24"/>
          <w:lang w:val="ro-RO"/>
        </w:rPr>
        <w:t>Curtea de Justiție</w:t>
      </w:r>
      <w:r w:rsidR="00011C06" w:rsidRPr="00E21CB9">
        <w:rPr>
          <w:rFonts w:ascii="Times New Roman" w:hAnsi="Times New Roman"/>
          <w:noProof/>
          <w:sz w:val="24"/>
          <w:szCs w:val="24"/>
          <w:lang w:val="ro-RO"/>
        </w:rPr>
        <w:t>,</w:t>
      </w:r>
      <w:r w:rsidRPr="00E21CB9">
        <w:rPr>
          <w:rFonts w:ascii="Times New Roman" w:hAnsi="Times New Roman"/>
          <w:noProof/>
          <w:sz w:val="24"/>
          <w:szCs w:val="24"/>
          <w:lang w:val="ro-RO"/>
        </w:rPr>
        <w:t xml:space="preserve"> se situează deasupra și exclude, în același timp, art</w:t>
      </w:r>
      <w:r w:rsidR="003720C2" w:rsidRPr="00E21CB9">
        <w:rPr>
          <w:rFonts w:ascii="Times New Roman" w:hAnsi="Times New Roman"/>
          <w:noProof/>
          <w:sz w:val="24"/>
          <w:szCs w:val="24"/>
          <w:lang w:val="ro-RO"/>
        </w:rPr>
        <w:t>icolul</w:t>
      </w:r>
      <w:r w:rsidRPr="00E21CB9">
        <w:rPr>
          <w:rFonts w:ascii="Times New Roman" w:hAnsi="Times New Roman"/>
          <w:noProof/>
          <w:sz w:val="24"/>
          <w:szCs w:val="24"/>
          <w:lang w:val="ro-RO"/>
        </w:rPr>
        <w:t xml:space="preserve"> 21 din Constituția României</w:t>
      </w:r>
      <w:r w:rsidR="009A135B" w:rsidRPr="00E21CB9">
        <w:rPr>
          <w:rFonts w:ascii="Times New Roman" w:hAnsi="Times New Roman"/>
          <w:noProof/>
          <w:sz w:val="24"/>
          <w:szCs w:val="24"/>
          <w:lang w:val="ro-RO"/>
        </w:rPr>
        <w:t xml:space="preserve"> </w:t>
      </w:r>
      <w:r w:rsidR="003720C2" w:rsidRPr="00E21CB9">
        <w:rPr>
          <w:rFonts w:ascii="Times New Roman" w:hAnsi="Times New Roman"/>
          <w:noProof/>
          <w:sz w:val="24"/>
          <w:szCs w:val="24"/>
          <w:lang w:val="ro-RO"/>
        </w:rPr>
        <w:t>așa</w:t>
      </w:r>
      <w:r w:rsidR="009A135B" w:rsidRPr="00E21CB9">
        <w:rPr>
          <w:rFonts w:ascii="Times New Roman" w:hAnsi="Times New Roman"/>
          <w:noProof/>
          <w:sz w:val="24"/>
          <w:szCs w:val="24"/>
          <w:lang w:val="ro-RO"/>
        </w:rPr>
        <w:t xml:space="preserve"> cum a fost interpretat de Curtea Constituțională a României</w:t>
      </w:r>
      <w:r w:rsidR="00BA0E6C" w:rsidRPr="00E21CB9">
        <w:rPr>
          <w:rFonts w:ascii="Times New Roman" w:hAnsi="Times New Roman"/>
          <w:noProof/>
          <w:sz w:val="24"/>
          <w:szCs w:val="24"/>
          <w:lang w:val="ro-RO"/>
        </w:rPr>
        <w:t xml:space="preserve"> (sau „CCR”)</w:t>
      </w:r>
      <w:r w:rsidR="009A135B" w:rsidRPr="00E21CB9">
        <w:rPr>
          <w:rFonts w:ascii="Times New Roman" w:hAnsi="Times New Roman"/>
          <w:noProof/>
          <w:sz w:val="24"/>
          <w:szCs w:val="24"/>
          <w:lang w:val="ro-RO"/>
        </w:rPr>
        <w:t>.</w:t>
      </w:r>
    </w:p>
    <w:p w14:paraId="6DC890BA" w14:textId="341B4469" w:rsidR="009A135B" w:rsidRPr="00E21CB9" w:rsidRDefault="003B0318"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În alte cuvinte</w:t>
      </w:r>
      <w:r w:rsidR="009A135B" w:rsidRPr="00E21CB9">
        <w:rPr>
          <w:rFonts w:ascii="Times New Roman" w:hAnsi="Times New Roman"/>
          <w:noProof/>
          <w:sz w:val="24"/>
          <w:szCs w:val="24"/>
          <w:lang w:val="ro-RO"/>
        </w:rPr>
        <w:t xml:space="preserve">, CJUE a declarat, cu anumite rezerve asupra cărora vom reveni, supremația dreptului UE </w:t>
      </w:r>
      <w:r w:rsidR="005332A4" w:rsidRPr="00E21CB9">
        <w:rPr>
          <w:rFonts w:ascii="Times New Roman" w:hAnsi="Times New Roman"/>
          <w:noProof/>
          <w:sz w:val="24"/>
          <w:szCs w:val="24"/>
          <w:lang w:val="ro-RO"/>
        </w:rPr>
        <w:t xml:space="preserve">față de </w:t>
      </w:r>
      <w:r w:rsidR="009A135B" w:rsidRPr="00E21CB9">
        <w:rPr>
          <w:rFonts w:ascii="Times New Roman" w:hAnsi="Times New Roman"/>
          <w:noProof/>
          <w:sz w:val="24"/>
          <w:szCs w:val="24"/>
          <w:lang w:val="ro-RO"/>
        </w:rPr>
        <w:t>Constituți</w:t>
      </w:r>
      <w:r w:rsidR="00CD5660" w:rsidRPr="00E21CB9">
        <w:rPr>
          <w:rFonts w:ascii="Times New Roman" w:hAnsi="Times New Roman"/>
          <w:noProof/>
          <w:sz w:val="24"/>
          <w:szCs w:val="24"/>
          <w:lang w:val="ro-RO"/>
        </w:rPr>
        <w:t>a României</w:t>
      </w:r>
      <w:r w:rsidR="005332A4" w:rsidRPr="00E21CB9">
        <w:rPr>
          <w:rFonts w:ascii="Times New Roman" w:hAnsi="Times New Roman"/>
          <w:noProof/>
          <w:sz w:val="24"/>
          <w:szCs w:val="24"/>
          <w:lang w:val="ro-RO"/>
        </w:rPr>
        <w:t>.</w:t>
      </w:r>
      <w:r w:rsidR="00AD4CBD" w:rsidRPr="00E21CB9">
        <w:rPr>
          <w:rFonts w:ascii="Times New Roman" w:hAnsi="Times New Roman"/>
          <w:noProof/>
          <w:sz w:val="24"/>
          <w:szCs w:val="24"/>
          <w:lang w:val="ro-RO"/>
        </w:rPr>
        <w:t xml:space="preserve"> </w:t>
      </w:r>
    </w:p>
    <w:p w14:paraId="5FD1E49C" w14:textId="782D4A95" w:rsidR="00AD4CBD" w:rsidRPr="00E21CB9" w:rsidRDefault="00AD4CBD"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lastRenderedPageBreak/>
        <w:t xml:space="preserve">Hotărârea </w:t>
      </w:r>
      <w:r w:rsidR="00517630" w:rsidRPr="00E21CB9">
        <w:rPr>
          <w:rFonts w:ascii="Times New Roman" w:hAnsi="Times New Roman"/>
          <w:i/>
          <w:iCs/>
          <w:noProof/>
          <w:sz w:val="24"/>
          <w:szCs w:val="24"/>
          <w:lang w:val="ro-RO"/>
        </w:rPr>
        <w:t>Euro Box</w:t>
      </w:r>
      <w:r w:rsidRPr="00E21CB9">
        <w:rPr>
          <w:rFonts w:ascii="Times New Roman" w:hAnsi="Times New Roman"/>
          <w:noProof/>
          <w:sz w:val="24"/>
          <w:szCs w:val="24"/>
          <w:lang w:val="ro-RO"/>
        </w:rPr>
        <w:t xml:space="preserve"> a produs un moment de perplexitate în ordinea juridică internă, </w:t>
      </w:r>
      <w:r w:rsidR="00BA0E6C" w:rsidRPr="00E21CB9">
        <w:rPr>
          <w:rFonts w:ascii="Times New Roman" w:hAnsi="Times New Roman"/>
          <w:noProof/>
          <w:sz w:val="24"/>
          <w:szCs w:val="24"/>
          <w:lang w:val="ro-RO"/>
        </w:rPr>
        <w:t>CCR</w:t>
      </w:r>
      <w:r w:rsidR="001C4ED6" w:rsidRPr="00E21CB9">
        <w:rPr>
          <w:rFonts w:ascii="Times New Roman" w:hAnsi="Times New Roman"/>
          <w:noProof/>
          <w:sz w:val="24"/>
          <w:szCs w:val="24"/>
          <w:lang w:val="ro-RO"/>
        </w:rPr>
        <w:t xml:space="preserve"> </w:t>
      </w:r>
      <w:r w:rsidRPr="00E21CB9">
        <w:rPr>
          <w:rFonts w:ascii="Times New Roman" w:hAnsi="Times New Roman"/>
          <w:noProof/>
          <w:sz w:val="24"/>
          <w:szCs w:val="24"/>
          <w:lang w:val="ro-RO"/>
        </w:rPr>
        <w:t>explic</w:t>
      </w:r>
      <w:r w:rsidR="00B46E23" w:rsidRPr="00E21CB9">
        <w:rPr>
          <w:rFonts w:ascii="Times New Roman" w:hAnsi="Times New Roman"/>
          <w:noProof/>
          <w:sz w:val="24"/>
          <w:szCs w:val="24"/>
          <w:lang w:val="ro-RO"/>
        </w:rPr>
        <w:t>ând</w:t>
      </w:r>
      <w:r w:rsidRPr="00E21CB9">
        <w:rPr>
          <w:rFonts w:ascii="Times New Roman" w:hAnsi="Times New Roman"/>
          <w:noProof/>
          <w:sz w:val="24"/>
          <w:szCs w:val="24"/>
          <w:lang w:val="ro-RO"/>
        </w:rPr>
        <w:t xml:space="preserve"> mecanismele care ar fi trebui</w:t>
      </w:r>
      <w:r w:rsidR="003720C2" w:rsidRPr="00E21CB9">
        <w:rPr>
          <w:rFonts w:ascii="Times New Roman" w:hAnsi="Times New Roman"/>
          <w:noProof/>
          <w:sz w:val="24"/>
          <w:szCs w:val="24"/>
          <w:lang w:val="ro-RO"/>
        </w:rPr>
        <w:t>t</w:t>
      </w:r>
      <w:r w:rsidRPr="00E21CB9">
        <w:rPr>
          <w:rFonts w:ascii="Times New Roman" w:hAnsi="Times New Roman"/>
          <w:noProof/>
          <w:sz w:val="24"/>
          <w:szCs w:val="24"/>
          <w:lang w:val="ro-RO"/>
        </w:rPr>
        <w:t xml:space="preserve"> să impună păstrarea nivelului de protecție pe care, în exercitarea atribuțiilor sale constituționale, îl stabilise prin deciziile la a căror neaplicare a îndemnat instanța Uniunii.</w:t>
      </w:r>
    </w:p>
    <w:p w14:paraId="123C2EE2" w14:textId="1B0C1D96" w:rsidR="00AD4CBD" w:rsidRPr="00E21CB9" w:rsidRDefault="00AD4CBD"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Nici teoria nivelului uniform, nici jurisprudența Curții Europene a Drepturilor Omului</w:t>
      </w:r>
      <w:r w:rsidR="003720C2" w:rsidRPr="00E21CB9">
        <w:rPr>
          <w:rFonts w:ascii="Times New Roman" w:hAnsi="Times New Roman"/>
          <w:noProof/>
          <w:sz w:val="24"/>
          <w:szCs w:val="24"/>
          <w:lang w:val="ro-RO"/>
        </w:rPr>
        <w:t xml:space="preserve"> („C</w:t>
      </w:r>
      <w:r w:rsidR="00D7088F" w:rsidRPr="00E21CB9">
        <w:rPr>
          <w:rFonts w:ascii="Times New Roman" w:hAnsi="Times New Roman"/>
          <w:noProof/>
          <w:sz w:val="24"/>
          <w:szCs w:val="24"/>
          <w:lang w:val="ro-RO"/>
        </w:rPr>
        <w:t>t</w:t>
      </w:r>
      <w:r w:rsidR="003720C2" w:rsidRPr="00E21CB9">
        <w:rPr>
          <w:rFonts w:ascii="Times New Roman" w:hAnsi="Times New Roman"/>
          <w:noProof/>
          <w:sz w:val="24"/>
          <w:szCs w:val="24"/>
          <w:lang w:val="ro-RO"/>
        </w:rPr>
        <w:t>EDO”)</w:t>
      </w:r>
      <w:r w:rsidRPr="00E21CB9">
        <w:rPr>
          <w:rFonts w:ascii="Times New Roman" w:hAnsi="Times New Roman"/>
          <w:noProof/>
          <w:sz w:val="24"/>
          <w:szCs w:val="24"/>
          <w:lang w:val="ro-RO"/>
        </w:rPr>
        <w:t xml:space="preserve">, nici chiar propria jurisprudență a Curții de </w:t>
      </w:r>
      <w:r w:rsidR="00976141" w:rsidRPr="00E21CB9">
        <w:rPr>
          <w:rFonts w:ascii="Times New Roman" w:hAnsi="Times New Roman"/>
          <w:noProof/>
          <w:sz w:val="24"/>
          <w:szCs w:val="24"/>
          <w:lang w:val="ro-RO"/>
        </w:rPr>
        <w:t>J</w:t>
      </w:r>
      <w:r w:rsidRPr="00E21CB9">
        <w:rPr>
          <w:rFonts w:ascii="Times New Roman" w:hAnsi="Times New Roman"/>
          <w:noProof/>
          <w:sz w:val="24"/>
          <w:szCs w:val="24"/>
          <w:lang w:val="ro-RO"/>
        </w:rPr>
        <w:t xml:space="preserve">ustiție nu puteau explica relativizarea </w:t>
      </w:r>
      <w:r w:rsidR="00976141" w:rsidRPr="00E21CB9">
        <w:rPr>
          <w:rFonts w:ascii="Times New Roman" w:hAnsi="Times New Roman"/>
          <w:noProof/>
          <w:sz w:val="24"/>
          <w:szCs w:val="24"/>
          <w:lang w:val="ro-RO"/>
        </w:rPr>
        <w:t>dreptului la un proces echitabil</w:t>
      </w:r>
      <w:r w:rsidRPr="00E21CB9">
        <w:rPr>
          <w:rFonts w:ascii="Times New Roman" w:hAnsi="Times New Roman"/>
          <w:noProof/>
          <w:sz w:val="24"/>
          <w:szCs w:val="24"/>
          <w:lang w:val="ro-RO"/>
        </w:rPr>
        <w:t xml:space="preserve"> și </w:t>
      </w:r>
      <w:r w:rsidR="00976141" w:rsidRPr="00E21CB9">
        <w:rPr>
          <w:rFonts w:ascii="Times New Roman" w:hAnsi="Times New Roman"/>
          <w:noProof/>
          <w:sz w:val="24"/>
          <w:szCs w:val="24"/>
          <w:lang w:val="ro-RO"/>
        </w:rPr>
        <w:t>protecția acestuia</w:t>
      </w:r>
      <w:r w:rsidRPr="00E21CB9">
        <w:rPr>
          <w:rFonts w:ascii="Times New Roman" w:hAnsi="Times New Roman"/>
          <w:noProof/>
          <w:sz w:val="24"/>
          <w:szCs w:val="24"/>
          <w:lang w:val="ro-RO"/>
        </w:rPr>
        <w:t xml:space="preserve"> la un standard redus față de cel consacrat constituțional.</w:t>
      </w:r>
    </w:p>
    <w:p w14:paraId="29DF5165" w14:textId="37FC5289" w:rsidR="00AD4CBD" w:rsidRPr="00E21CB9" w:rsidRDefault="00AD4CBD"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 xml:space="preserve">Cu toate acestea, nu cunoaștem ca instanța de contencios constituțional </w:t>
      </w:r>
      <w:r w:rsidR="003B0318" w:rsidRPr="00E21CB9">
        <w:rPr>
          <w:rFonts w:ascii="Times New Roman" w:hAnsi="Times New Roman"/>
          <w:noProof/>
          <w:sz w:val="24"/>
          <w:szCs w:val="24"/>
          <w:lang w:val="ro-RO"/>
        </w:rPr>
        <w:t xml:space="preserve">din România </w:t>
      </w:r>
      <w:r w:rsidRPr="00E21CB9">
        <w:rPr>
          <w:rFonts w:ascii="Times New Roman" w:hAnsi="Times New Roman"/>
          <w:noProof/>
          <w:sz w:val="24"/>
          <w:szCs w:val="24"/>
          <w:lang w:val="ro-RO"/>
        </w:rPr>
        <w:t xml:space="preserve">să fi fost sesizată după pronunțarea CJUE pentru declanșarea </w:t>
      </w:r>
      <w:r w:rsidR="002B6B5E" w:rsidRPr="00E21CB9">
        <w:rPr>
          <w:rFonts w:ascii="Times New Roman" w:hAnsi="Times New Roman"/>
          <w:noProof/>
          <w:sz w:val="24"/>
          <w:szCs w:val="24"/>
          <w:lang w:val="ro-RO"/>
        </w:rPr>
        <w:t xml:space="preserve">așa-numitei </w:t>
      </w:r>
      <w:r w:rsidRPr="00E21CB9">
        <w:rPr>
          <w:rFonts w:ascii="Times New Roman" w:hAnsi="Times New Roman"/>
          <w:noProof/>
          <w:sz w:val="24"/>
          <w:szCs w:val="24"/>
          <w:lang w:val="ro-RO"/>
        </w:rPr>
        <w:t xml:space="preserve">proceduri </w:t>
      </w:r>
      <w:r w:rsidR="002B6B5E" w:rsidRPr="00E21CB9">
        <w:rPr>
          <w:rFonts w:ascii="Times New Roman" w:hAnsi="Times New Roman"/>
          <w:noProof/>
          <w:sz w:val="24"/>
          <w:szCs w:val="24"/>
          <w:lang w:val="ro-RO"/>
        </w:rPr>
        <w:t xml:space="preserve">a </w:t>
      </w:r>
      <w:r w:rsidRPr="00E21CB9">
        <w:rPr>
          <w:rFonts w:ascii="Times New Roman" w:hAnsi="Times New Roman"/>
          <w:b/>
          <w:bCs/>
          <w:noProof/>
          <w:sz w:val="24"/>
          <w:szCs w:val="24"/>
          <w:lang w:val="ro-RO"/>
        </w:rPr>
        <w:t>contralimitelor</w:t>
      </w:r>
      <w:r w:rsidRPr="00E21CB9">
        <w:rPr>
          <w:rFonts w:ascii="Times New Roman" w:hAnsi="Times New Roman"/>
          <w:noProof/>
          <w:sz w:val="24"/>
          <w:szCs w:val="24"/>
          <w:lang w:val="ro-RO"/>
        </w:rPr>
        <w:t xml:space="preserve">. Dimpotrivă, instanțele naționale au aplicat întocmai hotărârea CJUE, </w:t>
      </w:r>
      <w:r w:rsidR="00CD5660" w:rsidRPr="00E21CB9">
        <w:rPr>
          <w:rFonts w:ascii="Times New Roman" w:hAnsi="Times New Roman"/>
          <w:noProof/>
          <w:sz w:val="24"/>
          <w:szCs w:val="24"/>
          <w:lang w:val="ro-RO"/>
        </w:rPr>
        <w:t>răspunsul la întrebările</w:t>
      </w:r>
      <w:r w:rsidRPr="00E21CB9">
        <w:rPr>
          <w:rFonts w:ascii="Times New Roman" w:hAnsi="Times New Roman"/>
          <w:noProof/>
          <w:sz w:val="24"/>
          <w:szCs w:val="24"/>
          <w:lang w:val="ro-RO"/>
        </w:rPr>
        <w:t xml:space="preserve"> născute din situația astfel ivită fiind, cumva, prorogat pentru viitor.</w:t>
      </w:r>
    </w:p>
    <w:p w14:paraId="68652D58" w14:textId="6B668235" w:rsidR="00F62FF3" w:rsidRPr="00E21CB9" w:rsidRDefault="00F62FF3"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Antamând o reacție de acest fel, Curtea C</w:t>
      </w:r>
      <w:r w:rsidR="00B16281" w:rsidRPr="00E21CB9">
        <w:rPr>
          <w:rFonts w:ascii="Times New Roman" w:hAnsi="Times New Roman"/>
          <w:noProof/>
          <w:sz w:val="24"/>
          <w:szCs w:val="24"/>
          <w:lang w:val="ro-RO"/>
        </w:rPr>
        <w:t>o</w:t>
      </w:r>
      <w:r w:rsidRPr="00E21CB9">
        <w:rPr>
          <w:rFonts w:ascii="Times New Roman" w:hAnsi="Times New Roman"/>
          <w:noProof/>
          <w:sz w:val="24"/>
          <w:szCs w:val="24"/>
          <w:lang w:val="ro-RO"/>
        </w:rPr>
        <w:t xml:space="preserve">nstituțională </w:t>
      </w:r>
      <w:r w:rsidR="001C4ED6" w:rsidRPr="00E21CB9">
        <w:rPr>
          <w:rFonts w:ascii="Times New Roman" w:hAnsi="Times New Roman"/>
          <w:noProof/>
          <w:sz w:val="24"/>
          <w:szCs w:val="24"/>
          <w:lang w:val="ro-RO"/>
        </w:rPr>
        <w:t>declarase</w:t>
      </w:r>
      <w:r w:rsidRPr="00E21CB9">
        <w:rPr>
          <w:rStyle w:val="FootnoteReference"/>
          <w:rFonts w:ascii="Times New Roman" w:hAnsi="Times New Roman"/>
          <w:noProof/>
          <w:sz w:val="24"/>
          <w:szCs w:val="24"/>
          <w:lang w:val="ro-RO"/>
        </w:rPr>
        <w:footnoteReference w:id="2"/>
      </w:r>
      <w:r w:rsidRPr="00E21CB9">
        <w:rPr>
          <w:rFonts w:ascii="Times New Roman" w:hAnsi="Times New Roman"/>
          <w:noProof/>
          <w:sz w:val="24"/>
          <w:szCs w:val="24"/>
          <w:lang w:val="ro-RO"/>
        </w:rPr>
        <w:t>:</w:t>
      </w:r>
    </w:p>
    <w:p w14:paraId="16205F0E" w14:textId="77777777" w:rsidR="00F62FF3" w:rsidRPr="00E21CB9" w:rsidRDefault="00F62FF3" w:rsidP="00F10A47">
      <w:pPr>
        <w:spacing w:after="200" w:line="276" w:lineRule="auto"/>
        <w:jc w:val="both"/>
        <w:rPr>
          <w:rFonts w:ascii="Times New Roman" w:hAnsi="Times New Roman"/>
          <w:i/>
          <w:iCs/>
          <w:noProof/>
          <w:sz w:val="24"/>
          <w:szCs w:val="24"/>
          <w:lang w:val="ro-RO"/>
        </w:rPr>
      </w:pPr>
      <w:r w:rsidRPr="00E21CB9">
        <w:rPr>
          <w:rFonts w:ascii="Times New Roman" w:hAnsi="Times New Roman"/>
          <w:i/>
          <w:iCs/>
          <w:noProof/>
          <w:sz w:val="24"/>
          <w:szCs w:val="24"/>
          <w:lang w:val="ro-RO"/>
        </w:rPr>
        <w:t xml:space="preserve">Subliniem faptul că, potrivit art.147 alin.(4) din Constituție, deciziile Curții Constituționale sunt și rămân general obligatorii. </w:t>
      </w:r>
    </w:p>
    <w:p w14:paraId="47DC4241" w14:textId="07B6A798" w:rsidR="004F695C" w:rsidRPr="00E21CB9" w:rsidRDefault="00F62FF3" w:rsidP="00F10A47">
      <w:pPr>
        <w:spacing w:after="200" w:line="276" w:lineRule="auto"/>
        <w:jc w:val="both"/>
        <w:rPr>
          <w:rFonts w:ascii="Times New Roman" w:hAnsi="Times New Roman"/>
          <w:i/>
          <w:iCs/>
          <w:noProof/>
          <w:sz w:val="24"/>
          <w:szCs w:val="24"/>
          <w:lang w:val="ro-RO"/>
        </w:rPr>
      </w:pPr>
      <w:r w:rsidRPr="00E21CB9">
        <w:rPr>
          <w:rFonts w:ascii="Times New Roman" w:hAnsi="Times New Roman"/>
          <w:i/>
          <w:iCs/>
          <w:noProof/>
          <w:sz w:val="24"/>
          <w:szCs w:val="24"/>
          <w:lang w:val="ro-RO"/>
        </w:rPr>
        <w:t>De altfel, și CJUE recunoaște, în cuprinsul Hotărârii sale din 21 decembrie 2021, caracterul obligatoriu al deciziilor Curții Constituționale. Cu toate acestea, concluziile din Hotărârea CJUE potrivit cărora efectele principiului supremației dreptului UE se impun tuturor organelor unui stat membru, fără ca dispozițiile interne, inclusiv cele de ordin constituțional să poată împiedica acest lucru, și potrivit cărora instanțele naționale sunt ținute să lase neaplicate, din oficiu, orice reglementare sau practică națională contrară unei dispoziții a dreptului UE, presupun revizuirea Constituției în vigoare. În plan practic, efectele acestei Hotărâri se pot produce numai după revizuirea Constituției în vigoare, care, însă, nu se poate face de drept, ci exclusiv la inițiativa anumitor subiecte de drept, cu respectarea procedurii și în condițiile prevăzute chiar în Constituția României.</w:t>
      </w:r>
    </w:p>
    <w:p w14:paraId="7AAE8D16" w14:textId="77777777" w:rsidR="00BA0E6C" w:rsidRPr="00E21CB9" w:rsidRDefault="00F75FF6"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Nu era prima dată când CCR afirma</w:t>
      </w:r>
      <w:r w:rsidR="003A4BC8" w:rsidRPr="00E21CB9">
        <w:rPr>
          <w:rFonts w:ascii="Times New Roman" w:hAnsi="Times New Roman"/>
          <w:noProof/>
          <w:sz w:val="24"/>
          <w:szCs w:val="24"/>
          <w:lang w:val="ro-RO"/>
        </w:rPr>
        <w:t xml:space="preserve"> supremația Constituției asupra dreptului UE. </w:t>
      </w:r>
    </w:p>
    <w:p w14:paraId="1682FDD5" w14:textId="3778F8FD" w:rsidR="00F75FF6" w:rsidRPr="00E21CB9" w:rsidRDefault="00BA0E6C"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Prin</w:t>
      </w:r>
      <w:r w:rsidR="003A4BC8" w:rsidRPr="00E21CB9">
        <w:rPr>
          <w:rFonts w:ascii="Times New Roman" w:hAnsi="Times New Roman"/>
          <w:noProof/>
          <w:sz w:val="24"/>
          <w:szCs w:val="24"/>
          <w:lang w:val="ro-RO"/>
        </w:rPr>
        <w:t xml:space="preserve"> Decizia</w:t>
      </w:r>
      <w:r w:rsidR="003A4BC8" w:rsidRPr="00E21CB9">
        <w:rPr>
          <w:rStyle w:val="markedcontent"/>
          <w:rFonts w:ascii="Times New Roman" w:hAnsi="Times New Roman"/>
          <w:noProof/>
          <w:sz w:val="24"/>
          <w:szCs w:val="24"/>
          <w:lang w:val="ro-RO"/>
        </w:rPr>
        <w:t xml:space="preserve"> nr.</w:t>
      </w:r>
      <w:r w:rsidRPr="00E21CB9">
        <w:rPr>
          <w:rStyle w:val="markedcontent"/>
          <w:rFonts w:ascii="Times New Roman" w:hAnsi="Times New Roman"/>
          <w:noProof/>
          <w:sz w:val="24"/>
          <w:szCs w:val="24"/>
          <w:lang w:val="ro-RO"/>
        </w:rPr>
        <w:t xml:space="preserve"> </w:t>
      </w:r>
      <w:r w:rsidR="003A4BC8" w:rsidRPr="00E21CB9">
        <w:rPr>
          <w:rStyle w:val="markedcontent"/>
          <w:rFonts w:ascii="Times New Roman" w:hAnsi="Times New Roman"/>
          <w:noProof/>
          <w:sz w:val="24"/>
          <w:szCs w:val="24"/>
          <w:lang w:val="ro-RO"/>
        </w:rPr>
        <w:t>390</w:t>
      </w:r>
      <w:r w:rsidRPr="00E21CB9">
        <w:rPr>
          <w:rStyle w:val="markedcontent"/>
          <w:rFonts w:ascii="Times New Roman" w:hAnsi="Times New Roman"/>
          <w:noProof/>
          <w:sz w:val="24"/>
          <w:szCs w:val="24"/>
          <w:lang w:val="ro-RO"/>
        </w:rPr>
        <w:t xml:space="preserve"> </w:t>
      </w:r>
      <w:r w:rsidR="003A4BC8" w:rsidRPr="00E21CB9">
        <w:rPr>
          <w:rStyle w:val="markedcontent"/>
          <w:rFonts w:ascii="Times New Roman" w:hAnsi="Times New Roman"/>
          <w:noProof/>
          <w:sz w:val="24"/>
          <w:szCs w:val="24"/>
          <w:lang w:val="ro-RO"/>
        </w:rPr>
        <w:t>din 8 iunie 2021, pe care o apreciem ca istorică, în ciuda unei aparente discreții în dreptul na</w:t>
      </w:r>
      <w:r w:rsidRPr="00E21CB9">
        <w:rPr>
          <w:rStyle w:val="markedcontent"/>
          <w:rFonts w:ascii="Times New Roman" w:hAnsi="Times New Roman"/>
          <w:noProof/>
          <w:sz w:val="24"/>
          <w:szCs w:val="24"/>
          <w:lang w:val="ro-RO"/>
        </w:rPr>
        <w:t>ț</w:t>
      </w:r>
      <w:r w:rsidR="003A4BC8" w:rsidRPr="00E21CB9">
        <w:rPr>
          <w:rStyle w:val="markedcontent"/>
          <w:rFonts w:ascii="Times New Roman" w:hAnsi="Times New Roman"/>
          <w:noProof/>
          <w:sz w:val="24"/>
          <w:szCs w:val="24"/>
          <w:lang w:val="ro-RO"/>
        </w:rPr>
        <w:t>ional cu privire la considerentele</w:t>
      </w:r>
      <w:r w:rsidR="00A03792" w:rsidRPr="00E21CB9">
        <w:rPr>
          <w:rStyle w:val="markedcontent"/>
          <w:rFonts w:ascii="Times New Roman" w:hAnsi="Times New Roman"/>
          <w:noProof/>
          <w:sz w:val="24"/>
          <w:szCs w:val="24"/>
          <w:lang w:val="ro-RO"/>
        </w:rPr>
        <w:t xml:space="preserve"> sale, </w:t>
      </w:r>
      <w:r w:rsidRPr="00E21CB9">
        <w:rPr>
          <w:rStyle w:val="markedcontent"/>
          <w:rFonts w:ascii="Times New Roman" w:hAnsi="Times New Roman"/>
          <w:noProof/>
          <w:sz w:val="24"/>
          <w:szCs w:val="24"/>
          <w:lang w:val="ro-RO"/>
        </w:rPr>
        <w:t>CCR</w:t>
      </w:r>
      <w:r w:rsidR="00A03792" w:rsidRPr="00E21CB9">
        <w:rPr>
          <w:rStyle w:val="markedcontent"/>
          <w:rFonts w:ascii="Times New Roman" w:hAnsi="Times New Roman"/>
          <w:noProof/>
          <w:sz w:val="24"/>
          <w:szCs w:val="24"/>
          <w:lang w:val="ro-RO"/>
        </w:rPr>
        <w:t xml:space="preserve"> statua:</w:t>
      </w:r>
    </w:p>
    <w:p w14:paraId="5C09DCBA" w14:textId="77777777" w:rsidR="00F75FF6" w:rsidRPr="00E21CB9" w:rsidRDefault="00F75FF6" w:rsidP="003A4BC8">
      <w:pPr>
        <w:spacing w:after="0" w:line="240" w:lineRule="auto"/>
        <w:jc w:val="both"/>
        <w:rPr>
          <w:rFonts w:ascii="Times New Roman" w:hAnsi="Times New Roman"/>
          <w:i/>
          <w:iCs/>
          <w:noProof/>
          <w:sz w:val="24"/>
          <w:szCs w:val="24"/>
          <w:lang w:val="ro-RO"/>
        </w:rPr>
      </w:pPr>
      <w:r w:rsidRPr="00E21CB9">
        <w:rPr>
          <w:rFonts w:ascii="Times New Roman" w:hAnsi="Times New Roman"/>
          <w:i/>
          <w:iCs/>
          <w:noProof/>
          <w:sz w:val="24"/>
          <w:szCs w:val="24"/>
          <w:lang w:val="ro-RO"/>
        </w:rPr>
        <w:t>80. În acest context, Curtea constată că raportul dintre dreptul național și dreptul internațional este</w:t>
      </w:r>
      <w:r w:rsidRPr="00E21CB9">
        <w:rPr>
          <w:rFonts w:ascii="Times New Roman" w:hAnsi="Times New Roman"/>
          <w:i/>
          <w:iCs/>
          <w:noProof/>
          <w:sz w:val="24"/>
          <w:szCs w:val="24"/>
          <w:lang w:val="ro-RO"/>
        </w:rPr>
        <w:br/>
        <w:t>stabilit în Constituția României în cuprinsul art.11 și art.20. Din interpretarea coroborată a celor două norme constituționale se desprind următoarele principii: (i) angajamentul asumat de  întocmai și cu bună-credință obligațiile ce-i revin din tratatele la care este parte; (ii) prin ratificarea actelor</w:t>
      </w:r>
      <w:r w:rsidRPr="00E21CB9">
        <w:rPr>
          <w:rFonts w:ascii="Times New Roman" w:hAnsi="Times New Roman"/>
          <w:i/>
          <w:iCs/>
          <w:noProof/>
          <w:sz w:val="24"/>
          <w:szCs w:val="24"/>
          <w:lang w:val="ro-RO"/>
        </w:rPr>
        <w:br/>
        <w:t>sau tratatelor internaționale de către Parlamentul României, acestea devin norme naționale, de drept</w:t>
      </w:r>
      <w:r w:rsidRPr="00E21CB9">
        <w:rPr>
          <w:rFonts w:ascii="Times New Roman" w:hAnsi="Times New Roman"/>
          <w:i/>
          <w:iCs/>
          <w:noProof/>
          <w:sz w:val="24"/>
          <w:szCs w:val="24"/>
          <w:lang w:val="ro-RO"/>
        </w:rPr>
        <w:br/>
        <w:t>intern; (iii) supremația Constituției României în raport cu dreptul internațional: România nu poate</w:t>
      </w:r>
      <w:r w:rsidRPr="00E21CB9">
        <w:rPr>
          <w:rFonts w:ascii="Times New Roman" w:hAnsi="Times New Roman"/>
          <w:i/>
          <w:iCs/>
          <w:noProof/>
          <w:sz w:val="24"/>
          <w:szCs w:val="24"/>
          <w:lang w:val="ro-RO"/>
        </w:rPr>
        <w:br/>
      </w:r>
      <w:r w:rsidRPr="00E21CB9">
        <w:rPr>
          <w:rFonts w:ascii="Times New Roman" w:hAnsi="Times New Roman"/>
          <w:i/>
          <w:iCs/>
          <w:noProof/>
          <w:sz w:val="24"/>
          <w:szCs w:val="24"/>
          <w:lang w:val="ro-RO"/>
        </w:rPr>
        <w:lastRenderedPageBreak/>
        <w:t>ratifica un tratat internațional care cuprinde dispoziții contrare Constituției decât după revizuirea prealabilă a Legii fundamentale naționale; (iv) interpretarea și aplicarea dispozițiilor constituționale privind drepturile și libertățile cetățenilor se realizează în concordanță cu Declarația Universală a Drepturilor Omului, cu pactele și cu celelalte tratate la care România este parte; (v) în materia drepturilor omului, conflictul între un tratat internațional la care România este parte și dreptul intern</w:t>
      </w:r>
    </w:p>
    <w:p w14:paraId="5141DAC3" w14:textId="77777777" w:rsidR="003A4BC8" w:rsidRPr="00E21CB9" w:rsidRDefault="00F75FF6" w:rsidP="003A4BC8">
      <w:pPr>
        <w:spacing w:after="0" w:line="240" w:lineRule="auto"/>
        <w:jc w:val="both"/>
        <w:rPr>
          <w:rFonts w:ascii="Times New Roman" w:hAnsi="Times New Roman"/>
          <w:i/>
          <w:iCs/>
          <w:noProof/>
          <w:sz w:val="24"/>
          <w:szCs w:val="24"/>
          <w:lang w:val="ro-RO"/>
        </w:rPr>
      </w:pPr>
      <w:r w:rsidRPr="00E21CB9">
        <w:rPr>
          <w:rFonts w:ascii="Times New Roman" w:hAnsi="Times New Roman"/>
          <w:i/>
          <w:iCs/>
          <w:noProof/>
          <w:sz w:val="24"/>
          <w:szCs w:val="24"/>
          <w:lang w:val="ro-RO"/>
        </w:rPr>
        <w:t>se soluționează în favoarea tratatului internațional doar dacă acesta cuprinde norme mai favorabile.</w:t>
      </w:r>
    </w:p>
    <w:p w14:paraId="56841DEF" w14:textId="257D4161" w:rsidR="003A4BC8" w:rsidRPr="00E21CB9" w:rsidRDefault="00F75FF6" w:rsidP="003A4BC8">
      <w:pPr>
        <w:spacing w:after="0" w:line="240" w:lineRule="auto"/>
        <w:jc w:val="both"/>
        <w:rPr>
          <w:rFonts w:ascii="Times New Roman" w:hAnsi="Times New Roman"/>
          <w:i/>
          <w:iCs/>
          <w:noProof/>
          <w:sz w:val="24"/>
          <w:szCs w:val="24"/>
          <w:lang w:val="ro-RO"/>
        </w:rPr>
      </w:pPr>
      <w:r w:rsidRPr="00E21CB9">
        <w:rPr>
          <w:rFonts w:ascii="Times New Roman" w:hAnsi="Times New Roman"/>
          <w:i/>
          <w:iCs/>
          <w:noProof/>
          <w:sz w:val="24"/>
          <w:szCs w:val="24"/>
          <w:lang w:val="ro-RO"/>
        </w:rPr>
        <w:br/>
        <w:t>81. O reglementare specială în Constituția României o are raportul dintre dreptul național și dreptul</w:t>
      </w:r>
      <w:r w:rsidRPr="00E21CB9">
        <w:rPr>
          <w:rFonts w:ascii="Times New Roman" w:hAnsi="Times New Roman"/>
          <w:i/>
          <w:iCs/>
          <w:noProof/>
          <w:sz w:val="24"/>
          <w:szCs w:val="24"/>
          <w:lang w:val="ro-RO"/>
        </w:rPr>
        <w:br/>
        <w:t>Uniunii Europene, care este stabilit în cuprinsul art.148 alin.(2) și (4), potrivit căruia: „(2) Ca urmare a aderării, prevederile tratatelor constitutive ale Uniunii Europene, precum și celelalte reglementări comunitare cu caracter obligatoriu, au prioritate față de dispozițiile contrare din legile interne, cu respectarea prevederilor actului de aderare.[...] (4) Parlamentul, Președintele României, Guvernul și autoritatea judecătorească garantează aducerea la îndeplinire a obligațiilor rezultate din actul aderării și din prevederile alineatului (2).” Astfel, clauza de aderare la Uniunea Europeană cuprinde în subsidiar o</w:t>
      </w:r>
      <w:r w:rsidR="003A4BC8"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clauză de conformitate cu dreptul U.E., potrivit căreia toate organele naționale ale statului sunt obligate în</w:t>
      </w:r>
      <w:r w:rsidR="003A4BC8"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principiu să implementeze și aplice dreptul U.E. Acest lucru este valabil și pentru Curtea Constituțională,</w:t>
      </w:r>
      <w:r w:rsidR="003A4BC8"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care asigură, în virtutea art.148 din Constituție,</w:t>
      </w:r>
      <w:r w:rsidR="003A4BC8"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prioritatea de aplicare a dreptului european. Însă această</w:t>
      </w:r>
      <w:r w:rsidR="003A4BC8"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prioritate de aplicare nu trebuie percepută în sensul înlăturării sau desconsiderării identității</w:t>
      </w:r>
      <w:r w:rsidR="003A4BC8"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constituționale naționale, consacrate de art.11 alin.(3) coroborat cu art.152 din Legea fundamentală, ca</w:t>
      </w:r>
      <w:r w:rsidR="003A4BC8"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garanție a unui nucleu identitar de fond al Constituției României și care nu trebuie relativizată în procesul</w:t>
      </w:r>
      <w:r w:rsidR="003A4BC8"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integrării europene. În virtutea acestei identități constituționale, Curtea Constituțională este abilitată să</w:t>
      </w:r>
      <w:r w:rsidR="003A4BC8"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asigure supremația Legii fundamentale pe teritoriul României (a se vedea mutatis mutandis Hotărârea din</w:t>
      </w:r>
      <w:r w:rsidR="003A4BC8"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30 iunie 2009, 2 BvE 2/08 ș.a., pronunțată de Curtea Constituțională Federală a Republicii Federale</w:t>
      </w:r>
      <w:r w:rsidRPr="00E21CB9">
        <w:rPr>
          <w:rFonts w:ascii="Times New Roman" w:hAnsi="Times New Roman"/>
          <w:i/>
          <w:iCs/>
          <w:noProof/>
          <w:sz w:val="24"/>
          <w:szCs w:val="24"/>
          <w:lang w:val="ro-RO"/>
        </w:rPr>
        <w:br/>
        <w:t>Germania). Potrivit clauzei de conformare cuprinse chiar în textul art.148 din Constituţie, România nu</w:t>
      </w:r>
      <w:r w:rsidR="003A4BC8"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poate adopta un act normativ contrar obligaţiilor la care s-a angajat în calitate de stat membru (a se vedea</w:t>
      </w:r>
      <w:r w:rsidR="003A4BC8"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Decizia nr.887 din 15 decembrie 2015, publicată în Monitorul Oficial al României, Partea I, nr.191 din 15</w:t>
      </w:r>
      <w:r w:rsidR="003A4BC8"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martie 2016, paragraful 75), însă cele anterior arătate cunosc desigur o limită constituţională, întemeiată</w:t>
      </w:r>
      <w:r w:rsidR="003A4BC8"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pe conceptul de ”identitate constituţională naţională” (a se vedea Decizia nr.683 din 27 iunie 2012,</w:t>
      </w:r>
      <w:r w:rsidR="003A4BC8"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publicată în Monitorul Oficial al României, Partea I, nr.479 din 12 iulie 2012, sau Decizia nr.64 din 24</w:t>
      </w:r>
      <w:r w:rsidR="003A4BC8"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februarie 2015, publicată în Monitorul Oficial al României, Partea I, nr.286 din 28 aprilie 2015, Decizia</w:t>
      </w:r>
      <w:r w:rsidR="003A4BC8"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nr.104 din 6 martie 2018, publicată în Monitorul Oficial al României, Partea I, nr.446 din 29 mai 2018,par.81).</w:t>
      </w:r>
    </w:p>
    <w:p w14:paraId="4AA76307" w14:textId="77777777" w:rsidR="003A4BC8" w:rsidRPr="00E21CB9" w:rsidRDefault="00F75FF6" w:rsidP="003A4BC8">
      <w:pPr>
        <w:spacing w:after="0" w:line="240" w:lineRule="auto"/>
        <w:jc w:val="both"/>
        <w:rPr>
          <w:rFonts w:ascii="Times New Roman" w:hAnsi="Times New Roman"/>
          <w:i/>
          <w:iCs/>
          <w:noProof/>
          <w:sz w:val="24"/>
          <w:szCs w:val="24"/>
          <w:lang w:val="ro-RO"/>
        </w:rPr>
      </w:pPr>
      <w:r w:rsidRPr="00E21CB9">
        <w:rPr>
          <w:rFonts w:ascii="Times New Roman" w:hAnsi="Times New Roman"/>
          <w:i/>
          <w:iCs/>
          <w:noProof/>
          <w:sz w:val="24"/>
          <w:szCs w:val="24"/>
          <w:lang w:val="ro-RO"/>
        </w:rPr>
        <w:br/>
        <w:t>82. Pe de altă parte, chiar articolul 4 paragraful 2 TUE, stabilind în mod expres că Uniunea respectă</w:t>
      </w:r>
      <w:r w:rsidRPr="00E21CB9">
        <w:rPr>
          <w:rFonts w:ascii="Times New Roman" w:hAnsi="Times New Roman"/>
          <w:i/>
          <w:iCs/>
          <w:noProof/>
          <w:sz w:val="24"/>
          <w:szCs w:val="24"/>
          <w:lang w:val="ro-RO"/>
        </w:rPr>
        <w:br/>
        <w:t>”egalitatea statelor membre în raport cu tratatele”, ”identitatea lor națională” și ”funcțiile esențiale ale</w:t>
      </w:r>
      <w:r w:rsidR="003A4BC8"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statului”, folosește conceptul de ”identitate națională”, care este ”inerentă structurilor</w:t>
      </w:r>
      <w:r w:rsidR="003A4BC8"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fundamentale politice</w:t>
      </w:r>
      <w:r w:rsidR="003A4BC8"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și constituționale” ale statelor membre și care are semnificația că procesul de integrare constituțională în</w:t>
      </w:r>
      <w:r w:rsidR="003A4BC8"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cadrul U.E. are ca limită tocmai structurile fundamentale, politice și constituționale, ale statelor membre.</w:t>
      </w:r>
    </w:p>
    <w:p w14:paraId="25B209EA" w14:textId="407C0A3F" w:rsidR="00F75FF6" w:rsidRPr="00E21CB9" w:rsidRDefault="00F75FF6" w:rsidP="003A4BC8">
      <w:pPr>
        <w:spacing w:after="0" w:line="240" w:lineRule="auto"/>
        <w:jc w:val="both"/>
        <w:rPr>
          <w:rFonts w:ascii="Times New Roman" w:hAnsi="Times New Roman"/>
          <w:i/>
          <w:iCs/>
          <w:noProof/>
          <w:sz w:val="24"/>
          <w:szCs w:val="24"/>
          <w:lang w:val="ro-RO"/>
        </w:rPr>
      </w:pPr>
      <w:r w:rsidRPr="00E21CB9">
        <w:rPr>
          <w:rFonts w:ascii="Times New Roman" w:hAnsi="Times New Roman"/>
          <w:i/>
          <w:iCs/>
          <w:noProof/>
          <w:sz w:val="24"/>
          <w:szCs w:val="24"/>
          <w:lang w:val="ro-RO"/>
        </w:rPr>
        <w:br/>
        <w:t>83. Curtea reține că o instanță judecătorească are abilitarea să analizeze conformitatea unei</w:t>
      </w:r>
      <w:r w:rsidRPr="00E21CB9">
        <w:rPr>
          <w:rFonts w:ascii="Times New Roman" w:hAnsi="Times New Roman"/>
          <w:i/>
          <w:iCs/>
          <w:noProof/>
          <w:sz w:val="24"/>
          <w:szCs w:val="24"/>
          <w:lang w:val="ro-RO"/>
        </w:rPr>
        <w:br/>
        <w:t>dispoziții „din legile interne”, deci aparținând dreptului intern, cu dispozițiile de drept european prin prisma</w:t>
      </w:r>
      <w:r w:rsidR="003A4BC8"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 xml:space="preserve">art.148 din Constituție și, în cazul în care constată contrarietatea, are competența să </w:t>
      </w:r>
      <w:r w:rsidRPr="00E21CB9">
        <w:rPr>
          <w:rFonts w:ascii="Times New Roman" w:hAnsi="Times New Roman"/>
          <w:i/>
          <w:iCs/>
          <w:noProof/>
          <w:sz w:val="24"/>
          <w:szCs w:val="24"/>
          <w:lang w:val="ro-RO"/>
        </w:rPr>
        <w:lastRenderedPageBreak/>
        <w:t>aplice cu prioritate</w:t>
      </w:r>
      <w:r w:rsidR="003A4BC8"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dispozițiile de drept al Uniunii în litigiile ce antamează drepturile subiective ale cetățenilor. În toate</w:t>
      </w:r>
      <w:r w:rsidR="003A4BC8"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cazurile, Curtea constată că, prin noțiunile de „legi interne” și „drept intern”, Constituția are în</w:t>
      </w:r>
      <w:r w:rsidR="003A4BC8"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vedere exclusiv legislația infraconstituțională, Legea fundamentală prezervându-și poziția ierarhic</w:t>
      </w:r>
      <w:r w:rsidR="003A4BC8"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superioară în virtutea art.11 alin.(3) din Legea fundamentală. Așa fiind, atunci când stabilește că</w:t>
      </w:r>
      <w:r w:rsidR="003A4BC8"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„prevederile tratatelor constitutive ale Uniunii Europene, precum și celelalte reglementări comunitare cu</w:t>
      </w:r>
      <w:r w:rsidR="003A4BC8"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caracter obligatoriu, au prioritate față de dispozițiile contrare din legile interne”, art.148 din Constituție nu</w:t>
      </w:r>
      <w:r w:rsidR="003A4BC8"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atribuie dreptului Uniunii prioritate de aplicare față de Constituția României, astfel că o instanță</w:t>
      </w:r>
      <w:r w:rsidR="003A4BC8"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națională nu are abilitarea de a analiza conformitatea unei dispoziții din dreptul intern, constatate</w:t>
      </w:r>
      <w:r w:rsidR="003A4BC8"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ca fiind constituționale prin prisma art.148 din Constituție, cu dispozițiile de drept european.</w:t>
      </w:r>
      <w:r w:rsidR="003A4BC8"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Sistemul dreptului românesc este format din totalitatea normelor juridice adoptate de către statul român şi</w:t>
      </w:r>
      <w:r w:rsidR="003A4BC8"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care trebuie să fie în consonanţă cu principiul supremaţiei Constituţiei şi principiul legalităţii, care sunt de</w:t>
      </w:r>
      <w:r w:rsidR="003A4BC8"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esenţa cerinţelor statului de drept, principii înscrise în art.1 alin.(5) din Constituţie, potrivit căruia ”În</w:t>
      </w:r>
      <w:r w:rsidR="003A4BC8"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România, respectarea Constituţiei, a supremaţiei sale şi a legilor este obligatorie”, unica autoritate</w:t>
      </w:r>
      <w:r w:rsidR="003A4BC8"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legiuitoare a ţării fiind Parlamentul, având în vedere că statul se organizează potrivit principiului separaţiei</w:t>
      </w:r>
      <w:r w:rsidR="003A4BC8"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şi echilibrului puterilor - legislativă, executivă şi judecătorească - în cadrul democraţiei constituţionale.</w:t>
      </w:r>
      <w:r w:rsidR="003A4BC8"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 xml:space="preserve">Democraţia constituţională, într-un stat de drept, nu este însă o abstracţie, ci este o realitate a unui </w:t>
      </w:r>
      <w:r w:rsidR="003A4BC8" w:rsidRPr="00E21CB9">
        <w:rPr>
          <w:rFonts w:ascii="Times New Roman" w:hAnsi="Times New Roman"/>
          <w:i/>
          <w:iCs/>
          <w:noProof/>
          <w:sz w:val="24"/>
          <w:szCs w:val="24"/>
          <w:lang w:val="ro-RO"/>
        </w:rPr>
        <w:t>s</w:t>
      </w:r>
      <w:r w:rsidR="0055776A" w:rsidRPr="00E21CB9">
        <w:rPr>
          <w:rFonts w:ascii="Times New Roman" w:hAnsi="Times New Roman"/>
          <w:i/>
          <w:iCs/>
          <w:noProof/>
          <w:sz w:val="24"/>
          <w:szCs w:val="24"/>
          <w:lang w:val="ro-RO"/>
        </w:rPr>
        <w:t>i</w:t>
      </w:r>
      <w:r w:rsidR="003A4BC8" w:rsidRPr="00E21CB9">
        <w:rPr>
          <w:rFonts w:ascii="Times New Roman" w:hAnsi="Times New Roman"/>
          <w:i/>
          <w:iCs/>
          <w:noProof/>
          <w:sz w:val="24"/>
          <w:szCs w:val="24"/>
          <w:lang w:val="ro-RO"/>
        </w:rPr>
        <w:t xml:space="preserve">stem </w:t>
      </w:r>
      <w:r w:rsidRPr="00E21CB9">
        <w:rPr>
          <w:rFonts w:ascii="Times New Roman" w:hAnsi="Times New Roman"/>
          <w:i/>
          <w:iCs/>
          <w:noProof/>
          <w:sz w:val="24"/>
          <w:szCs w:val="24"/>
          <w:lang w:val="ro-RO"/>
        </w:rPr>
        <w:t>în cadrul căruia</w:t>
      </w:r>
      <w:r w:rsidR="003A4BC8"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supremaţia Constituţiei limitează suveranitatea legiuitorului, care în procesul de creare a</w:t>
      </w:r>
      <w:r w:rsidR="00BA0E6C"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normelor juridice şi de adoptare a unor acte normative trebuie să ţină cont de o serie de principii de rang</w:t>
      </w:r>
      <w:r w:rsidR="003A4BC8"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constituţional (a se vedea Decizia nr.104 din 6 martie 2018, publicată în Monitorul Oficial al României,</w:t>
      </w:r>
      <w:r w:rsidR="003A4BC8" w:rsidRPr="00E21CB9">
        <w:rPr>
          <w:rFonts w:ascii="Times New Roman" w:hAnsi="Times New Roman"/>
          <w:i/>
          <w:iCs/>
          <w:noProof/>
          <w:sz w:val="24"/>
          <w:szCs w:val="24"/>
          <w:lang w:val="ro-RO"/>
        </w:rPr>
        <w:t xml:space="preserve"> </w:t>
      </w:r>
      <w:r w:rsidRPr="00E21CB9">
        <w:rPr>
          <w:rFonts w:ascii="Times New Roman" w:hAnsi="Times New Roman"/>
          <w:i/>
          <w:iCs/>
          <w:noProof/>
          <w:sz w:val="24"/>
          <w:szCs w:val="24"/>
          <w:lang w:val="ro-RO"/>
        </w:rPr>
        <w:t>Partea I, nr.446 din 29 mai 2018, par.73)</w:t>
      </w:r>
      <w:r w:rsidR="003A4BC8" w:rsidRPr="00E21CB9">
        <w:rPr>
          <w:rFonts w:ascii="Times New Roman" w:hAnsi="Times New Roman"/>
          <w:i/>
          <w:iCs/>
          <w:noProof/>
          <w:sz w:val="24"/>
          <w:szCs w:val="24"/>
          <w:lang w:val="ro-RO"/>
        </w:rPr>
        <w:t>.</w:t>
      </w:r>
    </w:p>
    <w:p w14:paraId="0CDB7545" w14:textId="77777777" w:rsidR="003A4BC8" w:rsidRPr="00E21CB9" w:rsidRDefault="003A4BC8" w:rsidP="003A4BC8">
      <w:pPr>
        <w:spacing w:after="0" w:line="240" w:lineRule="auto"/>
        <w:jc w:val="both"/>
        <w:rPr>
          <w:rFonts w:ascii="Times New Roman" w:eastAsia="Times New Roman" w:hAnsi="Times New Roman"/>
          <w:i/>
          <w:iCs/>
          <w:noProof/>
          <w:sz w:val="24"/>
          <w:szCs w:val="24"/>
          <w:lang w:val="ro-RO"/>
        </w:rPr>
      </w:pPr>
    </w:p>
    <w:p w14:paraId="3B2E1E77" w14:textId="6A76BF16" w:rsidR="00AD4CBD" w:rsidRPr="00E21CB9" w:rsidRDefault="00AD4CBD"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România a intrat</w:t>
      </w:r>
      <w:r w:rsidR="00BA0E6C" w:rsidRPr="00E21CB9">
        <w:rPr>
          <w:rFonts w:ascii="Times New Roman" w:hAnsi="Times New Roman"/>
          <w:noProof/>
          <w:sz w:val="24"/>
          <w:szCs w:val="24"/>
          <w:lang w:val="ro-RO"/>
        </w:rPr>
        <w:t>,</w:t>
      </w:r>
      <w:r w:rsidRPr="00E21CB9">
        <w:rPr>
          <w:rFonts w:ascii="Times New Roman" w:hAnsi="Times New Roman"/>
          <w:noProof/>
          <w:sz w:val="24"/>
          <w:szCs w:val="24"/>
          <w:lang w:val="ro-RO"/>
        </w:rPr>
        <w:t xml:space="preserve"> astfel</w:t>
      </w:r>
      <w:r w:rsidR="00BA0E6C" w:rsidRPr="00E21CB9">
        <w:rPr>
          <w:rFonts w:ascii="Times New Roman" w:hAnsi="Times New Roman"/>
          <w:noProof/>
          <w:sz w:val="24"/>
          <w:szCs w:val="24"/>
          <w:lang w:val="ro-RO"/>
        </w:rPr>
        <w:t>,</w:t>
      </w:r>
      <w:r w:rsidRPr="00E21CB9">
        <w:rPr>
          <w:rFonts w:ascii="Times New Roman" w:hAnsi="Times New Roman"/>
          <w:noProof/>
          <w:sz w:val="24"/>
          <w:szCs w:val="24"/>
          <w:lang w:val="ro-RO"/>
        </w:rPr>
        <w:t xml:space="preserve"> în rândul statelor membre care, mai devreme sau mai târziu, vor trebui să nuanțeze, la fel cum au făcut multe alte state, raportul între dreptul constituțional intern și dreptul Uniunii Europene</w:t>
      </w:r>
      <w:r w:rsidR="00A03792" w:rsidRPr="00E21CB9">
        <w:rPr>
          <w:rFonts w:ascii="Times New Roman" w:hAnsi="Times New Roman"/>
          <w:noProof/>
          <w:sz w:val="24"/>
          <w:szCs w:val="24"/>
          <w:lang w:val="ro-RO"/>
        </w:rPr>
        <w:t>, adică să precizeze, cu și mai multă claritate limitele supremației dreptului UE.</w:t>
      </w:r>
    </w:p>
    <w:p w14:paraId="63560FF9" w14:textId="3763E860" w:rsidR="00AD4CBD" w:rsidRPr="00E21CB9" w:rsidRDefault="002B6B5E" w:rsidP="00F10A47">
      <w:pPr>
        <w:spacing w:after="200" w:line="276" w:lineRule="auto"/>
        <w:jc w:val="both"/>
        <w:rPr>
          <w:rFonts w:ascii="Times New Roman" w:hAnsi="Times New Roman"/>
          <w:b/>
          <w:bCs/>
          <w:noProof/>
          <w:sz w:val="24"/>
          <w:szCs w:val="24"/>
          <w:lang w:val="ro-RO"/>
        </w:rPr>
      </w:pPr>
      <w:r w:rsidRPr="00E21CB9">
        <w:rPr>
          <w:rFonts w:ascii="Times New Roman" w:hAnsi="Times New Roman"/>
          <w:b/>
          <w:bCs/>
          <w:noProof/>
          <w:sz w:val="24"/>
          <w:szCs w:val="24"/>
          <w:lang w:val="ro-RO"/>
        </w:rPr>
        <w:t>Istoria altor state membre</w:t>
      </w:r>
    </w:p>
    <w:p w14:paraId="0ED68D42" w14:textId="0D19002D" w:rsidR="002B6B5E" w:rsidRPr="00E21CB9" w:rsidRDefault="002B6B5E" w:rsidP="00F10A47">
      <w:pPr>
        <w:spacing w:after="200" w:line="276" w:lineRule="auto"/>
        <w:jc w:val="both"/>
        <w:rPr>
          <w:rFonts w:ascii="Times New Roman" w:hAnsi="Times New Roman"/>
          <w:noProof/>
          <w:sz w:val="24"/>
          <w:szCs w:val="24"/>
          <w:lang w:val="ro-RO"/>
        </w:rPr>
      </w:pPr>
      <w:r w:rsidRPr="00E21CB9">
        <w:rPr>
          <w:rFonts w:ascii="Times New Roman" w:hAnsi="Times New Roman"/>
          <w:i/>
          <w:iCs/>
          <w:noProof/>
          <w:sz w:val="24"/>
          <w:szCs w:val="24"/>
          <w:lang w:val="ro-RO"/>
        </w:rPr>
        <w:t>Acceptarea</w:t>
      </w:r>
      <w:r w:rsidRPr="00E21CB9">
        <w:rPr>
          <w:rFonts w:ascii="Times New Roman" w:hAnsi="Times New Roman"/>
          <w:noProof/>
          <w:sz w:val="24"/>
          <w:szCs w:val="24"/>
          <w:lang w:val="ro-RO"/>
        </w:rPr>
        <w:t xml:space="preserve"> supremației</w:t>
      </w:r>
      <w:r w:rsidR="00905B92" w:rsidRPr="00E21CB9">
        <w:rPr>
          <w:rFonts w:ascii="Times New Roman" w:hAnsi="Times New Roman"/>
          <w:noProof/>
          <w:sz w:val="24"/>
          <w:szCs w:val="24"/>
          <w:lang w:val="ro-RO"/>
        </w:rPr>
        <w:t xml:space="preserve"> dreptului unional și evitarea conflictelor constituționale s-a putut realiza doar permițându-se, mai degrabă implicit, contralimitele impuse de </w:t>
      </w:r>
      <w:r w:rsidR="00B51681" w:rsidRPr="00E21CB9">
        <w:rPr>
          <w:rFonts w:ascii="Times New Roman" w:hAnsi="Times New Roman"/>
          <w:noProof/>
          <w:sz w:val="24"/>
          <w:szCs w:val="24"/>
          <w:lang w:val="ro-RO"/>
        </w:rPr>
        <w:t xml:space="preserve">unele </w:t>
      </w:r>
      <w:r w:rsidR="00905B92" w:rsidRPr="00E21CB9">
        <w:rPr>
          <w:rFonts w:ascii="Times New Roman" w:hAnsi="Times New Roman"/>
          <w:noProof/>
          <w:sz w:val="24"/>
          <w:szCs w:val="24"/>
          <w:lang w:val="ro-RO"/>
        </w:rPr>
        <w:t>state membre</w:t>
      </w:r>
      <w:r w:rsidR="001F4F61" w:rsidRPr="00E21CB9">
        <w:rPr>
          <w:rFonts w:ascii="Times New Roman" w:hAnsi="Times New Roman"/>
          <w:noProof/>
          <w:sz w:val="24"/>
          <w:szCs w:val="24"/>
          <w:lang w:val="ro-RO"/>
        </w:rPr>
        <w:t xml:space="preserve">, adică excepții de la supremația dreptului Uniunii. O linie roșie în acest sens </w:t>
      </w:r>
      <w:r w:rsidR="00B31695" w:rsidRPr="00E21CB9">
        <w:rPr>
          <w:rFonts w:ascii="Times New Roman" w:hAnsi="Times New Roman"/>
          <w:noProof/>
          <w:sz w:val="24"/>
          <w:szCs w:val="24"/>
          <w:lang w:val="ro-RO"/>
        </w:rPr>
        <w:t>s-a remarcat a fi</w:t>
      </w:r>
      <w:r w:rsidR="001F4F61" w:rsidRPr="00E21CB9">
        <w:rPr>
          <w:rFonts w:ascii="Times New Roman" w:hAnsi="Times New Roman"/>
          <w:noProof/>
          <w:sz w:val="24"/>
          <w:szCs w:val="24"/>
          <w:lang w:val="ro-RO"/>
        </w:rPr>
        <w:t xml:space="preserve"> protecția drepturilor fundamentale.</w:t>
      </w:r>
    </w:p>
    <w:p w14:paraId="51719474" w14:textId="1368A41D" w:rsidR="00905B92" w:rsidRPr="00E21CB9" w:rsidRDefault="009F4611"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 xml:space="preserve">După hotărârea CEJ </w:t>
      </w:r>
      <w:r w:rsidR="003720C2" w:rsidRPr="00E21CB9">
        <w:rPr>
          <w:rFonts w:ascii="Times New Roman" w:hAnsi="Times New Roman"/>
          <w:noProof/>
          <w:sz w:val="24"/>
          <w:szCs w:val="24"/>
          <w:lang w:val="ro-RO"/>
        </w:rPr>
        <w:t xml:space="preserve">pronunțată </w:t>
      </w:r>
      <w:r w:rsidRPr="00E21CB9">
        <w:rPr>
          <w:rFonts w:ascii="Times New Roman" w:hAnsi="Times New Roman"/>
          <w:noProof/>
          <w:sz w:val="24"/>
          <w:szCs w:val="24"/>
          <w:lang w:val="ro-RO"/>
        </w:rPr>
        <w:t xml:space="preserve">în cauza C-11/70, </w:t>
      </w:r>
      <w:r w:rsidR="00905B92" w:rsidRPr="00E21CB9">
        <w:rPr>
          <w:rFonts w:ascii="Times New Roman" w:hAnsi="Times New Roman"/>
          <w:b/>
          <w:bCs/>
          <w:noProof/>
          <w:sz w:val="24"/>
          <w:szCs w:val="24"/>
          <w:lang w:val="ro-RO"/>
        </w:rPr>
        <w:t>Germania</w:t>
      </w:r>
      <w:r w:rsidR="00905B92" w:rsidRPr="00E21CB9">
        <w:rPr>
          <w:rFonts w:ascii="Times New Roman" w:hAnsi="Times New Roman"/>
          <w:noProof/>
          <w:sz w:val="24"/>
          <w:szCs w:val="24"/>
          <w:lang w:val="ro-RO"/>
        </w:rPr>
        <w:t xml:space="preserve"> </w:t>
      </w:r>
      <w:r w:rsidR="00B51681" w:rsidRPr="00E21CB9">
        <w:rPr>
          <w:rFonts w:ascii="Times New Roman" w:hAnsi="Times New Roman"/>
          <w:noProof/>
          <w:sz w:val="24"/>
          <w:szCs w:val="24"/>
          <w:lang w:val="ro-RO"/>
        </w:rPr>
        <w:t xml:space="preserve">a </w:t>
      </w:r>
      <w:r w:rsidRPr="00E21CB9">
        <w:rPr>
          <w:rFonts w:ascii="Times New Roman" w:hAnsi="Times New Roman"/>
          <w:noProof/>
          <w:sz w:val="24"/>
          <w:szCs w:val="24"/>
          <w:lang w:val="ro-RO"/>
        </w:rPr>
        <w:t xml:space="preserve">stabilit pentru prima dată limite ale supremației dreptului UE printr-o hotărâre a Curții Consituționale Federale din 1974, cunoscută drept </w:t>
      </w:r>
      <w:r w:rsidRPr="00E21CB9">
        <w:rPr>
          <w:rFonts w:ascii="Times New Roman" w:hAnsi="Times New Roman"/>
          <w:i/>
          <w:iCs/>
          <w:noProof/>
          <w:sz w:val="24"/>
          <w:szCs w:val="24"/>
          <w:lang w:val="ro-RO"/>
        </w:rPr>
        <w:t xml:space="preserve">Solange I </w:t>
      </w:r>
      <w:r w:rsidRPr="00E21CB9">
        <w:rPr>
          <w:rFonts w:ascii="Times New Roman" w:hAnsi="Times New Roman"/>
          <w:noProof/>
          <w:sz w:val="24"/>
          <w:szCs w:val="24"/>
          <w:lang w:val="ro-RO"/>
        </w:rPr>
        <w:t xml:space="preserve">(în traducere din limba germană </w:t>
      </w:r>
      <w:r w:rsidRPr="00E21CB9">
        <w:rPr>
          <w:rFonts w:ascii="Times New Roman" w:hAnsi="Times New Roman"/>
          <w:i/>
          <w:iCs/>
          <w:noProof/>
          <w:sz w:val="24"/>
          <w:szCs w:val="24"/>
          <w:lang w:val="ro-RO"/>
        </w:rPr>
        <w:t>atâta timp cât</w:t>
      </w:r>
      <w:r w:rsidRPr="00E21CB9">
        <w:rPr>
          <w:rFonts w:ascii="Times New Roman" w:hAnsi="Times New Roman"/>
          <w:noProof/>
          <w:sz w:val="24"/>
          <w:szCs w:val="24"/>
          <w:lang w:val="ro-RO"/>
        </w:rPr>
        <w:t xml:space="preserve">), </w:t>
      </w:r>
      <w:r w:rsidR="003B0318" w:rsidRPr="00E21CB9">
        <w:rPr>
          <w:rFonts w:ascii="Times New Roman" w:hAnsi="Times New Roman"/>
          <w:noProof/>
          <w:sz w:val="24"/>
          <w:szCs w:val="24"/>
          <w:lang w:val="ro-RO"/>
        </w:rPr>
        <w:t>declarând</w:t>
      </w:r>
      <w:r w:rsidRPr="00E21CB9">
        <w:rPr>
          <w:rFonts w:ascii="Times New Roman" w:hAnsi="Times New Roman"/>
          <w:noProof/>
          <w:sz w:val="24"/>
          <w:szCs w:val="24"/>
          <w:lang w:val="ro-RO"/>
        </w:rPr>
        <w:t xml:space="preserve"> că</w:t>
      </w:r>
      <w:r w:rsidR="003720C2" w:rsidRPr="00E21CB9">
        <w:rPr>
          <w:rFonts w:ascii="Times New Roman" w:hAnsi="Times New Roman"/>
          <w:noProof/>
          <w:sz w:val="24"/>
          <w:szCs w:val="24"/>
          <w:lang w:val="ro-RO"/>
        </w:rPr>
        <w:t>,</w:t>
      </w:r>
      <w:r w:rsidRPr="00E21CB9">
        <w:rPr>
          <w:rFonts w:ascii="Times New Roman" w:hAnsi="Times New Roman"/>
          <w:noProof/>
          <w:sz w:val="24"/>
          <w:szCs w:val="24"/>
          <w:lang w:val="ro-RO"/>
        </w:rPr>
        <w:t xml:space="preserve"> </w:t>
      </w:r>
      <w:r w:rsidR="00300BE7" w:rsidRPr="00E21CB9">
        <w:rPr>
          <w:rFonts w:ascii="Times New Roman" w:hAnsi="Times New Roman"/>
          <w:noProof/>
          <w:sz w:val="24"/>
          <w:szCs w:val="24"/>
          <w:lang w:val="ro-RO"/>
        </w:rPr>
        <w:t>î</w:t>
      </w:r>
      <w:r w:rsidRPr="00E21CB9">
        <w:rPr>
          <w:rFonts w:ascii="Times New Roman" w:hAnsi="Times New Roman"/>
          <w:noProof/>
          <w:sz w:val="24"/>
          <w:szCs w:val="24"/>
          <w:lang w:val="ro-RO"/>
        </w:rPr>
        <w:t xml:space="preserve">n cazul unui conflict între dreptul comunitar și garanțiile drepturilor fundamentale </w:t>
      </w:r>
      <w:r w:rsidR="005E00EA" w:rsidRPr="00E21CB9">
        <w:rPr>
          <w:rFonts w:ascii="Times New Roman" w:hAnsi="Times New Roman"/>
          <w:noProof/>
          <w:sz w:val="24"/>
          <w:szCs w:val="24"/>
          <w:lang w:val="ro-RO"/>
        </w:rPr>
        <w:t xml:space="preserve">recunoscute de Constituție, protecția conferită de Constituție prevalează, </w:t>
      </w:r>
      <w:r w:rsidR="005E00EA" w:rsidRPr="00E21CB9">
        <w:rPr>
          <w:rFonts w:ascii="Times New Roman" w:hAnsi="Times New Roman"/>
          <w:i/>
          <w:iCs/>
          <w:noProof/>
          <w:sz w:val="24"/>
          <w:szCs w:val="24"/>
          <w:lang w:val="ro-RO"/>
        </w:rPr>
        <w:t xml:space="preserve">atâta timp cât </w:t>
      </w:r>
      <w:r w:rsidR="005E00EA" w:rsidRPr="00E21CB9">
        <w:rPr>
          <w:rFonts w:ascii="Times New Roman" w:hAnsi="Times New Roman"/>
          <w:noProof/>
          <w:sz w:val="24"/>
          <w:szCs w:val="24"/>
          <w:lang w:val="ro-RO"/>
        </w:rPr>
        <w:t>U</w:t>
      </w:r>
      <w:r w:rsidR="00300BE7" w:rsidRPr="00E21CB9">
        <w:rPr>
          <w:rFonts w:ascii="Times New Roman" w:hAnsi="Times New Roman"/>
          <w:noProof/>
          <w:sz w:val="24"/>
          <w:szCs w:val="24"/>
          <w:lang w:val="ro-RO"/>
        </w:rPr>
        <w:t>E</w:t>
      </w:r>
      <w:r w:rsidR="005E00EA" w:rsidRPr="00E21CB9">
        <w:rPr>
          <w:rFonts w:ascii="Times New Roman" w:hAnsi="Times New Roman"/>
          <w:noProof/>
          <w:sz w:val="24"/>
          <w:szCs w:val="24"/>
          <w:lang w:val="ro-RO"/>
        </w:rPr>
        <w:t xml:space="preserve"> nu înlătură conflictul între dreptul U</w:t>
      </w:r>
      <w:r w:rsidR="00300BE7" w:rsidRPr="00E21CB9">
        <w:rPr>
          <w:rFonts w:ascii="Times New Roman" w:hAnsi="Times New Roman"/>
          <w:noProof/>
          <w:sz w:val="24"/>
          <w:szCs w:val="24"/>
          <w:lang w:val="ro-RO"/>
        </w:rPr>
        <w:t>E</w:t>
      </w:r>
      <w:r w:rsidR="005E00EA" w:rsidRPr="00E21CB9">
        <w:rPr>
          <w:rFonts w:ascii="Times New Roman" w:hAnsi="Times New Roman"/>
          <w:noProof/>
          <w:sz w:val="24"/>
          <w:szCs w:val="24"/>
          <w:lang w:val="ro-RO"/>
        </w:rPr>
        <w:t xml:space="preserve"> și dreptul constitu</w:t>
      </w:r>
      <w:r w:rsidR="00BA0E6C" w:rsidRPr="00E21CB9">
        <w:rPr>
          <w:rFonts w:ascii="Times New Roman" w:hAnsi="Times New Roman"/>
          <w:noProof/>
          <w:sz w:val="24"/>
          <w:szCs w:val="24"/>
          <w:lang w:val="ro-RO"/>
        </w:rPr>
        <w:t>ț</w:t>
      </w:r>
      <w:r w:rsidR="005E00EA" w:rsidRPr="00E21CB9">
        <w:rPr>
          <w:rFonts w:ascii="Times New Roman" w:hAnsi="Times New Roman"/>
          <w:noProof/>
          <w:sz w:val="24"/>
          <w:szCs w:val="24"/>
          <w:lang w:val="ro-RO"/>
        </w:rPr>
        <w:t>ional intern.</w:t>
      </w:r>
    </w:p>
    <w:p w14:paraId="1353B73D" w14:textId="3A287816" w:rsidR="005E00EA" w:rsidRPr="00E21CB9" w:rsidRDefault="005E00EA"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 xml:space="preserve">În </w:t>
      </w:r>
      <w:r w:rsidR="00BA0E6C" w:rsidRPr="00E21CB9">
        <w:rPr>
          <w:rFonts w:ascii="Times New Roman" w:hAnsi="Times New Roman"/>
          <w:noProof/>
          <w:sz w:val="24"/>
          <w:szCs w:val="24"/>
          <w:lang w:val="ro-RO"/>
        </w:rPr>
        <w:t xml:space="preserve">anul </w:t>
      </w:r>
      <w:r w:rsidRPr="00E21CB9">
        <w:rPr>
          <w:rFonts w:ascii="Times New Roman" w:hAnsi="Times New Roman"/>
          <w:noProof/>
          <w:sz w:val="24"/>
          <w:szCs w:val="24"/>
          <w:lang w:val="ro-RO"/>
        </w:rPr>
        <w:t>1986</w:t>
      </w:r>
      <w:r w:rsidR="00BA0E6C" w:rsidRPr="00E21CB9">
        <w:rPr>
          <w:rFonts w:ascii="Times New Roman" w:hAnsi="Times New Roman"/>
          <w:noProof/>
          <w:sz w:val="24"/>
          <w:szCs w:val="24"/>
          <w:lang w:val="ro-RO"/>
        </w:rPr>
        <w:t>,</w:t>
      </w:r>
      <w:r w:rsidRPr="00E21CB9">
        <w:rPr>
          <w:rFonts w:ascii="Times New Roman" w:hAnsi="Times New Roman"/>
          <w:noProof/>
          <w:sz w:val="24"/>
          <w:szCs w:val="24"/>
          <w:lang w:val="ro-RO"/>
        </w:rPr>
        <w:t xml:space="preserve"> o nouă hotărâre – </w:t>
      </w:r>
      <w:r w:rsidRPr="00E21CB9">
        <w:rPr>
          <w:rFonts w:ascii="Times New Roman" w:hAnsi="Times New Roman"/>
          <w:i/>
          <w:iCs/>
          <w:noProof/>
          <w:sz w:val="24"/>
          <w:szCs w:val="24"/>
          <w:lang w:val="ro-RO"/>
        </w:rPr>
        <w:t>Solange II</w:t>
      </w:r>
      <w:r w:rsidRPr="00E21CB9">
        <w:rPr>
          <w:rFonts w:ascii="Times New Roman" w:hAnsi="Times New Roman"/>
          <w:noProof/>
          <w:sz w:val="24"/>
          <w:szCs w:val="24"/>
          <w:lang w:val="ro-RO"/>
        </w:rPr>
        <w:t xml:space="preserve"> – a reiterat și clarificat poziția anterioară</w:t>
      </w:r>
      <w:r w:rsidR="00BA0E6C" w:rsidRPr="00E21CB9">
        <w:rPr>
          <w:rFonts w:ascii="Times New Roman" w:hAnsi="Times New Roman"/>
          <w:noProof/>
          <w:sz w:val="24"/>
          <w:szCs w:val="24"/>
          <w:lang w:val="ro-RO"/>
        </w:rPr>
        <w:t>,</w:t>
      </w:r>
      <w:r w:rsidRPr="00E21CB9">
        <w:rPr>
          <w:rFonts w:ascii="Times New Roman" w:hAnsi="Times New Roman"/>
          <w:noProof/>
          <w:sz w:val="24"/>
          <w:szCs w:val="24"/>
          <w:lang w:val="ro-RO"/>
        </w:rPr>
        <w:t xml:space="preserve"> subliniind că </w:t>
      </w:r>
      <w:r w:rsidRPr="00E21CB9">
        <w:rPr>
          <w:rFonts w:ascii="Times New Roman" w:hAnsi="Times New Roman"/>
          <w:i/>
          <w:iCs/>
          <w:noProof/>
          <w:sz w:val="24"/>
          <w:szCs w:val="24"/>
          <w:lang w:val="ro-RO"/>
        </w:rPr>
        <w:t>atât timp cât Comunitățile Europene și, în special, jurisprudența Curții Europene asigură în mod general o protecție efectivă a drepturilor fundamentale (…) substan</w:t>
      </w:r>
      <w:r w:rsidR="00BA0E6C" w:rsidRPr="00E21CB9">
        <w:rPr>
          <w:rFonts w:ascii="Times New Roman" w:hAnsi="Times New Roman"/>
          <w:i/>
          <w:iCs/>
          <w:noProof/>
          <w:sz w:val="24"/>
          <w:szCs w:val="24"/>
          <w:lang w:val="ro-RO"/>
        </w:rPr>
        <w:t>ț</w:t>
      </w:r>
      <w:r w:rsidRPr="00E21CB9">
        <w:rPr>
          <w:rFonts w:ascii="Times New Roman" w:hAnsi="Times New Roman"/>
          <w:i/>
          <w:iCs/>
          <w:noProof/>
          <w:sz w:val="24"/>
          <w:szCs w:val="24"/>
          <w:lang w:val="ro-RO"/>
        </w:rPr>
        <w:t xml:space="preserve">ial asemănătoare protecției </w:t>
      </w:r>
      <w:r w:rsidRPr="00E21CB9">
        <w:rPr>
          <w:rFonts w:ascii="Times New Roman" w:hAnsi="Times New Roman"/>
          <w:i/>
          <w:iCs/>
          <w:noProof/>
          <w:sz w:val="24"/>
          <w:szCs w:val="24"/>
          <w:lang w:val="ro-RO"/>
        </w:rPr>
        <w:lastRenderedPageBreak/>
        <w:t>drepturilor fundamentale impusă necondiționat de Constituție</w:t>
      </w:r>
      <w:r w:rsidRPr="00E21CB9">
        <w:rPr>
          <w:rFonts w:ascii="Times New Roman" w:hAnsi="Times New Roman"/>
          <w:noProof/>
          <w:sz w:val="24"/>
          <w:szCs w:val="24"/>
          <w:lang w:val="ro-RO"/>
        </w:rPr>
        <w:t>, Curtea Constituțională nu va mai exercita competențele sale privind drepturile fundamentale</w:t>
      </w:r>
      <w:r w:rsidR="00F93BA2" w:rsidRPr="00E21CB9">
        <w:rPr>
          <w:rFonts w:ascii="Times New Roman" w:hAnsi="Times New Roman"/>
          <w:noProof/>
          <w:sz w:val="24"/>
          <w:szCs w:val="24"/>
          <w:lang w:val="ro-RO"/>
        </w:rPr>
        <w:t xml:space="preserve"> prin prisma standardului propriu.</w:t>
      </w:r>
      <w:r w:rsidR="00D76BBB" w:rsidRPr="00E21CB9">
        <w:rPr>
          <w:rFonts w:ascii="Times New Roman" w:hAnsi="Times New Roman"/>
          <w:noProof/>
          <w:sz w:val="24"/>
          <w:szCs w:val="24"/>
          <w:lang w:val="ro-RO"/>
        </w:rPr>
        <w:t xml:space="preserve"> </w:t>
      </w:r>
      <w:r w:rsidR="00D76BBB" w:rsidRPr="00E21CB9">
        <w:rPr>
          <w:rFonts w:ascii="Times New Roman" w:hAnsi="Times New Roman"/>
          <w:i/>
          <w:iCs/>
          <w:noProof/>
          <w:sz w:val="24"/>
          <w:szCs w:val="24"/>
          <w:lang w:val="ro-RO"/>
        </w:rPr>
        <w:t>Per a contrario</w:t>
      </w:r>
      <w:r w:rsidR="00D76BBB" w:rsidRPr="00E21CB9">
        <w:rPr>
          <w:rFonts w:ascii="Times New Roman" w:hAnsi="Times New Roman"/>
          <w:noProof/>
          <w:sz w:val="24"/>
          <w:szCs w:val="24"/>
          <w:lang w:val="ro-RO"/>
        </w:rPr>
        <w:t>, un asemenea control va fi exercitat dacă standardele minime naționale ar fi încălcate.</w:t>
      </w:r>
    </w:p>
    <w:p w14:paraId="75448920" w14:textId="1F2508D7" w:rsidR="00FB01F5" w:rsidRPr="00E21CB9" w:rsidRDefault="00FB01F5"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Conform doctrinei</w:t>
      </w:r>
      <w:r w:rsidRPr="00E21CB9">
        <w:rPr>
          <w:rStyle w:val="FootnoteReference"/>
          <w:rFonts w:ascii="Times New Roman" w:hAnsi="Times New Roman"/>
          <w:noProof/>
          <w:sz w:val="24"/>
          <w:szCs w:val="24"/>
          <w:lang w:val="ro-RO"/>
        </w:rPr>
        <w:footnoteReference w:id="3"/>
      </w:r>
      <w:r w:rsidR="001F4F61" w:rsidRPr="00E21CB9">
        <w:rPr>
          <w:rFonts w:ascii="Times New Roman" w:hAnsi="Times New Roman"/>
          <w:noProof/>
          <w:sz w:val="24"/>
          <w:szCs w:val="24"/>
          <w:lang w:val="ro-RO"/>
        </w:rPr>
        <w:t>, instanțele germane au ezitat să exercite competențele rezervate, continuând să valorifice standardul na</w:t>
      </w:r>
      <w:r w:rsidR="00BA0E6C" w:rsidRPr="00E21CB9">
        <w:rPr>
          <w:rFonts w:ascii="Times New Roman" w:hAnsi="Times New Roman"/>
          <w:noProof/>
          <w:sz w:val="24"/>
          <w:szCs w:val="24"/>
          <w:lang w:val="ro-RO"/>
        </w:rPr>
        <w:t>ț</w:t>
      </w:r>
      <w:r w:rsidR="001F4F61" w:rsidRPr="00E21CB9">
        <w:rPr>
          <w:rFonts w:ascii="Times New Roman" w:hAnsi="Times New Roman"/>
          <w:noProof/>
          <w:sz w:val="24"/>
          <w:szCs w:val="24"/>
          <w:lang w:val="ro-RO"/>
        </w:rPr>
        <w:t>ional de protecție în orice situație</w:t>
      </w:r>
      <w:r w:rsidR="004949A6" w:rsidRPr="00E21CB9">
        <w:rPr>
          <w:rFonts w:ascii="Times New Roman" w:hAnsi="Times New Roman"/>
          <w:noProof/>
          <w:sz w:val="24"/>
          <w:szCs w:val="24"/>
          <w:lang w:val="ro-RO"/>
        </w:rPr>
        <w:t xml:space="preserve">. Curtea Constituțională Federală </w:t>
      </w:r>
      <w:r w:rsidR="00300BE7" w:rsidRPr="00E21CB9">
        <w:rPr>
          <w:rFonts w:ascii="Times New Roman" w:hAnsi="Times New Roman"/>
          <w:noProof/>
          <w:sz w:val="24"/>
          <w:szCs w:val="24"/>
          <w:lang w:val="ro-RO"/>
        </w:rPr>
        <w:t>a instituit</w:t>
      </w:r>
      <w:r w:rsidR="00B44085" w:rsidRPr="00E21CB9">
        <w:rPr>
          <w:rFonts w:ascii="Times New Roman" w:hAnsi="Times New Roman"/>
          <w:noProof/>
          <w:sz w:val="24"/>
          <w:szCs w:val="24"/>
          <w:lang w:val="ro-RO"/>
        </w:rPr>
        <w:t>, totuși,</w:t>
      </w:r>
      <w:r w:rsidR="00300BE7" w:rsidRPr="00E21CB9">
        <w:rPr>
          <w:rFonts w:ascii="Times New Roman" w:hAnsi="Times New Roman"/>
          <w:noProof/>
          <w:sz w:val="24"/>
          <w:szCs w:val="24"/>
          <w:lang w:val="ro-RO"/>
        </w:rPr>
        <w:t xml:space="preserve"> ulterior deciiziilor </w:t>
      </w:r>
      <w:r w:rsidR="00300BE7" w:rsidRPr="00E21CB9">
        <w:rPr>
          <w:rFonts w:ascii="Times New Roman" w:hAnsi="Times New Roman"/>
          <w:i/>
          <w:iCs/>
          <w:noProof/>
          <w:sz w:val="24"/>
          <w:szCs w:val="24"/>
          <w:lang w:val="ro-RO"/>
        </w:rPr>
        <w:t>Solange</w:t>
      </w:r>
      <w:r w:rsidR="003720C2" w:rsidRPr="00E21CB9">
        <w:rPr>
          <w:rFonts w:ascii="Times New Roman" w:hAnsi="Times New Roman"/>
          <w:i/>
          <w:iCs/>
          <w:noProof/>
          <w:sz w:val="24"/>
          <w:szCs w:val="24"/>
          <w:lang w:val="ro-RO"/>
        </w:rPr>
        <w:t xml:space="preserve"> I </w:t>
      </w:r>
      <w:r w:rsidR="003720C2" w:rsidRPr="00E21CB9">
        <w:rPr>
          <w:rFonts w:ascii="Times New Roman" w:hAnsi="Times New Roman"/>
          <w:noProof/>
          <w:sz w:val="24"/>
          <w:szCs w:val="24"/>
          <w:lang w:val="ro-RO"/>
        </w:rPr>
        <w:t xml:space="preserve">și </w:t>
      </w:r>
      <w:r w:rsidR="003720C2" w:rsidRPr="00E21CB9">
        <w:rPr>
          <w:rFonts w:ascii="Times New Roman" w:hAnsi="Times New Roman"/>
          <w:i/>
          <w:iCs/>
          <w:noProof/>
          <w:sz w:val="24"/>
          <w:szCs w:val="24"/>
          <w:lang w:val="ro-RO"/>
        </w:rPr>
        <w:t>Solange II</w:t>
      </w:r>
      <w:r w:rsidR="00B46E23" w:rsidRPr="00E21CB9">
        <w:rPr>
          <w:rFonts w:ascii="Times New Roman" w:hAnsi="Times New Roman"/>
          <w:noProof/>
          <w:sz w:val="24"/>
          <w:szCs w:val="24"/>
          <w:lang w:val="ro-RO"/>
        </w:rPr>
        <w:t xml:space="preserve">, </w:t>
      </w:r>
      <w:r w:rsidR="00300BE7" w:rsidRPr="00E21CB9">
        <w:rPr>
          <w:rFonts w:ascii="Times New Roman" w:hAnsi="Times New Roman"/>
          <w:noProof/>
          <w:sz w:val="24"/>
          <w:szCs w:val="24"/>
          <w:lang w:val="ro-RO"/>
        </w:rPr>
        <w:t xml:space="preserve">o practică de admitere a plângerilor constituționale doar în situația în care acestea argumentau că nivelul de protecție europeană a drepturilor omului, inclusiv jurisprudența </w:t>
      </w:r>
      <w:r w:rsidR="00BA0E6C" w:rsidRPr="00E21CB9">
        <w:rPr>
          <w:rFonts w:ascii="Times New Roman" w:hAnsi="Times New Roman"/>
          <w:noProof/>
          <w:sz w:val="24"/>
          <w:szCs w:val="24"/>
          <w:lang w:val="ro-RO"/>
        </w:rPr>
        <w:t>Curții de Justiție</w:t>
      </w:r>
      <w:r w:rsidR="00300BE7" w:rsidRPr="00E21CB9">
        <w:rPr>
          <w:rFonts w:ascii="Times New Roman" w:hAnsi="Times New Roman"/>
          <w:noProof/>
          <w:sz w:val="24"/>
          <w:szCs w:val="24"/>
          <w:lang w:val="ro-RO"/>
        </w:rPr>
        <w:t>, se situa sub nivelul constitu</w:t>
      </w:r>
      <w:r w:rsidR="003720C2" w:rsidRPr="00E21CB9">
        <w:rPr>
          <w:rFonts w:ascii="Times New Roman" w:hAnsi="Times New Roman"/>
          <w:noProof/>
          <w:sz w:val="24"/>
          <w:szCs w:val="24"/>
          <w:lang w:val="ro-RO"/>
        </w:rPr>
        <w:t>ț</w:t>
      </w:r>
      <w:r w:rsidR="00300BE7" w:rsidRPr="00E21CB9">
        <w:rPr>
          <w:rFonts w:ascii="Times New Roman" w:hAnsi="Times New Roman"/>
          <w:noProof/>
          <w:sz w:val="24"/>
          <w:szCs w:val="24"/>
          <w:lang w:val="ro-RO"/>
        </w:rPr>
        <w:t>ional german de protecție.</w:t>
      </w:r>
    </w:p>
    <w:p w14:paraId="03E71931" w14:textId="2C93DAA9" w:rsidR="00300BE7" w:rsidRPr="00E21CB9" w:rsidRDefault="00300BE7"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Nici</w:t>
      </w:r>
      <w:r w:rsidRPr="00E21CB9">
        <w:rPr>
          <w:rFonts w:ascii="Times New Roman" w:hAnsi="Times New Roman"/>
          <w:b/>
          <w:bCs/>
          <w:noProof/>
          <w:sz w:val="24"/>
          <w:szCs w:val="24"/>
          <w:lang w:val="ro-RO"/>
        </w:rPr>
        <w:t xml:space="preserve"> Franța </w:t>
      </w:r>
      <w:r w:rsidRPr="00E21CB9">
        <w:rPr>
          <w:rFonts w:ascii="Times New Roman" w:hAnsi="Times New Roman"/>
          <w:noProof/>
          <w:sz w:val="24"/>
          <w:szCs w:val="24"/>
          <w:lang w:val="ro-RO"/>
        </w:rPr>
        <w:t xml:space="preserve">nu a recunoscut prioritatea dreptului UE asupra constituției naționale, </w:t>
      </w:r>
      <w:r w:rsidR="00B7669C" w:rsidRPr="00E21CB9">
        <w:rPr>
          <w:rFonts w:ascii="Times New Roman" w:hAnsi="Times New Roman"/>
          <w:noProof/>
          <w:sz w:val="24"/>
          <w:szCs w:val="24"/>
          <w:lang w:val="ro-RO"/>
        </w:rPr>
        <w:t xml:space="preserve">stabilind limite în baza teoriei acceptate de către </w:t>
      </w:r>
      <w:r w:rsidR="00B7669C" w:rsidRPr="00E21CB9">
        <w:rPr>
          <w:rFonts w:ascii="Times New Roman" w:hAnsi="Times New Roman"/>
          <w:i/>
          <w:iCs/>
          <w:noProof/>
          <w:sz w:val="24"/>
          <w:szCs w:val="24"/>
          <w:lang w:val="ro-RO"/>
        </w:rPr>
        <w:t>Conseil Constitutionnel</w:t>
      </w:r>
      <w:r w:rsidR="00B7669C" w:rsidRPr="00E21CB9">
        <w:rPr>
          <w:rFonts w:ascii="Times New Roman" w:hAnsi="Times New Roman"/>
          <w:noProof/>
          <w:sz w:val="24"/>
          <w:szCs w:val="24"/>
          <w:lang w:val="ro-RO"/>
        </w:rPr>
        <w:t xml:space="preserve"> și </w:t>
      </w:r>
      <w:r w:rsidR="00B7669C" w:rsidRPr="00E21CB9">
        <w:rPr>
          <w:rFonts w:ascii="Times New Roman" w:hAnsi="Times New Roman"/>
          <w:i/>
          <w:iCs/>
          <w:noProof/>
          <w:sz w:val="24"/>
          <w:szCs w:val="24"/>
          <w:lang w:val="ro-RO"/>
        </w:rPr>
        <w:t>Cour de Cassation</w:t>
      </w:r>
      <w:r w:rsidR="00B7669C" w:rsidRPr="00E21CB9">
        <w:rPr>
          <w:rFonts w:ascii="Times New Roman" w:hAnsi="Times New Roman"/>
          <w:noProof/>
          <w:sz w:val="24"/>
          <w:szCs w:val="24"/>
          <w:lang w:val="ro-RO"/>
        </w:rPr>
        <w:t xml:space="preserve"> că dreptul european este superior legilor naționale, dar inferior Constituției.</w:t>
      </w:r>
    </w:p>
    <w:p w14:paraId="3F3851E6" w14:textId="681E0F20" w:rsidR="0098262C" w:rsidRPr="00E21CB9" w:rsidRDefault="0098262C" w:rsidP="0098262C">
      <w:pPr>
        <w:spacing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Consiliul Constituțional Francez</w:t>
      </w:r>
      <w:r w:rsidR="00B44085" w:rsidRPr="00E21CB9">
        <w:rPr>
          <w:rFonts w:ascii="Times New Roman" w:hAnsi="Times New Roman"/>
          <w:noProof/>
          <w:sz w:val="24"/>
          <w:szCs w:val="24"/>
          <w:lang w:val="ro-RO"/>
        </w:rPr>
        <w:t xml:space="preserve"> a</w:t>
      </w:r>
      <w:r w:rsidRPr="00E21CB9">
        <w:rPr>
          <w:rFonts w:ascii="Times New Roman" w:hAnsi="Times New Roman"/>
          <w:noProof/>
          <w:sz w:val="24"/>
          <w:szCs w:val="24"/>
          <w:lang w:val="ro-RO"/>
        </w:rPr>
        <w:t xml:space="preserve"> statua</w:t>
      </w:r>
      <w:r w:rsidR="00B44085" w:rsidRPr="00E21CB9">
        <w:rPr>
          <w:rFonts w:ascii="Times New Roman" w:hAnsi="Times New Roman"/>
          <w:noProof/>
          <w:sz w:val="24"/>
          <w:szCs w:val="24"/>
          <w:lang w:val="ro-RO"/>
        </w:rPr>
        <w:t>t</w:t>
      </w:r>
      <w:r w:rsidRPr="00E21CB9">
        <w:rPr>
          <w:rFonts w:ascii="Times New Roman" w:hAnsi="Times New Roman"/>
          <w:noProof/>
          <w:sz w:val="24"/>
          <w:szCs w:val="24"/>
          <w:lang w:val="ro-RO"/>
        </w:rPr>
        <w:t xml:space="preserve"> prin </w:t>
      </w:r>
      <w:r w:rsidR="00B44085" w:rsidRPr="00E21CB9">
        <w:rPr>
          <w:rFonts w:ascii="Times New Roman" w:hAnsi="Times New Roman"/>
          <w:noProof/>
          <w:sz w:val="24"/>
          <w:szCs w:val="24"/>
          <w:lang w:val="ro-RO"/>
        </w:rPr>
        <w:t xml:space="preserve">mai multe decizii, între care </w:t>
      </w:r>
      <w:r w:rsidRPr="00E21CB9">
        <w:rPr>
          <w:rFonts w:ascii="Times New Roman" w:hAnsi="Times New Roman"/>
          <w:noProof/>
          <w:sz w:val="24"/>
          <w:szCs w:val="24"/>
          <w:lang w:val="ro-RO"/>
        </w:rPr>
        <w:t>Decizia nr. 2007-560 DC din 20 decembrie 2007</w:t>
      </w:r>
      <w:r w:rsidR="00BA0E6C" w:rsidRPr="00E21CB9">
        <w:rPr>
          <w:rFonts w:ascii="Times New Roman" w:hAnsi="Times New Roman"/>
          <w:noProof/>
          <w:sz w:val="24"/>
          <w:szCs w:val="24"/>
          <w:lang w:val="ro-RO"/>
        </w:rPr>
        <w:t>,</w:t>
      </w:r>
      <w:r w:rsidRPr="00E21CB9">
        <w:rPr>
          <w:rFonts w:ascii="Times New Roman" w:hAnsi="Times New Roman"/>
          <w:noProof/>
          <w:sz w:val="24"/>
          <w:szCs w:val="24"/>
          <w:lang w:val="ro-RO"/>
        </w:rPr>
        <w:t xml:space="preserve"> că</w:t>
      </w:r>
      <w:r w:rsidRPr="00E21CB9">
        <w:rPr>
          <w:rFonts w:ascii="Times New Roman" w:hAnsi="Times New Roman"/>
          <w:i/>
          <w:iCs/>
          <w:noProof/>
          <w:sz w:val="24"/>
          <w:szCs w:val="24"/>
          <w:lang w:val="ro-RO"/>
        </w:rPr>
        <w:t xml:space="preserve"> atunci când angajamentele asumate (...) conțin o clauză contrară Constituției, pun în discuție drepturi și libertăți garantate constituționale sau afectează condițiile esențiale de exercitare a suveranității naționale, autorizarea ratificării acestora necesită o revizuire constituțională.</w:t>
      </w:r>
      <w:r w:rsidRPr="00E21CB9">
        <w:rPr>
          <w:rFonts w:ascii="Times New Roman" w:hAnsi="Times New Roman"/>
          <w:noProof/>
          <w:sz w:val="24"/>
          <w:szCs w:val="24"/>
          <w:lang w:val="ro-RO"/>
        </w:rPr>
        <w:t> </w:t>
      </w:r>
    </w:p>
    <w:p w14:paraId="06EC8D46" w14:textId="2515B3C0" w:rsidR="00300BE7" w:rsidRPr="00E21CB9" w:rsidRDefault="00EC6929" w:rsidP="00F10A47">
      <w:pPr>
        <w:spacing w:after="200" w:line="276" w:lineRule="auto"/>
        <w:jc w:val="both"/>
        <w:rPr>
          <w:rFonts w:ascii="Times New Roman" w:hAnsi="Times New Roman"/>
          <w:noProof/>
          <w:sz w:val="24"/>
          <w:szCs w:val="24"/>
          <w:lang w:val="ro-RO"/>
        </w:rPr>
      </w:pPr>
      <w:r w:rsidRPr="00E21CB9">
        <w:rPr>
          <w:rFonts w:ascii="Times New Roman" w:hAnsi="Times New Roman"/>
          <w:b/>
          <w:bCs/>
          <w:noProof/>
          <w:sz w:val="24"/>
          <w:szCs w:val="24"/>
          <w:lang w:val="ro-RO"/>
        </w:rPr>
        <w:t xml:space="preserve">Italia </w:t>
      </w:r>
      <w:r w:rsidRPr="00E21CB9">
        <w:rPr>
          <w:rFonts w:ascii="Times New Roman" w:hAnsi="Times New Roman"/>
          <w:noProof/>
          <w:sz w:val="24"/>
          <w:szCs w:val="24"/>
          <w:lang w:val="ro-RO"/>
        </w:rPr>
        <w:t>a impus, de asemenea, limite în materia protecției drepturilor fundamentale, similar Germaniei și tot începând cu 1974</w:t>
      </w:r>
      <w:r w:rsidR="00D76BBB" w:rsidRPr="00E21CB9">
        <w:rPr>
          <w:rFonts w:ascii="Times New Roman" w:hAnsi="Times New Roman"/>
          <w:noProof/>
          <w:sz w:val="24"/>
          <w:szCs w:val="24"/>
          <w:lang w:val="ro-RO"/>
        </w:rPr>
        <w:t>,</w:t>
      </w:r>
      <w:r w:rsidRPr="00E21CB9">
        <w:rPr>
          <w:rFonts w:ascii="Times New Roman" w:hAnsi="Times New Roman"/>
          <w:noProof/>
          <w:sz w:val="24"/>
          <w:szCs w:val="24"/>
          <w:lang w:val="ro-RO"/>
        </w:rPr>
        <w:t xml:space="preserve"> prin hotărârea Curții Constituționale a Italiei </w:t>
      </w:r>
      <w:r w:rsidR="00BA0E6C" w:rsidRPr="00E21CB9">
        <w:rPr>
          <w:rFonts w:ascii="Times New Roman" w:hAnsi="Times New Roman"/>
          <w:noProof/>
          <w:sz w:val="24"/>
          <w:szCs w:val="24"/>
          <w:lang w:val="ro-RO"/>
        </w:rPr>
        <w:t xml:space="preserve">pronunțată </w:t>
      </w:r>
      <w:r w:rsidRPr="00E21CB9">
        <w:rPr>
          <w:rFonts w:ascii="Times New Roman" w:hAnsi="Times New Roman"/>
          <w:noProof/>
          <w:sz w:val="24"/>
          <w:szCs w:val="24"/>
          <w:lang w:val="ro-RO"/>
        </w:rPr>
        <w:t xml:space="preserve">în cauza </w:t>
      </w:r>
      <w:r w:rsidRPr="00E21CB9">
        <w:rPr>
          <w:rFonts w:ascii="Times New Roman" w:hAnsi="Times New Roman"/>
          <w:i/>
          <w:iCs/>
          <w:noProof/>
          <w:sz w:val="24"/>
          <w:szCs w:val="24"/>
          <w:lang w:val="ro-RO"/>
        </w:rPr>
        <w:t xml:space="preserve">Frontini </w:t>
      </w:r>
      <w:r w:rsidR="00D76BBB" w:rsidRPr="00E21CB9">
        <w:rPr>
          <w:rFonts w:ascii="Times New Roman" w:hAnsi="Times New Roman"/>
          <w:i/>
          <w:iCs/>
          <w:noProof/>
          <w:sz w:val="24"/>
          <w:szCs w:val="24"/>
          <w:lang w:val="ro-RO"/>
        </w:rPr>
        <w:t>/</w:t>
      </w:r>
      <w:r w:rsidRPr="00E21CB9">
        <w:rPr>
          <w:rFonts w:ascii="Times New Roman" w:hAnsi="Times New Roman"/>
          <w:i/>
          <w:iCs/>
          <w:noProof/>
          <w:sz w:val="24"/>
          <w:szCs w:val="24"/>
          <w:lang w:val="ro-RO"/>
        </w:rPr>
        <w:t xml:space="preserve"> Ministero della Finanze. </w:t>
      </w:r>
      <w:r w:rsidR="0098262C" w:rsidRPr="00E21CB9">
        <w:rPr>
          <w:rFonts w:ascii="Times New Roman" w:hAnsi="Times New Roman"/>
          <w:noProof/>
          <w:sz w:val="24"/>
          <w:szCs w:val="24"/>
          <w:lang w:val="ro-RO"/>
        </w:rPr>
        <w:t>P</w:t>
      </w:r>
      <w:r w:rsidR="00A3701B" w:rsidRPr="00E21CB9">
        <w:rPr>
          <w:rFonts w:ascii="Times New Roman" w:hAnsi="Times New Roman"/>
          <w:noProof/>
          <w:sz w:val="24"/>
          <w:szCs w:val="24"/>
          <w:lang w:val="ro-RO"/>
        </w:rPr>
        <w:t xml:space="preserve">rin decizia </w:t>
      </w:r>
      <w:r w:rsidR="003720C2" w:rsidRPr="00E21CB9">
        <w:rPr>
          <w:rFonts w:ascii="Times New Roman" w:hAnsi="Times New Roman"/>
          <w:noProof/>
          <w:sz w:val="24"/>
          <w:szCs w:val="24"/>
          <w:lang w:val="ro-RO"/>
        </w:rPr>
        <w:t xml:space="preserve">nr. </w:t>
      </w:r>
      <w:r w:rsidR="00A3701B" w:rsidRPr="00E21CB9">
        <w:rPr>
          <w:rFonts w:ascii="Times New Roman" w:hAnsi="Times New Roman"/>
          <w:noProof/>
          <w:sz w:val="24"/>
          <w:szCs w:val="24"/>
          <w:lang w:val="ro-RO"/>
        </w:rPr>
        <w:t xml:space="preserve">232 din 1989 </w:t>
      </w:r>
      <w:r w:rsidR="003720C2" w:rsidRPr="00E21CB9">
        <w:rPr>
          <w:rFonts w:ascii="Times New Roman" w:hAnsi="Times New Roman"/>
          <w:noProof/>
          <w:sz w:val="24"/>
          <w:szCs w:val="24"/>
          <w:lang w:val="ro-RO"/>
        </w:rPr>
        <w:t xml:space="preserve">pronunțată </w:t>
      </w:r>
      <w:r w:rsidR="00A3701B" w:rsidRPr="00E21CB9">
        <w:rPr>
          <w:rFonts w:ascii="Times New Roman" w:hAnsi="Times New Roman"/>
          <w:noProof/>
          <w:sz w:val="24"/>
          <w:szCs w:val="24"/>
          <w:lang w:val="ro-RO"/>
        </w:rPr>
        <w:t xml:space="preserve">în cauza </w:t>
      </w:r>
      <w:r w:rsidR="00A3701B" w:rsidRPr="00E21CB9">
        <w:rPr>
          <w:rFonts w:ascii="Times New Roman" w:hAnsi="Times New Roman"/>
          <w:i/>
          <w:iCs/>
          <w:noProof/>
          <w:sz w:val="24"/>
          <w:szCs w:val="24"/>
          <w:lang w:val="ro-RO"/>
        </w:rPr>
        <w:t>Spa Fragd / Amministrazione delle Finanze</w:t>
      </w:r>
      <w:r w:rsidR="00D76BBB" w:rsidRPr="00E21CB9">
        <w:rPr>
          <w:rFonts w:ascii="Times New Roman" w:hAnsi="Times New Roman"/>
          <w:noProof/>
          <w:sz w:val="24"/>
          <w:szCs w:val="24"/>
          <w:lang w:val="ro-RO"/>
        </w:rPr>
        <w:t>,</w:t>
      </w:r>
      <w:r w:rsidR="00A3701B" w:rsidRPr="00E21CB9">
        <w:rPr>
          <w:rFonts w:ascii="Times New Roman" w:hAnsi="Times New Roman"/>
          <w:noProof/>
          <w:sz w:val="24"/>
          <w:szCs w:val="24"/>
          <w:lang w:val="ro-RO"/>
        </w:rPr>
        <w:t xml:space="preserve"> aceeași curte a concluzionat că nicio măsură UE nu se aplică în Italia dacă aceasta contravine unui principiu fundamental constitu</w:t>
      </w:r>
      <w:r w:rsidR="003720C2" w:rsidRPr="00E21CB9">
        <w:rPr>
          <w:rFonts w:ascii="Times New Roman" w:hAnsi="Times New Roman"/>
          <w:noProof/>
          <w:sz w:val="24"/>
          <w:szCs w:val="24"/>
          <w:lang w:val="ro-RO"/>
        </w:rPr>
        <w:t>ț</w:t>
      </w:r>
      <w:r w:rsidR="00A3701B" w:rsidRPr="00E21CB9">
        <w:rPr>
          <w:rFonts w:ascii="Times New Roman" w:hAnsi="Times New Roman"/>
          <w:noProof/>
          <w:sz w:val="24"/>
          <w:szCs w:val="24"/>
          <w:lang w:val="ro-RO"/>
        </w:rPr>
        <w:t xml:space="preserve">ional privind protecția drepturilor omului. </w:t>
      </w:r>
    </w:p>
    <w:p w14:paraId="2B000BC5" w14:textId="0BF4B3C0" w:rsidR="00FA1BDF" w:rsidRPr="00E21CB9" w:rsidRDefault="0098262C"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C</w:t>
      </w:r>
      <w:r w:rsidR="006D3D2E" w:rsidRPr="00E21CB9">
        <w:rPr>
          <w:rFonts w:ascii="Times New Roman" w:hAnsi="Times New Roman"/>
          <w:noProof/>
          <w:sz w:val="24"/>
          <w:szCs w:val="24"/>
          <w:lang w:val="ro-RO"/>
        </w:rPr>
        <w:t xml:space="preserve">ele două cauze </w:t>
      </w:r>
      <w:r w:rsidR="006D3D2E" w:rsidRPr="00E21CB9">
        <w:rPr>
          <w:rFonts w:ascii="Times New Roman" w:hAnsi="Times New Roman"/>
          <w:i/>
          <w:iCs/>
          <w:noProof/>
          <w:sz w:val="24"/>
          <w:szCs w:val="24"/>
          <w:lang w:val="ro-RO"/>
        </w:rPr>
        <w:t>Taricco</w:t>
      </w:r>
      <w:r w:rsidR="006D3D2E" w:rsidRPr="00E21CB9">
        <w:rPr>
          <w:rFonts w:ascii="Times New Roman" w:hAnsi="Times New Roman"/>
          <w:noProof/>
          <w:sz w:val="24"/>
          <w:szCs w:val="24"/>
          <w:lang w:val="ro-RO"/>
        </w:rPr>
        <w:t xml:space="preserve"> au constituit un moment special în evoluția problematicii în discuție. </w:t>
      </w:r>
    </w:p>
    <w:p w14:paraId="0892D5EC" w14:textId="5244379F" w:rsidR="00A3701B" w:rsidRPr="00E21CB9" w:rsidRDefault="006D3D2E" w:rsidP="00F10A47">
      <w:pPr>
        <w:spacing w:after="200" w:line="276" w:lineRule="auto"/>
        <w:jc w:val="both"/>
        <w:rPr>
          <w:rStyle w:val="bold"/>
          <w:rFonts w:ascii="Times New Roman" w:hAnsi="Times New Roman"/>
          <w:noProof/>
          <w:sz w:val="24"/>
          <w:szCs w:val="24"/>
          <w:lang w:val="ro-RO"/>
        </w:rPr>
      </w:pPr>
      <w:r w:rsidRPr="00E21CB9">
        <w:rPr>
          <w:rFonts w:ascii="Times New Roman" w:hAnsi="Times New Roman"/>
          <w:noProof/>
          <w:sz w:val="24"/>
          <w:szCs w:val="24"/>
          <w:lang w:val="ro-RO"/>
        </w:rPr>
        <w:t xml:space="preserve">După ce Curtea de </w:t>
      </w:r>
      <w:r w:rsidR="003720C2" w:rsidRPr="00E21CB9">
        <w:rPr>
          <w:rFonts w:ascii="Times New Roman" w:hAnsi="Times New Roman"/>
          <w:noProof/>
          <w:sz w:val="24"/>
          <w:szCs w:val="24"/>
          <w:lang w:val="ro-RO"/>
        </w:rPr>
        <w:t>J</w:t>
      </w:r>
      <w:r w:rsidRPr="00E21CB9">
        <w:rPr>
          <w:rFonts w:ascii="Times New Roman" w:hAnsi="Times New Roman"/>
          <w:noProof/>
          <w:sz w:val="24"/>
          <w:szCs w:val="24"/>
          <w:lang w:val="ro-RO"/>
        </w:rPr>
        <w:t xml:space="preserve">ustiție a impus prin hotărârea din 8 septembrie 2015 în cauza C-105/14 (cunoscută drept </w:t>
      </w:r>
      <w:r w:rsidR="00FA1BDF" w:rsidRPr="00E21CB9">
        <w:rPr>
          <w:rFonts w:ascii="Times New Roman" w:hAnsi="Times New Roman"/>
          <w:i/>
          <w:iCs/>
          <w:noProof/>
          <w:sz w:val="24"/>
          <w:szCs w:val="24"/>
          <w:lang w:val="ro-RO"/>
        </w:rPr>
        <w:t>T</w:t>
      </w:r>
      <w:r w:rsidRPr="00E21CB9">
        <w:rPr>
          <w:rFonts w:ascii="Times New Roman" w:hAnsi="Times New Roman"/>
          <w:i/>
          <w:iCs/>
          <w:noProof/>
          <w:sz w:val="24"/>
          <w:szCs w:val="24"/>
          <w:lang w:val="ro-RO"/>
        </w:rPr>
        <w:t>aricco I</w:t>
      </w:r>
      <w:r w:rsidRPr="00E21CB9">
        <w:rPr>
          <w:rFonts w:ascii="Times New Roman" w:hAnsi="Times New Roman"/>
          <w:noProof/>
          <w:sz w:val="24"/>
          <w:szCs w:val="24"/>
          <w:lang w:val="ro-RO"/>
        </w:rPr>
        <w:t xml:space="preserve">) lăsarea ca neaplicate a normelor naționale </w:t>
      </w:r>
      <w:r w:rsidR="00FA1BDF" w:rsidRPr="00E21CB9">
        <w:rPr>
          <w:rFonts w:ascii="Times New Roman" w:hAnsi="Times New Roman"/>
          <w:noProof/>
          <w:sz w:val="24"/>
          <w:szCs w:val="24"/>
          <w:lang w:val="ro-RO"/>
        </w:rPr>
        <w:t xml:space="preserve">care permiteau prelungirea cu </w:t>
      </w:r>
      <w:r w:rsidR="00FA1BDF" w:rsidRPr="00E21CB9">
        <w:rPr>
          <w:rFonts w:ascii="Times New Roman" w:hAnsi="Times New Roman"/>
          <w:i/>
          <w:iCs/>
          <w:noProof/>
          <w:sz w:val="24"/>
          <w:szCs w:val="24"/>
          <w:lang w:val="ro-RO"/>
        </w:rPr>
        <w:t>d</w:t>
      </w:r>
      <w:r w:rsidR="00D76BBB" w:rsidRPr="00E21CB9">
        <w:rPr>
          <w:rFonts w:ascii="Times New Roman" w:hAnsi="Times New Roman"/>
          <w:i/>
          <w:iCs/>
          <w:noProof/>
          <w:sz w:val="24"/>
          <w:szCs w:val="24"/>
          <w:lang w:val="ro-RO"/>
        </w:rPr>
        <w:t>oar</w:t>
      </w:r>
      <w:r w:rsidR="00FA1BDF" w:rsidRPr="00E21CB9">
        <w:rPr>
          <w:rFonts w:ascii="Times New Roman" w:hAnsi="Times New Roman"/>
          <w:noProof/>
          <w:sz w:val="24"/>
          <w:szCs w:val="24"/>
          <w:lang w:val="ro-RO"/>
        </w:rPr>
        <w:t xml:space="preserve"> o pătrime a termenului de prescripție a răspunderii penale</w:t>
      </w:r>
      <w:r w:rsidRPr="00E21CB9">
        <w:rPr>
          <w:rFonts w:ascii="Times New Roman" w:hAnsi="Times New Roman"/>
          <w:noProof/>
          <w:sz w:val="24"/>
          <w:szCs w:val="24"/>
          <w:lang w:val="ro-RO"/>
        </w:rPr>
        <w:t xml:space="preserve"> </w:t>
      </w:r>
      <w:r w:rsidR="00FA1BDF" w:rsidRPr="00E21CB9">
        <w:rPr>
          <w:rFonts w:ascii="Times New Roman" w:hAnsi="Times New Roman"/>
          <w:noProof/>
          <w:sz w:val="24"/>
          <w:szCs w:val="24"/>
          <w:lang w:val="ro-RO"/>
        </w:rPr>
        <w:t xml:space="preserve">întrucât </w:t>
      </w:r>
      <w:r w:rsidR="00FA1BDF" w:rsidRPr="00E21CB9">
        <w:rPr>
          <w:rStyle w:val="bold"/>
          <w:rFonts w:ascii="Times New Roman" w:hAnsi="Times New Roman"/>
          <w:i/>
          <w:iCs/>
          <w:noProof/>
          <w:sz w:val="24"/>
          <w:szCs w:val="24"/>
          <w:lang w:val="ro-RO"/>
        </w:rPr>
        <w:t>ar împiedica aplicarea unor sancțiuni efective și disuasive într</w:t>
      </w:r>
      <w:r w:rsidR="00FA1BDF" w:rsidRPr="00E21CB9">
        <w:rPr>
          <w:rStyle w:val="bold"/>
          <w:rFonts w:ascii="Times New Roman" w:hAnsi="Times New Roman"/>
          <w:i/>
          <w:iCs/>
          <w:noProof/>
          <w:sz w:val="24"/>
          <w:szCs w:val="24"/>
          <w:lang w:val="ro-RO"/>
        </w:rPr>
        <w:noBreakHyphen/>
        <w:t>un număr considerabil de cazuri de fraudă gravă aducând atingere intereselor financiare ale Uniunii Europene sau ar prevedea termene de prescripție mai lungi pentru cazurile de fraudă aducând atingere intereselor financiare ale statului membru</w:t>
      </w:r>
      <w:r w:rsidR="00FA1BDF" w:rsidRPr="00E21CB9">
        <w:rPr>
          <w:rStyle w:val="bold"/>
          <w:rFonts w:ascii="Times New Roman" w:hAnsi="Times New Roman"/>
          <w:noProof/>
          <w:lang w:val="ro-RO"/>
        </w:rPr>
        <w:t xml:space="preserve">, </w:t>
      </w:r>
      <w:r w:rsidR="00FA1BDF" w:rsidRPr="00E21CB9">
        <w:rPr>
          <w:rStyle w:val="bold"/>
          <w:rFonts w:ascii="Times New Roman" w:hAnsi="Times New Roman"/>
          <w:noProof/>
          <w:sz w:val="24"/>
          <w:szCs w:val="24"/>
          <w:lang w:val="ro-RO"/>
        </w:rPr>
        <w:t>Italia a revenit în fa</w:t>
      </w:r>
      <w:r w:rsidR="003720C2" w:rsidRPr="00E21CB9">
        <w:rPr>
          <w:rStyle w:val="bold"/>
          <w:rFonts w:ascii="Times New Roman" w:hAnsi="Times New Roman"/>
          <w:noProof/>
          <w:sz w:val="24"/>
          <w:szCs w:val="24"/>
          <w:lang w:val="ro-RO"/>
        </w:rPr>
        <w:t>ț</w:t>
      </w:r>
      <w:r w:rsidR="00FA1BDF" w:rsidRPr="00E21CB9">
        <w:rPr>
          <w:rStyle w:val="bold"/>
          <w:rFonts w:ascii="Times New Roman" w:hAnsi="Times New Roman"/>
          <w:noProof/>
          <w:sz w:val="24"/>
          <w:szCs w:val="24"/>
          <w:lang w:val="ro-RO"/>
        </w:rPr>
        <w:t>a CJUE.</w:t>
      </w:r>
    </w:p>
    <w:p w14:paraId="6FD96A1C" w14:textId="4AA88B84" w:rsidR="00FA1BDF" w:rsidRPr="00E21CB9" w:rsidRDefault="00FA1BDF"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Curtea de Casație</w:t>
      </w:r>
      <w:r w:rsidR="001D279F" w:rsidRPr="00E21CB9">
        <w:rPr>
          <w:rFonts w:ascii="Times New Roman" w:hAnsi="Times New Roman"/>
          <w:noProof/>
          <w:sz w:val="24"/>
          <w:szCs w:val="24"/>
          <w:lang w:val="ro-RO"/>
        </w:rPr>
        <w:t xml:space="preserve"> italiană</w:t>
      </w:r>
      <w:r w:rsidRPr="00E21CB9">
        <w:rPr>
          <w:rFonts w:ascii="Times New Roman" w:hAnsi="Times New Roman"/>
          <w:noProof/>
          <w:sz w:val="24"/>
          <w:szCs w:val="24"/>
          <w:lang w:val="ro-RO"/>
        </w:rPr>
        <w:t xml:space="preserve"> și Curtea de Apel Milano au solicitat controlul constituționalității reguli</w:t>
      </w:r>
      <w:r w:rsidR="00D76BBB" w:rsidRPr="00E21CB9">
        <w:rPr>
          <w:rFonts w:ascii="Times New Roman" w:hAnsi="Times New Roman"/>
          <w:noProof/>
          <w:sz w:val="24"/>
          <w:szCs w:val="24"/>
          <w:lang w:val="ro-RO"/>
        </w:rPr>
        <w:t xml:space="preserve">i </w:t>
      </w:r>
      <w:r w:rsidRPr="00E21CB9">
        <w:rPr>
          <w:rFonts w:ascii="Times New Roman" w:hAnsi="Times New Roman"/>
          <w:i/>
          <w:iCs/>
          <w:noProof/>
          <w:sz w:val="24"/>
          <w:szCs w:val="24"/>
          <w:lang w:val="ro-RO"/>
        </w:rPr>
        <w:t>Taricco</w:t>
      </w:r>
      <w:r w:rsidRPr="00E21CB9">
        <w:rPr>
          <w:rFonts w:ascii="Times New Roman" w:hAnsi="Times New Roman"/>
          <w:noProof/>
          <w:sz w:val="24"/>
          <w:szCs w:val="24"/>
          <w:lang w:val="ro-RO"/>
        </w:rPr>
        <w:t xml:space="preserve">, </w:t>
      </w:r>
      <w:r w:rsidR="001D279F" w:rsidRPr="00E21CB9">
        <w:rPr>
          <w:rFonts w:ascii="Times New Roman" w:hAnsi="Times New Roman"/>
          <w:noProof/>
          <w:sz w:val="24"/>
          <w:szCs w:val="24"/>
          <w:lang w:val="ro-RO"/>
        </w:rPr>
        <w:t xml:space="preserve">în conformitate cu care ar fi trebuit să lase neaplicat termenul de prescripție prevăzut </w:t>
      </w:r>
      <w:r w:rsidR="0098262C" w:rsidRPr="00E21CB9">
        <w:rPr>
          <w:rFonts w:ascii="Times New Roman" w:hAnsi="Times New Roman"/>
          <w:noProof/>
          <w:sz w:val="24"/>
          <w:szCs w:val="24"/>
          <w:lang w:val="ro-RO"/>
        </w:rPr>
        <w:t>în</w:t>
      </w:r>
      <w:r w:rsidR="001D279F" w:rsidRPr="00E21CB9">
        <w:rPr>
          <w:rFonts w:ascii="Times New Roman" w:hAnsi="Times New Roman"/>
          <w:noProof/>
          <w:sz w:val="24"/>
          <w:szCs w:val="24"/>
          <w:lang w:val="ro-RO"/>
        </w:rPr>
        <w:t xml:space="preserve"> </w:t>
      </w:r>
      <w:r w:rsidR="001D279F" w:rsidRPr="00E21CB9">
        <w:rPr>
          <w:rFonts w:ascii="Times New Roman" w:hAnsi="Times New Roman"/>
          <w:noProof/>
          <w:sz w:val="24"/>
          <w:szCs w:val="24"/>
          <w:lang w:val="ro-RO"/>
        </w:rPr>
        <w:lastRenderedPageBreak/>
        <w:t xml:space="preserve">dispozițiile Codului penal </w:t>
      </w:r>
      <w:r w:rsidR="00BA0E6C" w:rsidRPr="00E21CB9">
        <w:rPr>
          <w:rFonts w:ascii="Times New Roman" w:hAnsi="Times New Roman"/>
          <w:noProof/>
          <w:sz w:val="24"/>
          <w:szCs w:val="24"/>
          <w:lang w:val="ro-RO"/>
        </w:rPr>
        <w:t>i</w:t>
      </w:r>
      <w:r w:rsidR="001D279F" w:rsidRPr="00E21CB9">
        <w:rPr>
          <w:rFonts w:ascii="Times New Roman" w:hAnsi="Times New Roman"/>
          <w:noProof/>
          <w:sz w:val="24"/>
          <w:szCs w:val="24"/>
          <w:lang w:val="ro-RO"/>
        </w:rPr>
        <w:t>talian</w:t>
      </w:r>
      <w:r w:rsidR="00D76BBB" w:rsidRPr="00E21CB9">
        <w:rPr>
          <w:rFonts w:ascii="Times New Roman" w:hAnsi="Times New Roman"/>
          <w:noProof/>
          <w:sz w:val="24"/>
          <w:szCs w:val="24"/>
          <w:lang w:val="ro-RO"/>
        </w:rPr>
        <w:t>.</w:t>
      </w:r>
      <w:r w:rsidR="001D279F" w:rsidRPr="00E21CB9">
        <w:rPr>
          <w:rFonts w:ascii="Times New Roman" w:hAnsi="Times New Roman"/>
          <w:noProof/>
          <w:sz w:val="24"/>
          <w:szCs w:val="24"/>
          <w:lang w:val="ro-RO"/>
        </w:rPr>
        <w:t xml:space="preserve"> Astfel sesizată, Curtea Constituțională a Italiei a arătat că are îndoieli cu privire la compatibilitatea unei asemenea soluții cu principiile supreme ale ordinii constituționale italiene și cu respectarea drepturilor inalienabile ale persoanei, precizând că soluția preconizată putea aduce atingere principiului legalității infracțiunilor și pedepselor, care impune, printre altele, ca dispozițiile penale să fie determinate cu precizie și să nu poată fi aplicate retroactiv.</w:t>
      </w:r>
    </w:p>
    <w:p w14:paraId="2E10875D" w14:textId="6181DB04" w:rsidR="00772BA1" w:rsidRPr="00E21CB9" w:rsidRDefault="00772BA1" w:rsidP="00F10A47">
      <w:pPr>
        <w:spacing w:after="200" w:line="276" w:lineRule="auto"/>
        <w:jc w:val="both"/>
        <w:rPr>
          <w:rStyle w:val="bold"/>
          <w:rFonts w:ascii="Times New Roman" w:hAnsi="Times New Roman"/>
          <w:i/>
          <w:iCs/>
          <w:noProof/>
          <w:sz w:val="24"/>
          <w:szCs w:val="24"/>
          <w:lang w:val="ro-RO"/>
        </w:rPr>
      </w:pPr>
      <w:r w:rsidRPr="00E21CB9">
        <w:rPr>
          <w:rFonts w:ascii="Times New Roman" w:hAnsi="Times New Roman"/>
          <w:noProof/>
          <w:sz w:val="24"/>
          <w:szCs w:val="24"/>
          <w:lang w:val="ro-RO"/>
        </w:rPr>
        <w:t>Pentru a evita un conflict constituțional pe care curtea italiană l-a declarat iminent în cazul menținerii p</w:t>
      </w:r>
      <w:r w:rsidR="00294218" w:rsidRPr="00E21CB9">
        <w:rPr>
          <w:rFonts w:ascii="Times New Roman" w:hAnsi="Times New Roman"/>
          <w:noProof/>
          <w:sz w:val="24"/>
          <w:szCs w:val="24"/>
          <w:lang w:val="ro-RO"/>
        </w:rPr>
        <w:t>unctului de vedere exprimat de</w:t>
      </w:r>
      <w:r w:rsidRPr="00E21CB9">
        <w:rPr>
          <w:rFonts w:ascii="Times New Roman" w:hAnsi="Times New Roman"/>
          <w:noProof/>
          <w:sz w:val="24"/>
          <w:szCs w:val="24"/>
          <w:lang w:val="ro-RO"/>
        </w:rPr>
        <w:t xml:space="preserve"> CJUE, aceasta</w:t>
      </w:r>
      <w:r w:rsidR="003720C2" w:rsidRPr="00E21CB9">
        <w:rPr>
          <w:rFonts w:ascii="Times New Roman" w:hAnsi="Times New Roman"/>
          <w:noProof/>
          <w:sz w:val="24"/>
          <w:szCs w:val="24"/>
          <w:lang w:val="ro-RO"/>
        </w:rPr>
        <w:t xml:space="preserve"> din urmă</w:t>
      </w:r>
      <w:r w:rsidRPr="00E21CB9">
        <w:rPr>
          <w:rFonts w:ascii="Times New Roman" w:hAnsi="Times New Roman"/>
          <w:noProof/>
          <w:sz w:val="24"/>
          <w:szCs w:val="24"/>
          <w:lang w:val="ro-RO"/>
        </w:rPr>
        <w:t xml:space="preserve"> a rev</w:t>
      </w:r>
      <w:r w:rsidR="00B44085" w:rsidRPr="00E21CB9">
        <w:rPr>
          <w:rFonts w:ascii="Times New Roman" w:hAnsi="Times New Roman"/>
          <w:noProof/>
          <w:sz w:val="24"/>
          <w:szCs w:val="24"/>
          <w:lang w:val="ro-RO"/>
        </w:rPr>
        <w:t>izuit poziția inițială</w:t>
      </w:r>
      <w:r w:rsidRPr="00E21CB9">
        <w:rPr>
          <w:rFonts w:ascii="Times New Roman" w:hAnsi="Times New Roman"/>
          <w:noProof/>
          <w:sz w:val="24"/>
          <w:szCs w:val="24"/>
          <w:lang w:val="ro-RO"/>
        </w:rPr>
        <w:t xml:space="preserve"> prin hotărârea din 5 decembrie 2017 în cauza C-42/17 (</w:t>
      </w:r>
      <w:r w:rsidRPr="00E21CB9">
        <w:rPr>
          <w:rFonts w:ascii="Times New Roman" w:hAnsi="Times New Roman"/>
          <w:i/>
          <w:iCs/>
          <w:noProof/>
          <w:sz w:val="24"/>
          <w:szCs w:val="24"/>
          <w:lang w:val="ro-RO"/>
        </w:rPr>
        <w:t>Taricco II</w:t>
      </w:r>
      <w:r w:rsidRPr="00E21CB9">
        <w:rPr>
          <w:rFonts w:ascii="Times New Roman" w:hAnsi="Times New Roman"/>
          <w:noProof/>
          <w:sz w:val="24"/>
          <w:szCs w:val="24"/>
          <w:lang w:val="ro-RO"/>
        </w:rPr>
        <w:t>)</w:t>
      </w:r>
      <w:r w:rsidR="00BA0E6C" w:rsidRPr="00E21CB9">
        <w:rPr>
          <w:rFonts w:ascii="Times New Roman" w:hAnsi="Times New Roman"/>
          <w:noProof/>
          <w:sz w:val="24"/>
          <w:szCs w:val="24"/>
          <w:lang w:val="ro-RO"/>
        </w:rPr>
        <w:t xml:space="preserve">, </w:t>
      </w:r>
      <w:r w:rsidR="00D74E04" w:rsidRPr="00E21CB9">
        <w:rPr>
          <w:rFonts w:ascii="Times New Roman" w:hAnsi="Times New Roman"/>
          <w:noProof/>
          <w:sz w:val="24"/>
          <w:szCs w:val="24"/>
          <w:lang w:val="ro-RO"/>
        </w:rPr>
        <w:t>declarând</w:t>
      </w:r>
      <w:r w:rsidRPr="00E21CB9">
        <w:rPr>
          <w:rFonts w:ascii="Times New Roman" w:hAnsi="Times New Roman"/>
          <w:noProof/>
          <w:sz w:val="24"/>
          <w:szCs w:val="24"/>
          <w:lang w:val="ro-RO"/>
        </w:rPr>
        <w:t xml:space="preserve"> că regula anterior stabilită nu se aplică </w:t>
      </w:r>
      <w:r w:rsidRPr="00E21CB9">
        <w:rPr>
          <w:rStyle w:val="bold"/>
          <w:rFonts w:ascii="Times New Roman" w:hAnsi="Times New Roman"/>
          <w:noProof/>
          <w:sz w:val="24"/>
          <w:szCs w:val="24"/>
          <w:lang w:val="ro-RO"/>
        </w:rPr>
        <w:t>în cazul</w:t>
      </w:r>
      <w:r w:rsidR="00D74E04" w:rsidRPr="00E21CB9">
        <w:rPr>
          <w:rStyle w:val="bold"/>
          <w:rFonts w:ascii="Times New Roman" w:hAnsi="Times New Roman"/>
          <w:noProof/>
          <w:sz w:val="24"/>
          <w:szCs w:val="24"/>
          <w:lang w:val="ro-RO"/>
        </w:rPr>
        <w:t xml:space="preserve"> în care</w:t>
      </w:r>
      <w:r w:rsidRPr="00E21CB9">
        <w:rPr>
          <w:rStyle w:val="bold"/>
          <w:rFonts w:ascii="Times New Roman" w:hAnsi="Times New Roman"/>
          <w:i/>
          <w:iCs/>
          <w:noProof/>
          <w:sz w:val="24"/>
          <w:szCs w:val="24"/>
          <w:lang w:val="ro-RO"/>
        </w:rPr>
        <w:t xml:space="preserve"> determină o încălcare a principiului legalității infracțiunilor și pedepselor, din cauza unei lipse de precizie a legii aplicabile sau pentru motivul aplicării retroactive a unei legislații care impune condiții de incriminare mai severe decât cele în vigoare la momentul săvârșirii infracțiunii.</w:t>
      </w:r>
    </w:p>
    <w:p w14:paraId="02BD9616" w14:textId="37795E76" w:rsidR="00CD74A0" w:rsidRPr="00E21CB9" w:rsidRDefault="00CD74A0" w:rsidP="00F10A47">
      <w:pPr>
        <w:spacing w:after="200" w:line="276" w:lineRule="auto"/>
        <w:jc w:val="both"/>
        <w:rPr>
          <w:rStyle w:val="bold"/>
          <w:rFonts w:ascii="Times New Roman" w:hAnsi="Times New Roman"/>
          <w:b/>
          <w:bCs/>
          <w:noProof/>
          <w:sz w:val="24"/>
          <w:szCs w:val="24"/>
          <w:lang w:val="ro-RO"/>
        </w:rPr>
      </w:pPr>
      <w:r w:rsidRPr="00E21CB9">
        <w:rPr>
          <w:rStyle w:val="bold"/>
          <w:rFonts w:ascii="Times New Roman" w:hAnsi="Times New Roman"/>
          <w:i/>
          <w:iCs/>
          <w:noProof/>
          <w:sz w:val="24"/>
          <w:szCs w:val="24"/>
          <w:lang w:val="ro-RO"/>
        </w:rPr>
        <w:t>Taricco II</w:t>
      </w:r>
      <w:r w:rsidRPr="00E21CB9">
        <w:rPr>
          <w:rStyle w:val="bold"/>
          <w:rFonts w:ascii="Times New Roman" w:hAnsi="Times New Roman"/>
          <w:noProof/>
          <w:sz w:val="24"/>
          <w:szCs w:val="24"/>
          <w:lang w:val="ro-RO"/>
        </w:rPr>
        <w:t xml:space="preserve"> a consolidat într-o oarecare măsură teoria contralimitelor, a oferit  o perioadă de </w:t>
      </w:r>
      <w:r w:rsidR="0098262C" w:rsidRPr="00E21CB9">
        <w:rPr>
          <w:rStyle w:val="bold"/>
          <w:rFonts w:ascii="Times New Roman" w:hAnsi="Times New Roman"/>
          <w:noProof/>
          <w:sz w:val="24"/>
          <w:szCs w:val="24"/>
          <w:lang w:val="ro-RO"/>
        </w:rPr>
        <w:t xml:space="preserve">calm </w:t>
      </w:r>
      <w:r w:rsidRPr="00E21CB9">
        <w:rPr>
          <w:rStyle w:val="bold"/>
          <w:rFonts w:ascii="Times New Roman" w:hAnsi="Times New Roman"/>
          <w:noProof/>
          <w:sz w:val="24"/>
          <w:szCs w:val="24"/>
          <w:lang w:val="ro-RO"/>
        </w:rPr>
        <w:t xml:space="preserve">după </w:t>
      </w:r>
      <w:r w:rsidRPr="00E21CB9">
        <w:rPr>
          <w:rStyle w:val="bold"/>
          <w:rFonts w:ascii="Times New Roman" w:hAnsi="Times New Roman"/>
          <w:i/>
          <w:iCs/>
          <w:noProof/>
          <w:sz w:val="24"/>
          <w:szCs w:val="24"/>
          <w:lang w:val="ro-RO"/>
        </w:rPr>
        <w:t>Taricco I</w:t>
      </w:r>
      <w:r w:rsidRPr="00E21CB9">
        <w:rPr>
          <w:rStyle w:val="bold"/>
          <w:rFonts w:ascii="Times New Roman" w:hAnsi="Times New Roman"/>
          <w:noProof/>
          <w:sz w:val="24"/>
          <w:szCs w:val="24"/>
          <w:lang w:val="ro-RO"/>
        </w:rPr>
        <w:t xml:space="preserve"> și </w:t>
      </w:r>
      <w:r w:rsidRPr="00E21CB9">
        <w:rPr>
          <w:rStyle w:val="bold"/>
          <w:rFonts w:ascii="Times New Roman" w:hAnsi="Times New Roman"/>
          <w:i/>
          <w:iCs/>
          <w:noProof/>
          <w:sz w:val="24"/>
          <w:szCs w:val="24"/>
          <w:lang w:val="ro-RO"/>
        </w:rPr>
        <w:t>Melloni</w:t>
      </w:r>
      <w:r w:rsidR="0098262C" w:rsidRPr="00E21CB9">
        <w:rPr>
          <w:rStyle w:val="bold"/>
          <w:rFonts w:ascii="Times New Roman" w:hAnsi="Times New Roman"/>
          <w:noProof/>
          <w:sz w:val="24"/>
          <w:szCs w:val="24"/>
          <w:lang w:val="ro-RO"/>
        </w:rPr>
        <w:t>.</w:t>
      </w:r>
      <w:r w:rsidRPr="00E21CB9">
        <w:rPr>
          <w:rStyle w:val="bold"/>
          <w:rFonts w:ascii="Times New Roman" w:hAnsi="Times New Roman"/>
          <w:noProof/>
          <w:sz w:val="24"/>
          <w:szCs w:val="24"/>
          <w:lang w:val="ro-RO"/>
        </w:rPr>
        <w:t xml:space="preserve"> </w:t>
      </w:r>
      <w:r w:rsidR="0098262C" w:rsidRPr="00E21CB9">
        <w:rPr>
          <w:rStyle w:val="bold"/>
          <w:rFonts w:ascii="Times New Roman" w:hAnsi="Times New Roman"/>
          <w:noProof/>
          <w:sz w:val="24"/>
          <w:szCs w:val="24"/>
          <w:lang w:val="ro-RO"/>
        </w:rPr>
        <w:t>A</w:t>
      </w:r>
      <w:r w:rsidRPr="00E21CB9">
        <w:rPr>
          <w:rStyle w:val="bold"/>
          <w:rFonts w:ascii="Times New Roman" w:hAnsi="Times New Roman"/>
          <w:noProof/>
          <w:sz w:val="24"/>
          <w:szCs w:val="24"/>
          <w:lang w:val="ro-RO"/>
        </w:rPr>
        <w:t>ceastă ultimă cauză f</w:t>
      </w:r>
      <w:r w:rsidR="0098262C" w:rsidRPr="00E21CB9">
        <w:rPr>
          <w:rStyle w:val="bold"/>
          <w:rFonts w:ascii="Times New Roman" w:hAnsi="Times New Roman"/>
          <w:noProof/>
          <w:sz w:val="24"/>
          <w:szCs w:val="24"/>
          <w:lang w:val="ro-RO"/>
        </w:rPr>
        <w:t>usese</w:t>
      </w:r>
      <w:r w:rsidRPr="00E21CB9">
        <w:rPr>
          <w:rStyle w:val="bold"/>
          <w:rFonts w:ascii="Times New Roman" w:hAnsi="Times New Roman"/>
          <w:noProof/>
          <w:sz w:val="24"/>
          <w:szCs w:val="24"/>
          <w:lang w:val="ro-RO"/>
        </w:rPr>
        <w:t xml:space="preserve"> soluționată de CJUE prin hotărârea din 26 februarie 2013 în urma trimiterii preliminare a Tribunalului Constituțional din </w:t>
      </w:r>
      <w:r w:rsidRPr="00E21CB9">
        <w:rPr>
          <w:rStyle w:val="bold"/>
          <w:rFonts w:ascii="Times New Roman" w:hAnsi="Times New Roman"/>
          <w:b/>
          <w:bCs/>
          <w:noProof/>
          <w:sz w:val="24"/>
          <w:szCs w:val="24"/>
          <w:lang w:val="ro-RO"/>
        </w:rPr>
        <w:t>Spania.</w:t>
      </w:r>
    </w:p>
    <w:p w14:paraId="2C79DE99" w14:textId="45B0637D" w:rsidR="00CD74A0" w:rsidRPr="00E21CB9" w:rsidRDefault="00CD74A0" w:rsidP="00F10A47">
      <w:pPr>
        <w:spacing w:after="200" w:line="276" w:lineRule="auto"/>
        <w:jc w:val="both"/>
        <w:rPr>
          <w:rFonts w:ascii="Times New Roman" w:hAnsi="Times New Roman"/>
          <w:i/>
          <w:iCs/>
          <w:noProof/>
          <w:sz w:val="24"/>
          <w:szCs w:val="24"/>
          <w:lang w:val="ro-RO"/>
        </w:rPr>
      </w:pPr>
      <w:r w:rsidRPr="00E21CB9">
        <w:rPr>
          <w:rStyle w:val="bold"/>
          <w:rFonts w:ascii="Times New Roman" w:hAnsi="Times New Roman"/>
          <w:noProof/>
          <w:sz w:val="24"/>
          <w:szCs w:val="24"/>
          <w:lang w:val="ro-RO"/>
        </w:rPr>
        <w:t>În</w:t>
      </w:r>
      <w:r w:rsidR="00F10A47" w:rsidRPr="00E21CB9">
        <w:rPr>
          <w:rStyle w:val="bold"/>
          <w:rFonts w:ascii="Times New Roman" w:hAnsi="Times New Roman"/>
          <w:noProof/>
          <w:sz w:val="24"/>
          <w:szCs w:val="24"/>
          <w:lang w:val="ro-RO"/>
        </w:rPr>
        <w:t xml:space="preserve"> cauza</w:t>
      </w:r>
      <w:r w:rsidRPr="00E21CB9">
        <w:rPr>
          <w:rStyle w:val="bold"/>
          <w:rFonts w:ascii="Times New Roman" w:hAnsi="Times New Roman"/>
          <w:noProof/>
          <w:sz w:val="24"/>
          <w:szCs w:val="24"/>
          <w:lang w:val="ro-RO"/>
        </w:rPr>
        <w:t xml:space="preserve"> </w:t>
      </w:r>
      <w:r w:rsidRPr="00E21CB9">
        <w:rPr>
          <w:rStyle w:val="bold"/>
          <w:rFonts w:ascii="Times New Roman" w:hAnsi="Times New Roman"/>
          <w:i/>
          <w:iCs/>
          <w:noProof/>
          <w:sz w:val="24"/>
          <w:szCs w:val="24"/>
          <w:lang w:val="ro-RO"/>
        </w:rPr>
        <w:t>Melloni</w:t>
      </w:r>
      <w:r w:rsidR="00F10A47" w:rsidRPr="00E21CB9">
        <w:rPr>
          <w:rStyle w:val="bold"/>
          <w:rFonts w:ascii="Times New Roman" w:hAnsi="Times New Roman"/>
          <w:i/>
          <w:iCs/>
          <w:noProof/>
          <w:sz w:val="24"/>
          <w:szCs w:val="24"/>
          <w:lang w:val="ro-RO"/>
        </w:rPr>
        <w:t>,</w:t>
      </w:r>
      <w:r w:rsidRPr="00E21CB9">
        <w:rPr>
          <w:rStyle w:val="bold"/>
          <w:rFonts w:ascii="Times New Roman" w:hAnsi="Times New Roman"/>
          <w:noProof/>
          <w:sz w:val="24"/>
          <w:szCs w:val="24"/>
          <w:lang w:val="ro-RO"/>
        </w:rPr>
        <w:t xml:space="preserve"> CJUE stabilise că </w:t>
      </w:r>
      <w:r w:rsidR="00F37120" w:rsidRPr="00E21CB9">
        <w:rPr>
          <w:rStyle w:val="bold"/>
          <w:rFonts w:ascii="Times New Roman" w:hAnsi="Times New Roman"/>
          <w:i/>
          <w:iCs/>
          <w:noProof/>
          <w:sz w:val="24"/>
          <w:szCs w:val="24"/>
          <w:lang w:val="ro-RO"/>
        </w:rPr>
        <w:t>a</w:t>
      </w:r>
      <w:r w:rsidRPr="00E21CB9">
        <w:rPr>
          <w:rStyle w:val="bold"/>
          <w:rFonts w:ascii="Times New Roman" w:hAnsi="Times New Roman"/>
          <w:i/>
          <w:iCs/>
          <w:noProof/>
          <w:sz w:val="24"/>
          <w:szCs w:val="24"/>
          <w:lang w:val="ro-RO"/>
        </w:rPr>
        <w:t>rticolul 53 din Carta drepturilor fundamentale a Uniunii Europene trebuie interpretat în sensul că nu permite unui stat membru să condiționeze predarea unei persoane condamnate în lipsă de posibilitatea ca hotărârea de condamnare să fie supusă revizuirii în statul membru emitent, cu scopul de a evita să se aducă atingere dreptului la un proces echitabil și dreptului la apărare garantate de constituția acestuia.</w:t>
      </w:r>
      <w:r w:rsidR="00F37120" w:rsidRPr="00E21CB9">
        <w:rPr>
          <w:rStyle w:val="FootnoteReference"/>
          <w:rFonts w:ascii="Times New Roman" w:hAnsi="Times New Roman"/>
          <w:i/>
          <w:iCs/>
          <w:noProof/>
          <w:sz w:val="24"/>
          <w:szCs w:val="24"/>
          <w:lang w:val="ro-RO"/>
        </w:rPr>
        <w:footnoteReference w:id="4"/>
      </w:r>
    </w:p>
    <w:p w14:paraId="5441CD5C" w14:textId="42F865D1" w:rsidR="00C562F6" w:rsidRPr="00E21CB9" w:rsidRDefault="000F4807" w:rsidP="00F10A47">
      <w:pPr>
        <w:spacing w:after="200" w:line="276" w:lineRule="auto"/>
        <w:jc w:val="both"/>
        <w:rPr>
          <w:rFonts w:ascii="Times New Roman" w:hAnsi="Times New Roman"/>
          <w:noProof/>
          <w:sz w:val="24"/>
          <w:szCs w:val="24"/>
          <w:lang w:val="ro-RO"/>
        </w:rPr>
      </w:pPr>
      <w:r w:rsidRPr="00E21CB9">
        <w:rPr>
          <w:rFonts w:ascii="Times New Roman" w:hAnsi="Times New Roman"/>
          <w:b/>
          <w:bCs/>
          <w:noProof/>
          <w:sz w:val="24"/>
          <w:szCs w:val="24"/>
          <w:lang w:val="ro-RO"/>
        </w:rPr>
        <w:t xml:space="preserve">Polonia </w:t>
      </w:r>
      <w:r w:rsidRPr="00E21CB9">
        <w:rPr>
          <w:rFonts w:ascii="Times New Roman" w:hAnsi="Times New Roman"/>
          <w:noProof/>
          <w:sz w:val="24"/>
          <w:szCs w:val="24"/>
          <w:lang w:val="ro-RO"/>
        </w:rPr>
        <w:t>a acceptat supremația dreptului unional cu limite impuse prin jurisprudența instanțelor interne</w:t>
      </w:r>
      <w:r w:rsidR="001F37C3" w:rsidRPr="00E21CB9">
        <w:rPr>
          <w:rFonts w:ascii="Times New Roman" w:hAnsi="Times New Roman"/>
          <w:noProof/>
          <w:sz w:val="24"/>
          <w:szCs w:val="24"/>
          <w:lang w:val="ro-RO"/>
        </w:rPr>
        <w:t xml:space="preserve"> care au </w:t>
      </w:r>
      <w:r w:rsidR="00C2384E" w:rsidRPr="00E21CB9">
        <w:rPr>
          <w:rFonts w:ascii="Times New Roman" w:hAnsi="Times New Roman"/>
          <w:noProof/>
          <w:sz w:val="24"/>
          <w:szCs w:val="24"/>
          <w:lang w:val="ro-RO"/>
        </w:rPr>
        <w:t>statuat</w:t>
      </w:r>
      <w:r w:rsidR="001F37C3" w:rsidRPr="00E21CB9">
        <w:rPr>
          <w:rFonts w:ascii="Times New Roman" w:hAnsi="Times New Roman"/>
          <w:noProof/>
          <w:sz w:val="24"/>
          <w:szCs w:val="24"/>
          <w:lang w:val="ro-RO"/>
        </w:rPr>
        <w:t xml:space="preserve"> întâietatea Constituției naționale fata de dreptul UE</w:t>
      </w:r>
      <w:r w:rsidR="00C2384E" w:rsidRPr="00E21CB9">
        <w:rPr>
          <w:rFonts w:ascii="Times New Roman" w:hAnsi="Times New Roman"/>
          <w:noProof/>
          <w:sz w:val="24"/>
          <w:szCs w:val="24"/>
          <w:lang w:val="ro-RO"/>
        </w:rPr>
        <w:t>, în temeiul normelor legii fundamentale</w:t>
      </w:r>
      <w:r w:rsidR="009B3296" w:rsidRPr="00E21CB9">
        <w:rPr>
          <w:rFonts w:ascii="Times New Roman" w:hAnsi="Times New Roman"/>
          <w:noProof/>
          <w:sz w:val="24"/>
          <w:szCs w:val="24"/>
          <w:lang w:val="ro-RO"/>
        </w:rPr>
        <w:t xml:space="preserve">. </w:t>
      </w:r>
      <w:r w:rsidR="001F37C3" w:rsidRPr="00E21CB9">
        <w:rPr>
          <w:rFonts w:ascii="Times New Roman" w:hAnsi="Times New Roman"/>
          <w:noProof/>
          <w:sz w:val="24"/>
          <w:szCs w:val="24"/>
          <w:lang w:val="ro-RO"/>
        </w:rPr>
        <w:t>Tribunalul Constituțional din Polonia a susținut această linie.</w:t>
      </w:r>
    </w:p>
    <w:p w14:paraId="4E66DFD6" w14:textId="2F399133" w:rsidR="00A13B90" w:rsidRPr="00E21CB9" w:rsidRDefault="00A13B90" w:rsidP="00A13B90">
      <w:pPr>
        <w:pStyle w:val="doc-ti"/>
        <w:spacing w:line="276" w:lineRule="auto"/>
        <w:jc w:val="both"/>
        <w:rPr>
          <w:i/>
          <w:iCs/>
          <w:noProof/>
          <w:lang w:val="ro-RO"/>
        </w:rPr>
      </w:pPr>
      <w:r w:rsidRPr="00E21CB9">
        <w:rPr>
          <w:noProof/>
          <w:lang w:val="ro-RO"/>
        </w:rPr>
        <w:t xml:space="preserve">De altfel, Polonia și </w:t>
      </w:r>
      <w:r w:rsidRPr="00E21CB9">
        <w:rPr>
          <w:b/>
          <w:bCs/>
          <w:noProof/>
          <w:lang w:val="ro-RO"/>
        </w:rPr>
        <w:t>Regatul Unit</w:t>
      </w:r>
      <w:r w:rsidRPr="00E21CB9">
        <w:rPr>
          <w:noProof/>
          <w:lang w:val="ro-RO"/>
        </w:rPr>
        <w:t xml:space="preserve"> au semnat Protocolul privind aplicarea Cartei drepturilor fundamentale a Uniunii Europene în Polonia şi în Regatul Unit prin care și-au rezervat dreptul de a aplica </w:t>
      </w:r>
      <w:r w:rsidR="00BA0E6C" w:rsidRPr="00E21CB9">
        <w:rPr>
          <w:noProof/>
          <w:lang w:val="ro-RO"/>
        </w:rPr>
        <w:t xml:space="preserve">dispozițiile </w:t>
      </w:r>
      <w:r w:rsidRPr="00E21CB9">
        <w:rPr>
          <w:noProof/>
          <w:lang w:val="ro-RO"/>
        </w:rPr>
        <w:t>cart</w:t>
      </w:r>
      <w:r w:rsidR="00BA0E6C" w:rsidRPr="00E21CB9">
        <w:rPr>
          <w:noProof/>
          <w:lang w:val="ro-RO"/>
        </w:rPr>
        <w:t>ei</w:t>
      </w:r>
      <w:r w:rsidRPr="00E21CB9">
        <w:rPr>
          <w:noProof/>
          <w:lang w:val="ro-RO"/>
        </w:rPr>
        <w:t xml:space="preserve"> </w:t>
      </w:r>
      <w:r w:rsidRPr="00E21CB9">
        <w:rPr>
          <w:i/>
          <w:iCs/>
          <w:noProof/>
          <w:lang w:val="ro-RO"/>
        </w:rPr>
        <w:t xml:space="preserve">numai în măsura în care drepturile şi principiile pe care le conţine sunt recunoscute </w:t>
      </w:r>
      <w:r w:rsidRPr="00E21CB9">
        <w:rPr>
          <w:rStyle w:val="highlight"/>
          <w:i/>
          <w:iCs/>
          <w:noProof/>
          <w:lang w:val="ro-RO"/>
        </w:rPr>
        <w:t>de</w:t>
      </w:r>
      <w:r w:rsidRPr="00E21CB9">
        <w:rPr>
          <w:i/>
          <w:iCs/>
          <w:noProof/>
          <w:lang w:val="ro-RO"/>
        </w:rPr>
        <w:t xml:space="preserve"> legislațiile sau practicile interne.</w:t>
      </w:r>
    </w:p>
    <w:p w14:paraId="316C0DBB" w14:textId="7F636E29" w:rsidR="009B3296" w:rsidRPr="00E21CB9" w:rsidRDefault="001F37C3" w:rsidP="00F10A47">
      <w:pPr>
        <w:pStyle w:val="al"/>
        <w:spacing w:line="276" w:lineRule="auto"/>
        <w:jc w:val="both"/>
        <w:rPr>
          <w:rFonts w:ascii="Times New Roman" w:hAnsi="Times New Roman" w:cs="Times New Roman"/>
          <w:noProof/>
          <w:sz w:val="24"/>
          <w:szCs w:val="24"/>
          <w:lang w:val="ro-RO"/>
        </w:rPr>
      </w:pPr>
      <w:r w:rsidRPr="00E21CB9">
        <w:rPr>
          <w:rFonts w:ascii="Times New Roman" w:hAnsi="Times New Roman" w:cs="Times New Roman"/>
          <w:noProof/>
          <w:sz w:val="24"/>
          <w:szCs w:val="24"/>
          <w:lang w:val="ro-RO"/>
        </w:rPr>
        <w:t>Cur</w:t>
      </w:r>
      <w:r w:rsidR="009170B3" w:rsidRPr="00E21CB9">
        <w:rPr>
          <w:rFonts w:ascii="Times New Roman" w:hAnsi="Times New Roman" w:cs="Times New Roman"/>
          <w:noProof/>
          <w:sz w:val="24"/>
          <w:szCs w:val="24"/>
          <w:lang w:val="ro-RO"/>
        </w:rPr>
        <w:t>tea</w:t>
      </w:r>
      <w:r w:rsidRPr="00E21CB9">
        <w:rPr>
          <w:rFonts w:ascii="Times New Roman" w:hAnsi="Times New Roman" w:cs="Times New Roman"/>
          <w:noProof/>
          <w:sz w:val="24"/>
          <w:szCs w:val="24"/>
          <w:lang w:val="ro-RO"/>
        </w:rPr>
        <w:t xml:space="preserve"> Constituțional</w:t>
      </w:r>
      <w:r w:rsidR="009170B3" w:rsidRPr="00E21CB9">
        <w:rPr>
          <w:rFonts w:ascii="Times New Roman" w:hAnsi="Times New Roman" w:cs="Times New Roman"/>
          <w:noProof/>
          <w:sz w:val="24"/>
          <w:szCs w:val="24"/>
          <w:lang w:val="ro-RO"/>
        </w:rPr>
        <w:t xml:space="preserve">ă din </w:t>
      </w:r>
      <w:r w:rsidR="009170B3" w:rsidRPr="00E21CB9">
        <w:rPr>
          <w:rFonts w:ascii="Times New Roman" w:hAnsi="Times New Roman" w:cs="Times New Roman"/>
          <w:b/>
          <w:bCs/>
          <w:noProof/>
          <w:sz w:val="24"/>
          <w:szCs w:val="24"/>
          <w:lang w:val="ro-RO"/>
        </w:rPr>
        <w:t>Republica</w:t>
      </w:r>
      <w:r w:rsidRPr="00E21CB9">
        <w:rPr>
          <w:rFonts w:ascii="Times New Roman" w:hAnsi="Times New Roman" w:cs="Times New Roman"/>
          <w:b/>
          <w:bCs/>
          <w:noProof/>
          <w:sz w:val="24"/>
          <w:szCs w:val="24"/>
          <w:lang w:val="ro-RO"/>
        </w:rPr>
        <w:t xml:space="preserve"> </w:t>
      </w:r>
      <w:r w:rsidR="009170B3" w:rsidRPr="00E21CB9">
        <w:rPr>
          <w:rFonts w:ascii="Times New Roman" w:hAnsi="Times New Roman" w:cs="Times New Roman"/>
          <w:b/>
          <w:bCs/>
          <w:noProof/>
          <w:sz w:val="24"/>
          <w:szCs w:val="24"/>
          <w:lang w:val="ro-RO"/>
        </w:rPr>
        <w:t>Cehă</w:t>
      </w:r>
      <w:r w:rsidRPr="00E21CB9">
        <w:rPr>
          <w:rFonts w:ascii="Times New Roman" w:hAnsi="Times New Roman" w:cs="Times New Roman"/>
          <w:noProof/>
          <w:sz w:val="24"/>
          <w:szCs w:val="24"/>
          <w:lang w:val="ro-RO"/>
        </w:rPr>
        <w:t xml:space="preserve"> a</w:t>
      </w:r>
      <w:r w:rsidR="009170B3" w:rsidRPr="00E21CB9">
        <w:rPr>
          <w:rFonts w:ascii="Times New Roman" w:hAnsi="Times New Roman" w:cs="Times New Roman"/>
          <w:noProof/>
          <w:sz w:val="24"/>
          <w:szCs w:val="24"/>
          <w:lang w:val="ro-RO"/>
        </w:rPr>
        <w:t xml:space="preserve"> stabilit limite clare ale supremației dreptului UE, evocând necesitatea revizuirii constituției naționale în cazul în care dreptul UE nu ar putea fi interpretat în acord cu aceasta</w:t>
      </w:r>
      <w:r w:rsidR="00A24DA0" w:rsidRPr="00E21CB9">
        <w:rPr>
          <w:rFonts w:ascii="Times New Roman" w:hAnsi="Times New Roman" w:cs="Times New Roman"/>
          <w:noProof/>
          <w:sz w:val="24"/>
          <w:szCs w:val="24"/>
          <w:lang w:val="ro-RO"/>
        </w:rPr>
        <w:t>, după ce,</w:t>
      </w:r>
      <w:r w:rsidR="009B3296" w:rsidRPr="00E21CB9">
        <w:rPr>
          <w:rFonts w:ascii="Times New Roman" w:hAnsi="Times New Roman" w:cs="Times New Roman"/>
          <w:noProof/>
          <w:sz w:val="24"/>
          <w:szCs w:val="24"/>
          <w:lang w:val="ro-RO"/>
        </w:rPr>
        <w:t xml:space="preserve"> oricum,</w:t>
      </w:r>
      <w:r w:rsidR="00A24DA0" w:rsidRPr="00E21CB9">
        <w:rPr>
          <w:rFonts w:ascii="Times New Roman" w:hAnsi="Times New Roman" w:cs="Times New Roman"/>
          <w:noProof/>
          <w:sz w:val="24"/>
          <w:szCs w:val="24"/>
          <w:lang w:val="ro-RO"/>
        </w:rPr>
        <w:t xml:space="preserve"> anterior ratificării Tratatului de la Lisabona</w:t>
      </w:r>
      <w:r w:rsidR="00A13B90" w:rsidRPr="00E21CB9">
        <w:rPr>
          <w:rFonts w:ascii="Times New Roman" w:hAnsi="Times New Roman" w:cs="Times New Roman"/>
          <w:noProof/>
          <w:sz w:val="24"/>
          <w:szCs w:val="24"/>
          <w:lang w:val="ro-RO"/>
        </w:rPr>
        <w:t xml:space="preserve"> o astfel de revizuire avusese loc</w:t>
      </w:r>
      <w:r w:rsidR="001E52F3" w:rsidRPr="00E21CB9">
        <w:rPr>
          <w:rFonts w:ascii="Times New Roman" w:hAnsi="Times New Roman" w:cs="Times New Roman"/>
          <w:noProof/>
          <w:sz w:val="24"/>
          <w:szCs w:val="24"/>
          <w:lang w:val="ro-RO"/>
        </w:rPr>
        <w:t xml:space="preserve"> </w:t>
      </w:r>
      <w:r w:rsidR="00A13B90" w:rsidRPr="00E21CB9">
        <w:rPr>
          <w:rFonts w:ascii="Times New Roman" w:hAnsi="Times New Roman" w:cs="Times New Roman"/>
          <w:noProof/>
          <w:sz w:val="24"/>
          <w:szCs w:val="24"/>
          <w:lang w:val="ro-RO"/>
        </w:rPr>
        <w:t>în urma unui control de constituționalitate</w:t>
      </w:r>
      <w:r w:rsidR="009B3296" w:rsidRPr="00E21CB9">
        <w:rPr>
          <w:rFonts w:ascii="Times New Roman" w:hAnsi="Times New Roman" w:cs="Times New Roman"/>
          <w:noProof/>
          <w:sz w:val="24"/>
          <w:szCs w:val="24"/>
          <w:lang w:val="ro-RO"/>
        </w:rPr>
        <w:t>.</w:t>
      </w:r>
    </w:p>
    <w:p w14:paraId="5008177B" w14:textId="2803A541" w:rsidR="00294218" w:rsidRPr="00E21CB9" w:rsidRDefault="00294218" w:rsidP="00F10A47">
      <w:pPr>
        <w:pStyle w:val="al"/>
        <w:spacing w:line="276" w:lineRule="auto"/>
        <w:jc w:val="both"/>
        <w:rPr>
          <w:rFonts w:ascii="Times New Roman" w:hAnsi="Times New Roman" w:cs="Times New Roman"/>
          <w:noProof/>
          <w:sz w:val="24"/>
          <w:szCs w:val="24"/>
          <w:lang w:val="ro-RO"/>
        </w:rPr>
      </w:pPr>
      <w:r w:rsidRPr="00E21CB9">
        <w:rPr>
          <w:rFonts w:ascii="Times New Roman" w:hAnsi="Times New Roman" w:cs="Times New Roman"/>
          <w:noProof/>
          <w:sz w:val="24"/>
          <w:szCs w:val="24"/>
          <w:lang w:val="ro-RO"/>
        </w:rPr>
        <w:lastRenderedPageBreak/>
        <w:t>Literatura de specialitate</w:t>
      </w:r>
      <w:r w:rsidRPr="00E21CB9">
        <w:rPr>
          <w:rStyle w:val="FootnoteReference"/>
          <w:rFonts w:ascii="Times New Roman" w:hAnsi="Times New Roman" w:cs="Times New Roman"/>
          <w:noProof/>
          <w:sz w:val="24"/>
          <w:szCs w:val="24"/>
          <w:lang w:val="ro-RO"/>
        </w:rPr>
        <w:footnoteReference w:id="5"/>
      </w:r>
      <w:r w:rsidRPr="00E21CB9">
        <w:rPr>
          <w:rFonts w:ascii="Times New Roman" w:hAnsi="Times New Roman" w:cs="Times New Roman"/>
          <w:noProof/>
          <w:sz w:val="24"/>
          <w:szCs w:val="24"/>
          <w:lang w:val="ro-RO"/>
        </w:rPr>
        <w:t xml:space="preserve"> concluzionează că, exceptâ</w:t>
      </w:r>
      <w:r w:rsidR="00A30B21" w:rsidRPr="00E21CB9">
        <w:rPr>
          <w:rFonts w:ascii="Times New Roman" w:hAnsi="Times New Roman" w:cs="Times New Roman"/>
          <w:noProof/>
          <w:sz w:val="24"/>
          <w:szCs w:val="24"/>
          <w:lang w:val="ro-RO"/>
        </w:rPr>
        <w:t>n</w:t>
      </w:r>
      <w:r w:rsidRPr="00E21CB9">
        <w:rPr>
          <w:rFonts w:ascii="Times New Roman" w:hAnsi="Times New Roman" w:cs="Times New Roman"/>
          <w:noProof/>
          <w:sz w:val="24"/>
          <w:szCs w:val="24"/>
          <w:lang w:val="ro-RO"/>
        </w:rPr>
        <w:t xml:space="preserve">d Țările de Jos, majoritatea instanțelor statelor membre localizează autoritatea dreptului UE în ordinea juridică internă </w:t>
      </w:r>
      <w:r w:rsidRPr="00E21CB9">
        <w:rPr>
          <w:rFonts w:ascii="Times New Roman" w:hAnsi="Times New Roman" w:cs="Times New Roman"/>
          <w:i/>
          <w:iCs/>
          <w:noProof/>
          <w:sz w:val="24"/>
          <w:szCs w:val="24"/>
          <w:lang w:val="ro-RO"/>
        </w:rPr>
        <w:t xml:space="preserve">în cadrul constituției naționale, </w:t>
      </w:r>
      <w:r w:rsidRPr="00E21CB9">
        <w:rPr>
          <w:rFonts w:ascii="Times New Roman" w:hAnsi="Times New Roman" w:cs="Times New Roman"/>
          <w:noProof/>
          <w:sz w:val="24"/>
          <w:szCs w:val="24"/>
          <w:lang w:val="ro-RO"/>
        </w:rPr>
        <w:t>numeroase instanțe interne superioare afirmându-și rolul decisiv în protecția drepturilor fundamentale și asigurarea respectării granițelor competenței UE.</w:t>
      </w:r>
    </w:p>
    <w:p w14:paraId="0B4C69A4" w14:textId="77777777" w:rsidR="00C44D3C" w:rsidRPr="00E21CB9" w:rsidRDefault="00C44D3C" w:rsidP="00C44D3C">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Nici doctrina națională nu a rămas pasivă în legătură cu evoluțiile subiectului analizat.</w:t>
      </w:r>
    </w:p>
    <w:p w14:paraId="3B59227A" w14:textId="4F15DDAE" w:rsidR="00C44D3C" w:rsidRPr="00E21CB9" w:rsidRDefault="00C44D3C" w:rsidP="00C44D3C">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 xml:space="preserve">În articolul </w:t>
      </w:r>
      <w:r w:rsidRPr="00E21CB9">
        <w:rPr>
          <w:rFonts w:ascii="Times New Roman" w:hAnsi="Times New Roman"/>
          <w:i/>
          <w:iCs/>
          <w:noProof/>
          <w:sz w:val="24"/>
          <w:szCs w:val="24"/>
          <w:lang w:val="ro-RO"/>
        </w:rPr>
        <w:t>Justiţia constituţională europeană. Prea mult drept constituţional în Uniunea Europeană?</w:t>
      </w:r>
      <w:r w:rsidRPr="00E21CB9">
        <w:rPr>
          <w:rStyle w:val="FootnoteReference"/>
          <w:rFonts w:ascii="Times New Roman" w:hAnsi="Times New Roman"/>
          <w:i/>
          <w:iCs/>
          <w:noProof/>
          <w:sz w:val="24"/>
          <w:szCs w:val="24"/>
          <w:lang w:val="ro-RO"/>
        </w:rPr>
        <w:footnoteReference w:id="6"/>
      </w:r>
      <w:r w:rsidRPr="00E21CB9">
        <w:rPr>
          <w:rFonts w:ascii="Times New Roman" w:hAnsi="Times New Roman"/>
          <w:noProof/>
          <w:sz w:val="24"/>
          <w:szCs w:val="24"/>
          <w:lang w:val="ro-RO"/>
        </w:rPr>
        <w:t xml:space="preserve">, autoarea a realizat o comparație între dispozițiile constituțiilor din diverse state membre  concluzionând că există </w:t>
      </w:r>
      <w:r w:rsidRPr="00E21CB9">
        <w:rPr>
          <w:rFonts w:ascii="Times New Roman" w:hAnsi="Times New Roman"/>
          <w:i/>
          <w:iCs/>
          <w:noProof/>
          <w:sz w:val="24"/>
          <w:szCs w:val="24"/>
          <w:lang w:val="ro-RO"/>
        </w:rPr>
        <w:t>o reglementare eterogenă a raporturilor cu UE în constituțiile statelor membre, unele stabilind prin norme exprese cedarea de suveranitate realizată prin aderarea la UE și recunoscând supremația dreptului UE, altele referindu-se la prioritatea reglementărilor sau anumitor reglementări UE în raport cu normele interne, unele ”integrând” în mod firesc raporturile instituționale cu UE în sfera raporturilor instituțiilor de rang constituțional, fără o tratare în capitole separate, altele tratându-le separat, prin norme exprese, sau pur și simplu nefăcând distincție în cadrul între UE și alte structuri internaționale. Prin lipsa de claritate unele constituții par a fi mai ”predispune” mai mult ca altele la conflicte între ordinea juridică națională și cea a UE, coerența acestei ordini fiind ”lăsată”, în practică, în sarcina instanțelor chemate să interpreteze și să aplice cadrul constituțional național, pe de o parte, și cadrul constituțional al UE, pe de altă parte. De aici rezultă și importanța dialogului curților constituționale cu CJUE pentru realizarea coerenței spațiului juridic european. Astfel cum deopotrivă trecutul și prezentul ne demonstrează, acest dialog este marcat de turbulențe, și, așa cum vom arăta în final, lipsit adesea de consistență, nefiind apt să realizeze, în sine, dezideratul menționat.</w:t>
      </w:r>
    </w:p>
    <w:p w14:paraId="0811DC9B" w14:textId="2D2E7AC5" w:rsidR="009170B3" w:rsidRPr="00E21CB9" w:rsidRDefault="000D3366" w:rsidP="00F10A47">
      <w:pPr>
        <w:spacing w:after="200" w:line="276" w:lineRule="auto"/>
        <w:jc w:val="both"/>
        <w:rPr>
          <w:rFonts w:ascii="Times New Roman" w:hAnsi="Times New Roman"/>
          <w:b/>
          <w:bCs/>
          <w:noProof/>
          <w:sz w:val="24"/>
          <w:szCs w:val="24"/>
          <w:lang w:val="ro-RO"/>
        </w:rPr>
      </w:pPr>
      <w:r w:rsidRPr="00E21CB9">
        <w:rPr>
          <w:rFonts w:ascii="Times New Roman" w:hAnsi="Times New Roman"/>
          <w:b/>
          <w:bCs/>
          <w:noProof/>
          <w:sz w:val="24"/>
          <w:szCs w:val="24"/>
          <w:lang w:val="ro-RO"/>
        </w:rPr>
        <w:t>Momentul actual</w:t>
      </w:r>
    </w:p>
    <w:p w14:paraId="58701C3C" w14:textId="3B990C1B" w:rsidR="009B45CD" w:rsidRPr="00E21CB9" w:rsidRDefault="009B45CD"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Recent, Curtea de Apel Brașov</w:t>
      </w:r>
      <w:r w:rsidR="005F20C2" w:rsidRPr="00E21CB9">
        <w:rPr>
          <w:rFonts w:ascii="Times New Roman" w:hAnsi="Times New Roman"/>
          <w:noProof/>
          <w:sz w:val="24"/>
          <w:szCs w:val="24"/>
          <w:lang w:val="ro-RO"/>
        </w:rPr>
        <w:t xml:space="preserve"> și alte instanțe din România</w:t>
      </w:r>
      <w:r w:rsidRPr="00E21CB9">
        <w:rPr>
          <w:rFonts w:ascii="Times New Roman" w:hAnsi="Times New Roman"/>
          <w:noProof/>
          <w:sz w:val="24"/>
          <w:szCs w:val="24"/>
          <w:lang w:val="ro-RO"/>
        </w:rPr>
        <w:t xml:space="preserve"> a</w:t>
      </w:r>
      <w:r w:rsidR="005F20C2" w:rsidRPr="00E21CB9">
        <w:rPr>
          <w:rFonts w:ascii="Times New Roman" w:hAnsi="Times New Roman"/>
          <w:noProof/>
          <w:sz w:val="24"/>
          <w:szCs w:val="24"/>
          <w:lang w:val="ro-RO"/>
        </w:rPr>
        <w:t>u</w:t>
      </w:r>
      <w:r w:rsidRPr="00E21CB9">
        <w:rPr>
          <w:rFonts w:ascii="Times New Roman" w:hAnsi="Times New Roman"/>
          <w:noProof/>
          <w:sz w:val="24"/>
          <w:szCs w:val="24"/>
          <w:lang w:val="ro-RO"/>
        </w:rPr>
        <w:t xml:space="preserve"> formulat trimiter</w:t>
      </w:r>
      <w:r w:rsidR="005F20C2" w:rsidRPr="00E21CB9">
        <w:rPr>
          <w:rFonts w:ascii="Times New Roman" w:hAnsi="Times New Roman"/>
          <w:noProof/>
          <w:sz w:val="24"/>
          <w:szCs w:val="24"/>
          <w:lang w:val="ro-RO"/>
        </w:rPr>
        <w:t>i</w:t>
      </w:r>
      <w:r w:rsidRPr="00E21CB9">
        <w:rPr>
          <w:rFonts w:ascii="Times New Roman" w:hAnsi="Times New Roman"/>
          <w:noProof/>
          <w:sz w:val="24"/>
          <w:szCs w:val="24"/>
          <w:lang w:val="ro-RO"/>
        </w:rPr>
        <w:t xml:space="preserve"> preliminar</w:t>
      </w:r>
      <w:r w:rsidR="005F20C2" w:rsidRPr="00E21CB9">
        <w:rPr>
          <w:rFonts w:ascii="Times New Roman" w:hAnsi="Times New Roman"/>
          <w:noProof/>
          <w:sz w:val="24"/>
          <w:szCs w:val="24"/>
          <w:lang w:val="ro-RO"/>
        </w:rPr>
        <w:t>e</w:t>
      </w:r>
      <w:r w:rsidRPr="00E21CB9">
        <w:rPr>
          <w:rFonts w:ascii="Times New Roman" w:hAnsi="Times New Roman"/>
          <w:noProof/>
          <w:sz w:val="24"/>
          <w:szCs w:val="24"/>
          <w:lang w:val="ro-RO"/>
        </w:rPr>
        <w:t xml:space="preserve"> Curții de Justiție pentru ca instanța Uniunii să </w:t>
      </w:r>
      <w:r w:rsidR="000D3366" w:rsidRPr="00E21CB9">
        <w:rPr>
          <w:rFonts w:ascii="Times New Roman" w:hAnsi="Times New Roman"/>
          <w:i/>
          <w:iCs/>
          <w:noProof/>
          <w:sz w:val="24"/>
          <w:szCs w:val="24"/>
          <w:lang w:val="ro-RO"/>
        </w:rPr>
        <w:t>impună</w:t>
      </w:r>
      <w:r w:rsidRPr="00E21CB9">
        <w:rPr>
          <w:rFonts w:ascii="Times New Roman" w:hAnsi="Times New Roman"/>
          <w:i/>
          <w:iCs/>
          <w:noProof/>
          <w:sz w:val="24"/>
          <w:szCs w:val="24"/>
          <w:lang w:val="ro-RO"/>
        </w:rPr>
        <w:t xml:space="preserve"> </w:t>
      </w:r>
      <w:r w:rsidRPr="00E21CB9">
        <w:rPr>
          <w:rFonts w:ascii="Times New Roman" w:hAnsi="Times New Roman"/>
          <w:noProof/>
          <w:sz w:val="24"/>
          <w:szCs w:val="24"/>
          <w:lang w:val="ro-RO"/>
        </w:rPr>
        <w:t xml:space="preserve">lăsarea ca neaplicate a unor decizii ale </w:t>
      </w:r>
      <w:r w:rsidR="00A30B21" w:rsidRPr="00E21CB9">
        <w:rPr>
          <w:rFonts w:ascii="Times New Roman" w:hAnsi="Times New Roman"/>
          <w:noProof/>
          <w:sz w:val="24"/>
          <w:szCs w:val="24"/>
          <w:lang w:val="ro-RO"/>
        </w:rPr>
        <w:t>CCR</w:t>
      </w:r>
      <w:r w:rsidRPr="00E21CB9">
        <w:rPr>
          <w:rFonts w:ascii="Times New Roman" w:hAnsi="Times New Roman"/>
          <w:noProof/>
          <w:sz w:val="24"/>
          <w:szCs w:val="24"/>
          <w:lang w:val="ro-RO"/>
        </w:rPr>
        <w:t xml:space="preserve"> și </w:t>
      </w:r>
      <w:r w:rsidR="00A30B21" w:rsidRPr="00E21CB9">
        <w:rPr>
          <w:rFonts w:ascii="Times New Roman" w:hAnsi="Times New Roman"/>
          <w:noProof/>
          <w:sz w:val="24"/>
          <w:szCs w:val="24"/>
          <w:lang w:val="ro-RO"/>
        </w:rPr>
        <w:t>ÎCCJ</w:t>
      </w:r>
      <w:r w:rsidRPr="00E21CB9">
        <w:rPr>
          <w:rFonts w:ascii="Times New Roman" w:hAnsi="Times New Roman"/>
          <w:noProof/>
          <w:sz w:val="24"/>
          <w:szCs w:val="24"/>
          <w:lang w:val="ro-RO"/>
        </w:rPr>
        <w:t xml:space="preserve"> în materia prescripției răspunderii penale.</w:t>
      </w:r>
    </w:p>
    <w:p w14:paraId="0C954A7A" w14:textId="39EE47E6" w:rsidR="009B45CD" w:rsidRPr="00E21CB9" w:rsidRDefault="008A26BB"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 xml:space="preserve">În </w:t>
      </w:r>
      <w:r w:rsidR="00A30B21" w:rsidRPr="00E21CB9">
        <w:rPr>
          <w:rFonts w:ascii="Times New Roman" w:hAnsi="Times New Roman"/>
          <w:noProof/>
          <w:sz w:val="24"/>
          <w:szCs w:val="24"/>
          <w:lang w:val="ro-RO"/>
        </w:rPr>
        <w:t xml:space="preserve">anul </w:t>
      </w:r>
      <w:r w:rsidRPr="00E21CB9">
        <w:rPr>
          <w:rFonts w:ascii="Times New Roman" w:hAnsi="Times New Roman"/>
          <w:noProof/>
          <w:sz w:val="24"/>
          <w:szCs w:val="24"/>
          <w:lang w:val="ro-RO"/>
        </w:rPr>
        <w:t xml:space="preserve">2018, </w:t>
      </w:r>
      <w:r w:rsidR="00A30B21" w:rsidRPr="00E21CB9">
        <w:rPr>
          <w:rFonts w:ascii="Times New Roman" w:hAnsi="Times New Roman"/>
          <w:noProof/>
          <w:sz w:val="24"/>
          <w:szCs w:val="24"/>
          <w:lang w:val="ro-RO"/>
        </w:rPr>
        <w:t>CCR</w:t>
      </w:r>
      <w:r w:rsidRPr="00E21CB9">
        <w:rPr>
          <w:rFonts w:ascii="Times New Roman" w:hAnsi="Times New Roman"/>
          <w:noProof/>
          <w:sz w:val="24"/>
          <w:szCs w:val="24"/>
          <w:lang w:val="ro-RO"/>
        </w:rPr>
        <w:t xml:space="preserve"> a declarat contrară Constituției o normă de drept penal care prelungea termenele de prescripție până la o durată egală cu dublul acestora, constatând că norma respectivă era lipsită de claritate și previzibilitate. </w:t>
      </w:r>
      <w:r w:rsidR="0038241B" w:rsidRPr="00E21CB9">
        <w:rPr>
          <w:rFonts w:ascii="Times New Roman" w:hAnsi="Times New Roman"/>
          <w:noProof/>
          <w:sz w:val="24"/>
          <w:szCs w:val="24"/>
          <w:lang w:val="ro-RO"/>
        </w:rPr>
        <w:t>Î</w:t>
      </w:r>
      <w:r w:rsidRPr="00E21CB9">
        <w:rPr>
          <w:rFonts w:ascii="Times New Roman" w:hAnsi="Times New Roman"/>
          <w:noProof/>
          <w:sz w:val="24"/>
          <w:szCs w:val="24"/>
          <w:lang w:val="ro-RO"/>
        </w:rPr>
        <w:t>n lipsa intervenției legiuitorului național, instanțele au prelungit în continuare termenele de prescripție</w:t>
      </w:r>
      <w:r w:rsidR="00A30B21" w:rsidRPr="00E21CB9">
        <w:rPr>
          <w:rFonts w:ascii="Times New Roman" w:hAnsi="Times New Roman"/>
          <w:noProof/>
          <w:sz w:val="24"/>
          <w:szCs w:val="24"/>
          <w:lang w:val="ro-RO"/>
        </w:rPr>
        <w:t>,</w:t>
      </w:r>
      <w:r w:rsidRPr="00E21CB9">
        <w:rPr>
          <w:rFonts w:ascii="Times New Roman" w:hAnsi="Times New Roman"/>
          <w:noProof/>
          <w:sz w:val="24"/>
          <w:szCs w:val="24"/>
          <w:lang w:val="ro-RO"/>
        </w:rPr>
        <w:t xml:space="preserve"> </w:t>
      </w:r>
      <w:r w:rsidR="0038241B" w:rsidRPr="00E21CB9">
        <w:rPr>
          <w:rFonts w:ascii="Times New Roman" w:hAnsi="Times New Roman"/>
          <w:noProof/>
          <w:sz w:val="24"/>
          <w:szCs w:val="24"/>
          <w:lang w:val="ro-RO"/>
        </w:rPr>
        <w:t xml:space="preserve">apreciind că textul ar avea un conținut similar celui din </w:t>
      </w:r>
      <w:r w:rsidR="00A30B21" w:rsidRPr="00E21CB9">
        <w:rPr>
          <w:rFonts w:ascii="Times New Roman" w:hAnsi="Times New Roman"/>
          <w:noProof/>
          <w:sz w:val="24"/>
          <w:szCs w:val="24"/>
          <w:lang w:val="ro-RO"/>
        </w:rPr>
        <w:t>C</w:t>
      </w:r>
      <w:r w:rsidR="0038241B" w:rsidRPr="00E21CB9">
        <w:rPr>
          <w:rFonts w:ascii="Times New Roman" w:hAnsi="Times New Roman"/>
          <w:noProof/>
          <w:sz w:val="24"/>
          <w:szCs w:val="24"/>
          <w:lang w:val="ro-RO"/>
        </w:rPr>
        <w:t xml:space="preserve">odul penal anterior, </w:t>
      </w:r>
      <w:r w:rsidRPr="00E21CB9">
        <w:rPr>
          <w:rFonts w:ascii="Times New Roman" w:hAnsi="Times New Roman"/>
          <w:noProof/>
          <w:sz w:val="24"/>
          <w:szCs w:val="24"/>
          <w:lang w:val="ro-RO"/>
        </w:rPr>
        <w:t xml:space="preserve">până </w:t>
      </w:r>
      <w:r w:rsidR="0038241B" w:rsidRPr="00E21CB9">
        <w:rPr>
          <w:rFonts w:ascii="Times New Roman" w:hAnsi="Times New Roman"/>
          <w:noProof/>
          <w:sz w:val="24"/>
          <w:szCs w:val="24"/>
          <w:lang w:val="ro-RO"/>
        </w:rPr>
        <w:t>î</w:t>
      </w:r>
      <w:r w:rsidRPr="00E21CB9">
        <w:rPr>
          <w:rFonts w:ascii="Times New Roman" w:hAnsi="Times New Roman"/>
          <w:noProof/>
          <w:sz w:val="24"/>
          <w:szCs w:val="24"/>
          <w:lang w:val="ro-RO"/>
        </w:rPr>
        <w:t xml:space="preserve">n anul 2022, când </w:t>
      </w:r>
      <w:r w:rsidR="00A30B21" w:rsidRPr="00E21CB9">
        <w:rPr>
          <w:rFonts w:ascii="Times New Roman" w:hAnsi="Times New Roman"/>
          <w:noProof/>
          <w:sz w:val="24"/>
          <w:szCs w:val="24"/>
          <w:lang w:val="ro-RO"/>
        </w:rPr>
        <w:t>CCR</w:t>
      </w:r>
      <w:r w:rsidRPr="00E21CB9">
        <w:rPr>
          <w:rFonts w:ascii="Times New Roman" w:hAnsi="Times New Roman"/>
          <w:noProof/>
          <w:sz w:val="24"/>
          <w:szCs w:val="24"/>
          <w:lang w:val="ro-RO"/>
        </w:rPr>
        <w:t xml:space="preserve"> s-a pronunțat din nou, stabilind că</w:t>
      </w:r>
      <w:r w:rsidR="00A30B21" w:rsidRPr="00E21CB9">
        <w:rPr>
          <w:rFonts w:ascii="Times New Roman" w:hAnsi="Times New Roman"/>
          <w:noProof/>
          <w:sz w:val="24"/>
          <w:szCs w:val="24"/>
          <w:lang w:val="ro-RO"/>
        </w:rPr>
        <w:t>,</w:t>
      </w:r>
      <w:r w:rsidRPr="00E21CB9">
        <w:rPr>
          <w:rFonts w:ascii="Times New Roman" w:hAnsi="Times New Roman"/>
          <w:noProof/>
          <w:sz w:val="24"/>
          <w:szCs w:val="24"/>
          <w:lang w:val="ro-RO"/>
        </w:rPr>
        <w:t xml:space="preserve"> ulterior deciziei sale din 2018</w:t>
      </w:r>
      <w:r w:rsidR="00A30B21" w:rsidRPr="00E21CB9">
        <w:rPr>
          <w:rFonts w:ascii="Times New Roman" w:hAnsi="Times New Roman"/>
          <w:noProof/>
          <w:sz w:val="24"/>
          <w:szCs w:val="24"/>
          <w:lang w:val="ro-RO"/>
        </w:rPr>
        <w:t>,</w:t>
      </w:r>
      <w:r w:rsidRPr="00E21CB9">
        <w:rPr>
          <w:rFonts w:ascii="Times New Roman" w:hAnsi="Times New Roman"/>
          <w:noProof/>
          <w:sz w:val="24"/>
          <w:szCs w:val="24"/>
          <w:lang w:val="ro-RO"/>
        </w:rPr>
        <w:t xml:space="preserve"> nu a existat nicio dispoziție legală care să poată constitui temei al prelungirii termenelor de </w:t>
      </w:r>
      <w:r w:rsidRPr="00E21CB9">
        <w:rPr>
          <w:rFonts w:ascii="Times New Roman" w:hAnsi="Times New Roman"/>
          <w:noProof/>
          <w:sz w:val="24"/>
          <w:szCs w:val="24"/>
          <w:lang w:val="ro-RO"/>
        </w:rPr>
        <w:lastRenderedPageBreak/>
        <w:t>prescripție</w:t>
      </w:r>
      <w:r w:rsidR="0038241B" w:rsidRPr="00E21CB9">
        <w:rPr>
          <w:rFonts w:ascii="Times New Roman" w:hAnsi="Times New Roman"/>
          <w:noProof/>
          <w:sz w:val="24"/>
          <w:szCs w:val="24"/>
          <w:lang w:val="ro-RO"/>
        </w:rPr>
        <w:t>, iar instanțele naționale au depășit atribuțiile puterii judecătorești</w:t>
      </w:r>
      <w:r w:rsidR="00A30B21" w:rsidRPr="00E21CB9">
        <w:rPr>
          <w:rFonts w:ascii="Times New Roman" w:hAnsi="Times New Roman"/>
          <w:noProof/>
          <w:sz w:val="24"/>
          <w:szCs w:val="24"/>
          <w:lang w:val="ro-RO"/>
        </w:rPr>
        <w:t>,</w:t>
      </w:r>
      <w:r w:rsidR="0038241B" w:rsidRPr="00E21CB9">
        <w:rPr>
          <w:rFonts w:ascii="Times New Roman" w:hAnsi="Times New Roman"/>
          <w:noProof/>
          <w:sz w:val="24"/>
          <w:szCs w:val="24"/>
          <w:lang w:val="ro-RO"/>
        </w:rPr>
        <w:t xml:space="preserve"> </w:t>
      </w:r>
      <w:r w:rsidR="00B44085" w:rsidRPr="00E21CB9">
        <w:rPr>
          <w:rFonts w:ascii="Times New Roman" w:hAnsi="Times New Roman"/>
          <w:noProof/>
          <w:sz w:val="24"/>
          <w:szCs w:val="24"/>
          <w:lang w:val="ro-RO"/>
        </w:rPr>
        <w:t>adăugând nepermis</w:t>
      </w:r>
      <w:r w:rsidR="0038241B" w:rsidRPr="00E21CB9">
        <w:rPr>
          <w:rFonts w:ascii="Times New Roman" w:hAnsi="Times New Roman"/>
          <w:noProof/>
          <w:sz w:val="24"/>
          <w:szCs w:val="24"/>
          <w:lang w:val="ro-RO"/>
        </w:rPr>
        <w:t xml:space="preserve"> la lege</w:t>
      </w:r>
      <w:r w:rsidRPr="00E21CB9">
        <w:rPr>
          <w:rFonts w:ascii="Times New Roman" w:hAnsi="Times New Roman"/>
          <w:noProof/>
          <w:sz w:val="24"/>
          <w:szCs w:val="24"/>
          <w:lang w:val="ro-RO"/>
        </w:rPr>
        <w:t>.</w:t>
      </w:r>
    </w:p>
    <w:p w14:paraId="33C6AFE7" w14:textId="26654704" w:rsidR="008A26BB" w:rsidRPr="00E21CB9" w:rsidRDefault="008A26BB"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La rândul său, Înalta Curte a statuat</w:t>
      </w:r>
      <w:r w:rsidR="00833AEB" w:rsidRPr="00E21CB9">
        <w:rPr>
          <w:rStyle w:val="FootnoteReference"/>
          <w:rFonts w:ascii="Times New Roman" w:hAnsi="Times New Roman"/>
          <w:noProof/>
          <w:sz w:val="24"/>
          <w:szCs w:val="24"/>
          <w:lang w:val="ro-RO"/>
        </w:rPr>
        <w:footnoteReference w:id="7"/>
      </w:r>
      <w:r w:rsidRPr="00E21CB9">
        <w:rPr>
          <w:rFonts w:ascii="Times New Roman" w:hAnsi="Times New Roman"/>
          <w:noProof/>
          <w:sz w:val="24"/>
          <w:szCs w:val="24"/>
          <w:lang w:val="ro-RO"/>
        </w:rPr>
        <w:t xml:space="preserve">, consecutiv acestei ultime decizii, că în ipoteza dată, adică </w:t>
      </w:r>
      <w:r w:rsidR="00833363" w:rsidRPr="00E21CB9">
        <w:rPr>
          <w:rFonts w:ascii="Times New Roman" w:hAnsi="Times New Roman"/>
          <w:noProof/>
          <w:sz w:val="24"/>
          <w:szCs w:val="24"/>
          <w:lang w:val="ro-RO"/>
        </w:rPr>
        <w:t xml:space="preserve">a </w:t>
      </w:r>
      <w:r w:rsidRPr="00E21CB9">
        <w:rPr>
          <w:rFonts w:ascii="Times New Roman" w:hAnsi="Times New Roman"/>
          <w:noProof/>
          <w:sz w:val="24"/>
          <w:szCs w:val="24"/>
          <w:lang w:val="ro-RO"/>
        </w:rPr>
        <w:t>lips</w:t>
      </w:r>
      <w:r w:rsidR="00833363" w:rsidRPr="00E21CB9">
        <w:rPr>
          <w:rFonts w:ascii="Times New Roman" w:hAnsi="Times New Roman"/>
          <w:noProof/>
          <w:sz w:val="24"/>
          <w:szCs w:val="24"/>
          <w:lang w:val="ro-RO"/>
        </w:rPr>
        <w:t>ei</w:t>
      </w:r>
      <w:r w:rsidRPr="00E21CB9">
        <w:rPr>
          <w:rFonts w:ascii="Times New Roman" w:hAnsi="Times New Roman"/>
          <w:noProof/>
          <w:sz w:val="24"/>
          <w:szCs w:val="24"/>
          <w:lang w:val="ro-RO"/>
        </w:rPr>
        <w:t xml:space="preserve"> din dreptul pozitiv a unei reglementări care să permită prelungirea termenelor de prescripție, constituie lege penală mai b</w:t>
      </w:r>
      <w:r w:rsidR="00833363" w:rsidRPr="00E21CB9">
        <w:rPr>
          <w:rFonts w:ascii="Times New Roman" w:hAnsi="Times New Roman"/>
          <w:noProof/>
          <w:sz w:val="24"/>
          <w:szCs w:val="24"/>
          <w:lang w:val="ro-RO"/>
        </w:rPr>
        <w:t>lândă aplicabilă retroactiv legea care prevede termenele generale de prescripție</w:t>
      </w:r>
      <w:r w:rsidR="00B44085" w:rsidRPr="00E21CB9">
        <w:rPr>
          <w:rFonts w:ascii="Times New Roman" w:hAnsi="Times New Roman"/>
          <w:noProof/>
          <w:sz w:val="24"/>
          <w:szCs w:val="24"/>
          <w:lang w:val="ro-RO"/>
        </w:rPr>
        <w:t>, neprelungite.</w:t>
      </w:r>
    </w:p>
    <w:p w14:paraId="1516FF5C" w14:textId="0E35E32C" w:rsidR="00833363" w:rsidRPr="00E21CB9" w:rsidRDefault="00833363"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 xml:space="preserve">Totodată, instanța supremă a stabilit că </w:t>
      </w:r>
      <w:r w:rsidRPr="00E21CB9">
        <w:rPr>
          <w:rFonts w:ascii="Times New Roman" w:hAnsi="Times New Roman"/>
          <w:i/>
          <w:iCs/>
          <w:noProof/>
          <w:sz w:val="24"/>
          <w:szCs w:val="24"/>
          <w:lang w:val="ro-RO"/>
        </w:rPr>
        <w:t>mitior lex</w:t>
      </w:r>
      <w:r w:rsidRPr="00E21CB9">
        <w:rPr>
          <w:rFonts w:ascii="Times New Roman" w:hAnsi="Times New Roman"/>
          <w:noProof/>
          <w:sz w:val="24"/>
          <w:szCs w:val="24"/>
          <w:lang w:val="ro-RO"/>
        </w:rPr>
        <w:t xml:space="preserve"> se aplică în cauzele </w:t>
      </w:r>
      <w:r w:rsidRPr="00E21CB9">
        <w:rPr>
          <w:rFonts w:ascii="Times New Roman" w:hAnsi="Times New Roman"/>
          <w:i/>
          <w:iCs/>
          <w:noProof/>
          <w:sz w:val="24"/>
          <w:szCs w:val="24"/>
          <w:lang w:val="ro-RO"/>
        </w:rPr>
        <w:t>pendinte</w:t>
      </w:r>
      <w:r w:rsidRPr="00E21CB9">
        <w:rPr>
          <w:rFonts w:ascii="Times New Roman" w:hAnsi="Times New Roman"/>
          <w:noProof/>
          <w:sz w:val="24"/>
          <w:szCs w:val="24"/>
          <w:lang w:val="ro-RO"/>
        </w:rPr>
        <w:t xml:space="preserve">, iar în cauzele soluționate definitiv </w:t>
      </w:r>
      <w:r w:rsidR="00A30B21" w:rsidRPr="00E21CB9">
        <w:rPr>
          <w:rFonts w:ascii="Times New Roman" w:hAnsi="Times New Roman"/>
          <w:noProof/>
          <w:sz w:val="24"/>
          <w:szCs w:val="24"/>
          <w:lang w:val="ro-RO"/>
        </w:rPr>
        <w:t xml:space="preserve">- </w:t>
      </w:r>
      <w:r w:rsidRPr="00E21CB9">
        <w:rPr>
          <w:rFonts w:ascii="Times New Roman" w:hAnsi="Times New Roman"/>
          <w:noProof/>
          <w:sz w:val="24"/>
          <w:szCs w:val="24"/>
          <w:lang w:val="ro-RO"/>
        </w:rPr>
        <w:t>doar în măsura în care prescripția nu a fost analizată de către instanța de ultim grad în căile ordinare de atac</w:t>
      </w:r>
      <w:r w:rsidR="00833AEB" w:rsidRPr="00E21CB9">
        <w:rPr>
          <w:rFonts w:ascii="Times New Roman" w:hAnsi="Times New Roman"/>
          <w:noProof/>
          <w:sz w:val="24"/>
          <w:szCs w:val="24"/>
          <w:lang w:val="ro-RO"/>
        </w:rPr>
        <w:t xml:space="preserve">, echilibrând decizia sa privind aplicabilitatea retroactivă a legii mai blânde cu principiul </w:t>
      </w:r>
      <w:r w:rsidR="00A30B21" w:rsidRPr="00E21CB9">
        <w:rPr>
          <w:rFonts w:ascii="Times New Roman" w:hAnsi="Times New Roman"/>
          <w:noProof/>
          <w:sz w:val="24"/>
          <w:szCs w:val="24"/>
          <w:lang w:val="ro-RO"/>
        </w:rPr>
        <w:t xml:space="preserve">protecției </w:t>
      </w:r>
      <w:r w:rsidR="00833AEB" w:rsidRPr="00E21CB9">
        <w:rPr>
          <w:rFonts w:ascii="Times New Roman" w:hAnsi="Times New Roman"/>
          <w:noProof/>
          <w:sz w:val="24"/>
          <w:szCs w:val="24"/>
          <w:lang w:val="ro-RO"/>
        </w:rPr>
        <w:t>securității juridice.</w:t>
      </w:r>
    </w:p>
    <w:p w14:paraId="518ACE0C" w14:textId="2BF8038E" w:rsidR="00833363" w:rsidRPr="00E21CB9" w:rsidRDefault="00833363"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 xml:space="preserve">Sesizată cu calea extraordinară de atac a contestației în anulare pentrru valorificarea </w:t>
      </w:r>
      <w:r w:rsidRPr="00E21CB9">
        <w:rPr>
          <w:rFonts w:ascii="Times New Roman" w:hAnsi="Times New Roman"/>
          <w:i/>
          <w:iCs/>
          <w:noProof/>
          <w:sz w:val="24"/>
          <w:szCs w:val="24"/>
          <w:lang w:val="ro-RO"/>
        </w:rPr>
        <w:t>mitior lex</w:t>
      </w:r>
      <w:r w:rsidRPr="00E21CB9">
        <w:rPr>
          <w:rFonts w:ascii="Times New Roman" w:hAnsi="Times New Roman"/>
          <w:noProof/>
          <w:sz w:val="24"/>
          <w:szCs w:val="24"/>
          <w:lang w:val="ro-RO"/>
        </w:rPr>
        <w:t>, Curtea de Apel Brașov se întreabă</w:t>
      </w:r>
      <w:r w:rsidR="0038241B" w:rsidRPr="00E21CB9">
        <w:rPr>
          <w:rFonts w:ascii="Times New Roman" w:hAnsi="Times New Roman"/>
          <w:noProof/>
          <w:sz w:val="24"/>
          <w:szCs w:val="24"/>
          <w:lang w:val="ro-RO"/>
        </w:rPr>
        <w:t>, în substanță,</w:t>
      </w:r>
      <w:r w:rsidRPr="00E21CB9">
        <w:rPr>
          <w:rFonts w:ascii="Times New Roman" w:hAnsi="Times New Roman"/>
          <w:noProof/>
          <w:sz w:val="24"/>
          <w:szCs w:val="24"/>
          <w:lang w:val="ro-RO"/>
        </w:rPr>
        <w:t xml:space="preserve"> dacă, în cazul în care dreptul Uniunii Europene este aplicabil </w:t>
      </w:r>
      <w:r w:rsidRPr="00E21CB9">
        <w:rPr>
          <w:rFonts w:ascii="Times New Roman" w:hAnsi="Times New Roman"/>
          <w:i/>
          <w:iCs/>
          <w:noProof/>
          <w:sz w:val="24"/>
          <w:szCs w:val="24"/>
          <w:lang w:val="ro-RO"/>
        </w:rPr>
        <w:t>rationae materiae</w:t>
      </w:r>
      <w:r w:rsidRPr="00E21CB9">
        <w:rPr>
          <w:rFonts w:ascii="Times New Roman" w:hAnsi="Times New Roman"/>
          <w:noProof/>
          <w:sz w:val="24"/>
          <w:szCs w:val="24"/>
          <w:lang w:val="ro-RO"/>
        </w:rPr>
        <w:t>, ar putea ignora ordinea juridică internă</w:t>
      </w:r>
      <w:r w:rsidR="005E1335" w:rsidRPr="00E21CB9">
        <w:rPr>
          <w:rFonts w:ascii="Times New Roman" w:hAnsi="Times New Roman"/>
          <w:noProof/>
          <w:sz w:val="24"/>
          <w:szCs w:val="24"/>
          <w:lang w:val="ro-RO"/>
        </w:rPr>
        <w:t>,</w:t>
      </w:r>
      <w:r w:rsidRPr="00E21CB9">
        <w:rPr>
          <w:rFonts w:ascii="Times New Roman" w:hAnsi="Times New Roman"/>
          <w:noProof/>
          <w:sz w:val="24"/>
          <w:szCs w:val="24"/>
          <w:lang w:val="ro-RO"/>
        </w:rPr>
        <w:t xml:space="preserve"> în cadrul căreia atât deciziile </w:t>
      </w:r>
      <w:r w:rsidR="00A30B21" w:rsidRPr="00E21CB9">
        <w:rPr>
          <w:rFonts w:ascii="Times New Roman" w:hAnsi="Times New Roman"/>
          <w:noProof/>
          <w:sz w:val="24"/>
          <w:szCs w:val="24"/>
          <w:lang w:val="ro-RO"/>
        </w:rPr>
        <w:t>CCR,</w:t>
      </w:r>
      <w:r w:rsidRPr="00E21CB9">
        <w:rPr>
          <w:rFonts w:ascii="Times New Roman" w:hAnsi="Times New Roman"/>
          <w:noProof/>
          <w:sz w:val="24"/>
          <w:szCs w:val="24"/>
          <w:lang w:val="ro-RO"/>
        </w:rPr>
        <w:t xml:space="preserve"> cât și cele ale Înaltei Curți pronunțate în procedura dezlegării unor chestiuni de drept sunt obligatorii</w:t>
      </w:r>
      <w:r w:rsidR="005E1335" w:rsidRPr="00E21CB9">
        <w:rPr>
          <w:rFonts w:ascii="Times New Roman" w:hAnsi="Times New Roman"/>
          <w:noProof/>
          <w:sz w:val="24"/>
          <w:szCs w:val="24"/>
          <w:lang w:val="ro-RO"/>
        </w:rPr>
        <w:t>,</w:t>
      </w:r>
      <w:r w:rsidR="004122F1" w:rsidRPr="00E21CB9">
        <w:rPr>
          <w:rFonts w:ascii="Times New Roman" w:hAnsi="Times New Roman"/>
          <w:noProof/>
          <w:sz w:val="24"/>
          <w:szCs w:val="24"/>
          <w:lang w:val="ro-RO"/>
        </w:rPr>
        <w:t xml:space="preserve"> pentru a asigura respectarea dreptului UE.</w:t>
      </w:r>
    </w:p>
    <w:p w14:paraId="40300BF7" w14:textId="64AD16DB" w:rsidR="00D86BBE" w:rsidRPr="00E21CB9" w:rsidRDefault="004122F1"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Nu ne propunem aici evocarea contraargumentelor față de considerentele cererii de trimitere preliminară, ci doar trecerea în revistă cu titlu general a reperelor relevante în raportul Constituție – drept UE</w:t>
      </w:r>
      <w:r w:rsidR="00A30B21" w:rsidRPr="00E21CB9">
        <w:rPr>
          <w:rFonts w:ascii="Times New Roman" w:hAnsi="Times New Roman"/>
          <w:noProof/>
          <w:sz w:val="24"/>
          <w:szCs w:val="24"/>
          <w:lang w:val="ro-RO"/>
        </w:rPr>
        <w:t>,</w:t>
      </w:r>
      <w:r w:rsidRPr="00E21CB9">
        <w:rPr>
          <w:rFonts w:ascii="Times New Roman" w:hAnsi="Times New Roman"/>
          <w:noProof/>
          <w:sz w:val="24"/>
          <w:szCs w:val="24"/>
          <w:lang w:val="ro-RO"/>
        </w:rPr>
        <w:t xml:space="preserve"> în </w:t>
      </w:r>
      <w:r w:rsidR="0038241B" w:rsidRPr="00E21CB9">
        <w:rPr>
          <w:rFonts w:ascii="Times New Roman" w:hAnsi="Times New Roman"/>
          <w:noProof/>
          <w:sz w:val="24"/>
          <w:szCs w:val="24"/>
          <w:lang w:val="ro-RO"/>
        </w:rPr>
        <w:t>scopul</w:t>
      </w:r>
      <w:r w:rsidRPr="00E21CB9">
        <w:rPr>
          <w:rFonts w:ascii="Times New Roman" w:hAnsi="Times New Roman"/>
          <w:noProof/>
          <w:sz w:val="24"/>
          <w:szCs w:val="24"/>
          <w:lang w:val="ro-RO"/>
        </w:rPr>
        <w:t xml:space="preserve"> identific</w:t>
      </w:r>
      <w:r w:rsidR="0038241B" w:rsidRPr="00E21CB9">
        <w:rPr>
          <w:rFonts w:ascii="Times New Roman" w:hAnsi="Times New Roman"/>
          <w:noProof/>
          <w:sz w:val="24"/>
          <w:szCs w:val="24"/>
          <w:lang w:val="ro-RO"/>
        </w:rPr>
        <w:t>ării</w:t>
      </w:r>
      <w:r w:rsidRPr="00E21CB9">
        <w:rPr>
          <w:rFonts w:ascii="Times New Roman" w:hAnsi="Times New Roman"/>
          <w:noProof/>
          <w:sz w:val="24"/>
          <w:szCs w:val="24"/>
          <w:lang w:val="ro-RO"/>
        </w:rPr>
        <w:t xml:space="preserve"> remedii</w:t>
      </w:r>
      <w:r w:rsidR="0038241B" w:rsidRPr="00E21CB9">
        <w:rPr>
          <w:rFonts w:ascii="Times New Roman" w:hAnsi="Times New Roman"/>
          <w:noProof/>
          <w:sz w:val="24"/>
          <w:szCs w:val="24"/>
          <w:lang w:val="ro-RO"/>
        </w:rPr>
        <w:t>lor</w:t>
      </w:r>
      <w:r w:rsidRPr="00E21CB9">
        <w:rPr>
          <w:rFonts w:ascii="Times New Roman" w:hAnsi="Times New Roman"/>
          <w:noProof/>
          <w:sz w:val="24"/>
          <w:szCs w:val="24"/>
          <w:lang w:val="ro-RO"/>
        </w:rPr>
        <w:t xml:space="preserve"> adecvate pentru păstrarea nivelului de protecție al drepturilor fundamentale consacrat prin Constituția națională.</w:t>
      </w:r>
    </w:p>
    <w:p w14:paraId="1544D133" w14:textId="4BE536E2" w:rsidR="00A66CC8" w:rsidRPr="00E21CB9" w:rsidRDefault="00B25383"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V</w:t>
      </w:r>
      <w:r w:rsidR="00A66CC8" w:rsidRPr="00E21CB9">
        <w:rPr>
          <w:rFonts w:ascii="Times New Roman" w:hAnsi="Times New Roman"/>
          <w:noProof/>
          <w:sz w:val="24"/>
          <w:szCs w:val="24"/>
          <w:lang w:val="ro-RO"/>
        </w:rPr>
        <w:t>iitor</w:t>
      </w:r>
      <w:r w:rsidRPr="00E21CB9">
        <w:rPr>
          <w:rFonts w:ascii="Times New Roman" w:hAnsi="Times New Roman"/>
          <w:noProof/>
          <w:sz w:val="24"/>
          <w:szCs w:val="24"/>
          <w:lang w:val="ro-RO"/>
        </w:rPr>
        <w:t xml:space="preserve">ul pentru când a rămas a fi lămurit raportul Constituție – drept UE </w:t>
      </w:r>
      <w:r w:rsidR="00A66CC8" w:rsidRPr="00E21CB9">
        <w:rPr>
          <w:rFonts w:ascii="Times New Roman" w:hAnsi="Times New Roman"/>
          <w:noProof/>
          <w:sz w:val="24"/>
          <w:szCs w:val="24"/>
          <w:lang w:val="ro-RO"/>
        </w:rPr>
        <w:t xml:space="preserve"> pare să fie azi, când </w:t>
      </w:r>
      <w:r w:rsidR="0038241B" w:rsidRPr="00E21CB9">
        <w:rPr>
          <w:rFonts w:ascii="Times New Roman" w:hAnsi="Times New Roman"/>
          <w:noProof/>
          <w:sz w:val="24"/>
          <w:szCs w:val="24"/>
          <w:lang w:val="ro-RO"/>
        </w:rPr>
        <w:t>unele</w:t>
      </w:r>
      <w:r w:rsidR="00A66CC8" w:rsidRPr="00E21CB9">
        <w:rPr>
          <w:rFonts w:ascii="Times New Roman" w:hAnsi="Times New Roman"/>
          <w:noProof/>
          <w:sz w:val="24"/>
          <w:szCs w:val="24"/>
          <w:lang w:val="ro-RO"/>
        </w:rPr>
        <w:t xml:space="preserve"> instanț</w:t>
      </w:r>
      <w:r w:rsidR="0038241B" w:rsidRPr="00E21CB9">
        <w:rPr>
          <w:rFonts w:ascii="Times New Roman" w:hAnsi="Times New Roman"/>
          <w:noProof/>
          <w:sz w:val="24"/>
          <w:szCs w:val="24"/>
          <w:lang w:val="ro-RO"/>
        </w:rPr>
        <w:t>e</w:t>
      </w:r>
      <w:r w:rsidR="00A66CC8" w:rsidRPr="00E21CB9">
        <w:rPr>
          <w:rFonts w:ascii="Times New Roman" w:hAnsi="Times New Roman"/>
          <w:noProof/>
          <w:sz w:val="24"/>
          <w:szCs w:val="24"/>
          <w:lang w:val="ro-RO"/>
        </w:rPr>
        <w:t xml:space="preserve"> național</w:t>
      </w:r>
      <w:r w:rsidR="0038241B" w:rsidRPr="00E21CB9">
        <w:rPr>
          <w:rFonts w:ascii="Times New Roman" w:hAnsi="Times New Roman"/>
          <w:noProof/>
          <w:sz w:val="24"/>
          <w:szCs w:val="24"/>
          <w:lang w:val="ro-RO"/>
        </w:rPr>
        <w:t>e</w:t>
      </w:r>
      <w:r w:rsidR="00A66CC8" w:rsidRPr="00E21CB9">
        <w:rPr>
          <w:rFonts w:ascii="Times New Roman" w:hAnsi="Times New Roman"/>
          <w:noProof/>
          <w:sz w:val="24"/>
          <w:szCs w:val="24"/>
          <w:lang w:val="ro-RO"/>
        </w:rPr>
        <w:t xml:space="preserve"> </w:t>
      </w:r>
      <w:r w:rsidR="005C7C9A" w:rsidRPr="00E21CB9">
        <w:rPr>
          <w:rFonts w:ascii="Times New Roman" w:hAnsi="Times New Roman"/>
          <w:noProof/>
          <w:sz w:val="24"/>
          <w:szCs w:val="24"/>
          <w:lang w:val="ro-RO"/>
        </w:rPr>
        <w:t xml:space="preserve">au provocat </w:t>
      </w:r>
      <w:r w:rsidR="0038241B" w:rsidRPr="00E21CB9">
        <w:rPr>
          <w:rFonts w:ascii="Times New Roman" w:hAnsi="Times New Roman"/>
          <w:noProof/>
          <w:sz w:val="24"/>
          <w:szCs w:val="24"/>
          <w:lang w:val="ro-RO"/>
        </w:rPr>
        <w:t>continu</w:t>
      </w:r>
      <w:r w:rsidR="005C7C9A" w:rsidRPr="00E21CB9">
        <w:rPr>
          <w:rFonts w:ascii="Times New Roman" w:hAnsi="Times New Roman"/>
          <w:noProof/>
          <w:sz w:val="24"/>
          <w:szCs w:val="24"/>
          <w:lang w:val="ro-RO"/>
        </w:rPr>
        <w:t>area conflictului constituțional</w:t>
      </w:r>
      <w:r w:rsidR="00A66CC8" w:rsidRPr="00E21CB9">
        <w:rPr>
          <w:rFonts w:ascii="Times New Roman" w:hAnsi="Times New Roman"/>
          <w:noProof/>
          <w:sz w:val="24"/>
          <w:szCs w:val="24"/>
          <w:lang w:val="ro-RO"/>
        </w:rPr>
        <w:t xml:space="preserve">, de data aceasta în legătură cu </w:t>
      </w:r>
      <w:r w:rsidR="00A667C5" w:rsidRPr="00E21CB9">
        <w:rPr>
          <w:rFonts w:ascii="Times New Roman" w:hAnsi="Times New Roman"/>
          <w:noProof/>
          <w:sz w:val="24"/>
          <w:szCs w:val="24"/>
          <w:lang w:val="ro-RO"/>
        </w:rPr>
        <w:t>principiul</w:t>
      </w:r>
      <w:r w:rsidR="00A66CC8" w:rsidRPr="00E21CB9">
        <w:rPr>
          <w:rFonts w:ascii="Times New Roman" w:hAnsi="Times New Roman"/>
          <w:noProof/>
          <w:sz w:val="24"/>
          <w:szCs w:val="24"/>
          <w:lang w:val="ro-RO"/>
        </w:rPr>
        <w:t xml:space="preserve"> legalit</w:t>
      </w:r>
      <w:r w:rsidR="00A667C5" w:rsidRPr="00E21CB9">
        <w:rPr>
          <w:rFonts w:ascii="Times New Roman" w:hAnsi="Times New Roman"/>
          <w:noProof/>
          <w:sz w:val="24"/>
          <w:szCs w:val="24"/>
          <w:lang w:val="ro-RO"/>
        </w:rPr>
        <w:t>ății</w:t>
      </w:r>
      <w:r w:rsidR="00A66CC8" w:rsidRPr="00E21CB9">
        <w:rPr>
          <w:rFonts w:ascii="Times New Roman" w:hAnsi="Times New Roman"/>
          <w:noProof/>
          <w:sz w:val="24"/>
          <w:szCs w:val="24"/>
          <w:lang w:val="ro-RO"/>
        </w:rPr>
        <w:t xml:space="preserve"> infracțiunilor și pedepselor.</w:t>
      </w:r>
    </w:p>
    <w:p w14:paraId="7A699A9D" w14:textId="6E8F4A50" w:rsidR="005C7C9A" w:rsidRPr="00E21CB9" w:rsidRDefault="005C7C9A"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Se cuvine a fi subliniat că</w:t>
      </w:r>
      <w:r w:rsidR="005E1335" w:rsidRPr="00E21CB9">
        <w:rPr>
          <w:rFonts w:ascii="Times New Roman" w:hAnsi="Times New Roman"/>
          <w:noProof/>
          <w:sz w:val="24"/>
          <w:szCs w:val="24"/>
          <w:lang w:val="ro-RO"/>
        </w:rPr>
        <w:t>,</w:t>
      </w:r>
      <w:r w:rsidRPr="00E21CB9">
        <w:rPr>
          <w:rFonts w:ascii="Times New Roman" w:hAnsi="Times New Roman"/>
          <w:noProof/>
          <w:sz w:val="24"/>
          <w:szCs w:val="24"/>
          <w:lang w:val="ro-RO"/>
        </w:rPr>
        <w:t xml:space="preserve"> deși Curtea Constituțională nu a fost chemată să se pronunțe după episodul </w:t>
      </w:r>
      <w:r w:rsidRPr="00E21CB9">
        <w:rPr>
          <w:rFonts w:ascii="Times New Roman" w:hAnsi="Times New Roman"/>
          <w:i/>
          <w:iCs/>
          <w:noProof/>
          <w:sz w:val="24"/>
          <w:szCs w:val="24"/>
          <w:lang w:val="ro-RO"/>
        </w:rPr>
        <w:t>Euro Box</w:t>
      </w:r>
      <w:r w:rsidRPr="00E21CB9">
        <w:rPr>
          <w:rFonts w:ascii="Times New Roman" w:hAnsi="Times New Roman"/>
          <w:noProof/>
          <w:sz w:val="24"/>
          <w:szCs w:val="24"/>
          <w:lang w:val="ro-RO"/>
        </w:rPr>
        <w:t>, instanțele judecătorești și, în special</w:t>
      </w:r>
      <w:r w:rsidR="00833AEB" w:rsidRPr="00E21CB9">
        <w:rPr>
          <w:rFonts w:ascii="Times New Roman" w:hAnsi="Times New Roman"/>
          <w:noProof/>
          <w:sz w:val="24"/>
          <w:szCs w:val="24"/>
          <w:lang w:val="ro-RO"/>
        </w:rPr>
        <w:t>,</w:t>
      </w:r>
      <w:r w:rsidRPr="00E21CB9">
        <w:rPr>
          <w:rFonts w:ascii="Times New Roman" w:hAnsi="Times New Roman"/>
          <w:noProof/>
          <w:sz w:val="24"/>
          <w:szCs w:val="24"/>
          <w:lang w:val="ro-RO"/>
        </w:rPr>
        <w:t xml:space="preserve"> Înalta Curte de Casație și Justiție, părând să accepte fără rezerve supremația în contra Constituției chiar și </w:t>
      </w:r>
      <w:r w:rsidR="00A667C5" w:rsidRPr="00E21CB9">
        <w:rPr>
          <w:rFonts w:ascii="Times New Roman" w:hAnsi="Times New Roman"/>
          <w:noProof/>
          <w:sz w:val="24"/>
          <w:szCs w:val="24"/>
          <w:lang w:val="ro-RO"/>
        </w:rPr>
        <w:t>atunci când</w:t>
      </w:r>
      <w:r w:rsidRPr="00E21CB9">
        <w:rPr>
          <w:rFonts w:ascii="Times New Roman" w:hAnsi="Times New Roman"/>
          <w:noProof/>
          <w:sz w:val="24"/>
          <w:szCs w:val="24"/>
          <w:lang w:val="ro-RO"/>
        </w:rPr>
        <w:t xml:space="preserve"> în jo</w:t>
      </w:r>
      <w:r w:rsidR="00833AEB" w:rsidRPr="00E21CB9">
        <w:rPr>
          <w:rFonts w:ascii="Times New Roman" w:hAnsi="Times New Roman"/>
          <w:noProof/>
          <w:sz w:val="24"/>
          <w:szCs w:val="24"/>
          <w:lang w:val="ro-RO"/>
        </w:rPr>
        <w:t>c</w:t>
      </w:r>
      <w:r w:rsidRPr="00E21CB9">
        <w:rPr>
          <w:rFonts w:ascii="Times New Roman" w:hAnsi="Times New Roman"/>
          <w:noProof/>
          <w:sz w:val="24"/>
          <w:szCs w:val="24"/>
          <w:lang w:val="ro-RO"/>
        </w:rPr>
        <w:t xml:space="preserve"> sunt norme privind protecția drepturilor fundamentale</w:t>
      </w:r>
      <w:r w:rsidR="005E1335" w:rsidRPr="00E21CB9">
        <w:rPr>
          <w:rFonts w:ascii="Times New Roman" w:hAnsi="Times New Roman"/>
          <w:noProof/>
          <w:sz w:val="24"/>
          <w:szCs w:val="24"/>
          <w:lang w:val="ro-RO"/>
        </w:rPr>
        <w:t>, a</w:t>
      </w:r>
      <w:r w:rsidRPr="00E21CB9">
        <w:rPr>
          <w:rFonts w:ascii="Times New Roman" w:hAnsi="Times New Roman"/>
          <w:noProof/>
          <w:sz w:val="24"/>
          <w:szCs w:val="24"/>
          <w:lang w:val="ro-RO"/>
        </w:rPr>
        <w:t>celeași instanțe, urmând practica Înaltei Curți, au respins</w:t>
      </w:r>
      <w:r w:rsidR="004D79EE" w:rsidRPr="00E21CB9">
        <w:rPr>
          <w:rFonts w:ascii="Times New Roman" w:hAnsi="Times New Roman"/>
          <w:noProof/>
          <w:sz w:val="24"/>
          <w:szCs w:val="24"/>
          <w:lang w:val="ro-RO"/>
        </w:rPr>
        <w:t>, totuși,</w:t>
      </w:r>
      <w:r w:rsidRPr="00E21CB9">
        <w:rPr>
          <w:rFonts w:ascii="Times New Roman" w:hAnsi="Times New Roman"/>
          <w:noProof/>
          <w:sz w:val="24"/>
          <w:szCs w:val="24"/>
          <w:lang w:val="ro-RO"/>
        </w:rPr>
        <w:t xml:space="preserve"> într-o majoritate covârșitoare</w:t>
      </w:r>
      <w:r w:rsidR="004D79EE" w:rsidRPr="00E21CB9">
        <w:rPr>
          <w:rFonts w:ascii="Times New Roman" w:hAnsi="Times New Roman"/>
          <w:noProof/>
          <w:sz w:val="24"/>
          <w:szCs w:val="24"/>
          <w:lang w:val="ro-RO"/>
        </w:rPr>
        <w:t>,</w:t>
      </w:r>
      <w:r w:rsidRPr="00E21CB9">
        <w:rPr>
          <w:rFonts w:ascii="Times New Roman" w:hAnsi="Times New Roman"/>
          <w:noProof/>
          <w:sz w:val="24"/>
          <w:szCs w:val="24"/>
          <w:lang w:val="ro-RO"/>
        </w:rPr>
        <w:t xml:space="preserve"> solicitări de trimiteri preliminare precum cele avansate de Curtea de Apel Brașov.</w:t>
      </w:r>
    </w:p>
    <w:p w14:paraId="3F6C37D0" w14:textId="661A5560" w:rsidR="005C7C9A" w:rsidRPr="00E21CB9" w:rsidRDefault="005C7C9A"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 xml:space="preserve">Așadar, rezervele la nivel național, </w:t>
      </w:r>
      <w:r w:rsidRPr="00E21CB9">
        <w:rPr>
          <w:rFonts w:ascii="Times New Roman" w:hAnsi="Times New Roman"/>
          <w:i/>
          <w:iCs/>
          <w:noProof/>
          <w:sz w:val="24"/>
          <w:szCs w:val="24"/>
          <w:lang w:val="ro-RO"/>
        </w:rPr>
        <w:t>limitele</w:t>
      </w:r>
      <w:r w:rsidRPr="00E21CB9">
        <w:rPr>
          <w:rFonts w:ascii="Times New Roman" w:hAnsi="Times New Roman"/>
          <w:noProof/>
          <w:sz w:val="24"/>
          <w:szCs w:val="24"/>
          <w:lang w:val="ro-RO"/>
        </w:rPr>
        <w:t xml:space="preserve">, par să </w:t>
      </w:r>
      <w:r w:rsidR="00A667C5" w:rsidRPr="00E21CB9">
        <w:rPr>
          <w:rFonts w:ascii="Times New Roman" w:hAnsi="Times New Roman"/>
          <w:noProof/>
          <w:sz w:val="24"/>
          <w:szCs w:val="24"/>
          <w:lang w:val="ro-RO"/>
        </w:rPr>
        <w:t>se contureze deja</w:t>
      </w:r>
      <w:r w:rsidRPr="00E21CB9">
        <w:rPr>
          <w:rFonts w:ascii="Times New Roman" w:hAnsi="Times New Roman"/>
          <w:noProof/>
          <w:sz w:val="24"/>
          <w:szCs w:val="24"/>
          <w:lang w:val="ro-RO"/>
        </w:rPr>
        <w:t xml:space="preserve"> </w:t>
      </w:r>
      <w:r w:rsidR="00A03792" w:rsidRPr="00E21CB9">
        <w:rPr>
          <w:rFonts w:ascii="Times New Roman" w:hAnsi="Times New Roman"/>
          <w:noProof/>
          <w:sz w:val="24"/>
          <w:szCs w:val="24"/>
          <w:lang w:val="ro-RO"/>
        </w:rPr>
        <w:t>nu numai prin decizii</w:t>
      </w:r>
      <w:r w:rsidR="00A30B21" w:rsidRPr="00E21CB9">
        <w:rPr>
          <w:rFonts w:ascii="Times New Roman" w:hAnsi="Times New Roman"/>
          <w:noProof/>
          <w:sz w:val="24"/>
          <w:szCs w:val="24"/>
          <w:lang w:val="ro-RO"/>
        </w:rPr>
        <w:t xml:space="preserve"> ale</w:t>
      </w:r>
      <w:r w:rsidR="00A03792" w:rsidRPr="00E21CB9">
        <w:rPr>
          <w:rFonts w:ascii="Times New Roman" w:hAnsi="Times New Roman"/>
          <w:noProof/>
          <w:sz w:val="24"/>
          <w:szCs w:val="24"/>
          <w:lang w:val="ro-RO"/>
        </w:rPr>
        <w:t xml:space="preserve"> CCR, ci și </w:t>
      </w:r>
      <w:r w:rsidRPr="00E21CB9">
        <w:rPr>
          <w:rFonts w:ascii="Times New Roman" w:hAnsi="Times New Roman"/>
          <w:noProof/>
          <w:sz w:val="24"/>
          <w:szCs w:val="24"/>
          <w:lang w:val="ro-RO"/>
        </w:rPr>
        <w:t xml:space="preserve">prin practica generalizată de a declara inadmisibilitatea trimiterilor, astfel cum s-a întâmplat și în alte state membre. </w:t>
      </w:r>
      <w:r w:rsidR="00040BD1" w:rsidRPr="00E21CB9">
        <w:rPr>
          <w:rFonts w:ascii="Times New Roman" w:hAnsi="Times New Roman"/>
          <w:noProof/>
          <w:sz w:val="24"/>
          <w:szCs w:val="24"/>
          <w:lang w:val="ro-RO"/>
        </w:rPr>
        <w:t xml:space="preserve">Cu toate acestea, se </w:t>
      </w:r>
      <w:r w:rsidR="00AC64E7" w:rsidRPr="00E21CB9">
        <w:rPr>
          <w:rFonts w:ascii="Times New Roman" w:hAnsi="Times New Roman"/>
          <w:noProof/>
          <w:sz w:val="24"/>
          <w:szCs w:val="24"/>
          <w:lang w:val="ro-RO"/>
        </w:rPr>
        <w:t>remarcă</w:t>
      </w:r>
      <w:r w:rsidR="00040BD1" w:rsidRPr="00E21CB9">
        <w:rPr>
          <w:rFonts w:ascii="Times New Roman" w:hAnsi="Times New Roman"/>
          <w:noProof/>
          <w:sz w:val="24"/>
          <w:szCs w:val="24"/>
          <w:lang w:val="ro-RO"/>
        </w:rPr>
        <w:t xml:space="preserve"> o reținere, </w:t>
      </w:r>
      <w:r w:rsidR="00820BAD" w:rsidRPr="00E21CB9">
        <w:rPr>
          <w:rFonts w:ascii="Times New Roman" w:hAnsi="Times New Roman"/>
          <w:noProof/>
          <w:sz w:val="24"/>
          <w:szCs w:val="24"/>
          <w:lang w:val="ro-RO"/>
        </w:rPr>
        <w:t xml:space="preserve">justificată, poate, de curtoazie sau dorința </w:t>
      </w:r>
      <w:r w:rsidR="00820BAD" w:rsidRPr="00E21CB9">
        <w:rPr>
          <w:rFonts w:ascii="Times New Roman" w:hAnsi="Times New Roman"/>
          <w:noProof/>
          <w:sz w:val="24"/>
          <w:szCs w:val="24"/>
          <w:lang w:val="ro-RO"/>
        </w:rPr>
        <w:lastRenderedPageBreak/>
        <w:t xml:space="preserve">de a nu exacerba conflictul, a </w:t>
      </w:r>
      <w:r w:rsidR="00A03792" w:rsidRPr="00E21CB9">
        <w:rPr>
          <w:rFonts w:ascii="Times New Roman" w:hAnsi="Times New Roman"/>
          <w:noProof/>
          <w:sz w:val="24"/>
          <w:szCs w:val="24"/>
          <w:lang w:val="ro-RO"/>
        </w:rPr>
        <w:t xml:space="preserve">celorlalte </w:t>
      </w:r>
      <w:r w:rsidR="00820BAD" w:rsidRPr="00E21CB9">
        <w:rPr>
          <w:rFonts w:ascii="Times New Roman" w:hAnsi="Times New Roman"/>
          <w:noProof/>
          <w:sz w:val="24"/>
          <w:szCs w:val="24"/>
          <w:lang w:val="ro-RO"/>
        </w:rPr>
        <w:t>instanțe naționale, de la afirmația răspicată a prevalenței Constituției asupra dreptului UE</w:t>
      </w:r>
      <w:r w:rsidR="00ED2096" w:rsidRPr="00E21CB9">
        <w:rPr>
          <w:rFonts w:ascii="Times New Roman" w:hAnsi="Times New Roman"/>
          <w:noProof/>
          <w:sz w:val="24"/>
          <w:szCs w:val="24"/>
          <w:lang w:val="ro-RO"/>
        </w:rPr>
        <w:t xml:space="preserve"> </w:t>
      </w:r>
      <w:r w:rsidR="00820BAD" w:rsidRPr="00E21CB9">
        <w:rPr>
          <w:rFonts w:ascii="Times New Roman" w:hAnsi="Times New Roman"/>
          <w:noProof/>
          <w:sz w:val="24"/>
          <w:szCs w:val="24"/>
          <w:lang w:val="ro-RO"/>
        </w:rPr>
        <w:t>în materia drepturilor fundamentale.</w:t>
      </w:r>
    </w:p>
    <w:p w14:paraId="2E4B8C52" w14:textId="2298B9C1" w:rsidR="00ED2096" w:rsidRPr="00E21CB9" w:rsidRDefault="00ED2096"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Concluzionând, nu reiese din acest istoric acceptarea în orice condiții a supremației dreptului UE asupra dreptului constituțional național în domenii sensibile</w:t>
      </w:r>
      <w:r w:rsidR="004D79EE" w:rsidRPr="00E21CB9">
        <w:rPr>
          <w:rFonts w:ascii="Times New Roman" w:hAnsi="Times New Roman"/>
          <w:noProof/>
          <w:sz w:val="24"/>
          <w:szCs w:val="24"/>
          <w:lang w:val="ro-RO"/>
        </w:rPr>
        <w:t>,</w:t>
      </w:r>
      <w:r w:rsidRPr="00E21CB9">
        <w:rPr>
          <w:rFonts w:ascii="Times New Roman" w:hAnsi="Times New Roman"/>
          <w:noProof/>
          <w:sz w:val="24"/>
          <w:szCs w:val="24"/>
          <w:lang w:val="ro-RO"/>
        </w:rPr>
        <w:t xml:space="preserve"> părând</w:t>
      </w:r>
      <w:r w:rsidR="004D79EE" w:rsidRPr="00E21CB9">
        <w:rPr>
          <w:rFonts w:ascii="Times New Roman" w:hAnsi="Times New Roman"/>
          <w:noProof/>
          <w:sz w:val="24"/>
          <w:szCs w:val="24"/>
          <w:lang w:val="ro-RO"/>
        </w:rPr>
        <w:t>, mai degrabă, că România</w:t>
      </w:r>
      <w:r w:rsidRPr="00E21CB9">
        <w:rPr>
          <w:rFonts w:ascii="Times New Roman" w:hAnsi="Times New Roman"/>
          <w:noProof/>
          <w:sz w:val="24"/>
          <w:szCs w:val="24"/>
          <w:lang w:val="ro-RO"/>
        </w:rPr>
        <w:t xml:space="preserve"> se alătur</w:t>
      </w:r>
      <w:r w:rsidR="004D79EE" w:rsidRPr="00E21CB9">
        <w:rPr>
          <w:rFonts w:ascii="Times New Roman" w:hAnsi="Times New Roman"/>
          <w:noProof/>
          <w:sz w:val="24"/>
          <w:szCs w:val="24"/>
          <w:lang w:val="ro-RO"/>
        </w:rPr>
        <w:t>ă,</w:t>
      </w:r>
      <w:r w:rsidRPr="00E21CB9">
        <w:rPr>
          <w:rFonts w:ascii="Times New Roman" w:hAnsi="Times New Roman"/>
          <w:noProof/>
          <w:sz w:val="24"/>
          <w:szCs w:val="24"/>
          <w:lang w:val="ro-RO"/>
        </w:rPr>
        <w:t xml:space="preserve"> deocamdată timid, majorității statelor membre care au impus limite</w:t>
      </w:r>
      <w:r w:rsidR="005E1335" w:rsidRPr="00E21CB9">
        <w:rPr>
          <w:rFonts w:ascii="Times New Roman" w:hAnsi="Times New Roman"/>
          <w:noProof/>
          <w:sz w:val="24"/>
          <w:szCs w:val="24"/>
          <w:lang w:val="ro-RO"/>
        </w:rPr>
        <w:t xml:space="preserve"> prin </w:t>
      </w:r>
      <w:r w:rsidR="00A03792" w:rsidRPr="00E21CB9">
        <w:rPr>
          <w:rFonts w:ascii="Times New Roman" w:hAnsi="Times New Roman"/>
          <w:noProof/>
          <w:sz w:val="24"/>
          <w:szCs w:val="24"/>
          <w:lang w:val="ro-RO"/>
        </w:rPr>
        <w:t xml:space="preserve">practica instanței de contencios constituțional și </w:t>
      </w:r>
      <w:r w:rsidR="005E1335" w:rsidRPr="00E21CB9">
        <w:rPr>
          <w:rFonts w:ascii="Times New Roman" w:hAnsi="Times New Roman"/>
          <w:noProof/>
          <w:sz w:val="24"/>
          <w:szCs w:val="24"/>
          <w:lang w:val="ro-RO"/>
        </w:rPr>
        <w:t>jurisprudența recentă a instanțelor naționale.</w:t>
      </w:r>
    </w:p>
    <w:p w14:paraId="0C1A56D7" w14:textId="3D5C3C6B" w:rsidR="00A66CC8" w:rsidRPr="00E21CB9" w:rsidRDefault="00ED2096"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 xml:space="preserve">Dar </w:t>
      </w:r>
      <w:r w:rsidR="00101772" w:rsidRPr="00E21CB9">
        <w:rPr>
          <w:rFonts w:ascii="Times New Roman" w:hAnsi="Times New Roman"/>
          <w:noProof/>
          <w:sz w:val="24"/>
          <w:szCs w:val="24"/>
          <w:lang w:val="ro-RO"/>
        </w:rPr>
        <w:t>s</w:t>
      </w:r>
      <w:r w:rsidRPr="00E21CB9">
        <w:rPr>
          <w:rFonts w:ascii="Times New Roman" w:hAnsi="Times New Roman"/>
          <w:noProof/>
          <w:sz w:val="24"/>
          <w:szCs w:val="24"/>
          <w:lang w:val="ro-RO"/>
        </w:rPr>
        <w:t xml:space="preserve">aga continuă, trimiterile fiind pe masa Curții de Justiție. </w:t>
      </w:r>
      <w:r w:rsidR="00A66CC8" w:rsidRPr="00E21CB9">
        <w:rPr>
          <w:rFonts w:ascii="Times New Roman" w:hAnsi="Times New Roman"/>
          <w:noProof/>
          <w:sz w:val="24"/>
          <w:szCs w:val="24"/>
          <w:lang w:val="ro-RO"/>
        </w:rPr>
        <w:t xml:space="preserve">Sunt drepturile constituționale la adăpost de această dată? </w:t>
      </w:r>
      <w:r w:rsidR="004D79EE" w:rsidRPr="00E21CB9">
        <w:rPr>
          <w:rFonts w:ascii="Times New Roman" w:hAnsi="Times New Roman"/>
          <w:noProof/>
          <w:sz w:val="24"/>
          <w:szCs w:val="24"/>
          <w:lang w:val="ro-RO"/>
        </w:rPr>
        <w:t>Care va fi finalul?</w:t>
      </w:r>
    </w:p>
    <w:p w14:paraId="69822A41" w14:textId="201773A0" w:rsidR="00A66CC8" w:rsidRPr="00E21CB9" w:rsidRDefault="00A66CC8"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La p</w:t>
      </w:r>
      <w:r w:rsidR="00A30B21" w:rsidRPr="00E21CB9">
        <w:rPr>
          <w:rFonts w:ascii="Times New Roman" w:hAnsi="Times New Roman"/>
          <w:noProof/>
          <w:sz w:val="24"/>
          <w:szCs w:val="24"/>
          <w:lang w:val="ro-RO"/>
        </w:rPr>
        <w:t>unctul</w:t>
      </w:r>
      <w:r w:rsidRPr="00E21CB9">
        <w:rPr>
          <w:rFonts w:ascii="Times New Roman" w:hAnsi="Times New Roman"/>
          <w:noProof/>
          <w:sz w:val="24"/>
          <w:szCs w:val="24"/>
          <w:lang w:val="ro-RO"/>
        </w:rPr>
        <w:t xml:space="preserve"> 209 al hot</w:t>
      </w:r>
      <w:r w:rsidR="00A30B21" w:rsidRPr="00E21CB9">
        <w:rPr>
          <w:rFonts w:ascii="Times New Roman" w:hAnsi="Times New Roman"/>
          <w:noProof/>
          <w:sz w:val="24"/>
          <w:szCs w:val="24"/>
          <w:lang w:val="ro-RO"/>
        </w:rPr>
        <w:t>ă</w:t>
      </w:r>
      <w:r w:rsidRPr="00E21CB9">
        <w:rPr>
          <w:rFonts w:ascii="Times New Roman" w:hAnsi="Times New Roman"/>
          <w:noProof/>
          <w:sz w:val="24"/>
          <w:szCs w:val="24"/>
          <w:lang w:val="ro-RO"/>
        </w:rPr>
        <w:t>r</w:t>
      </w:r>
      <w:r w:rsidR="00A30B21" w:rsidRPr="00E21CB9">
        <w:rPr>
          <w:rFonts w:ascii="Times New Roman" w:hAnsi="Times New Roman"/>
          <w:noProof/>
          <w:sz w:val="24"/>
          <w:szCs w:val="24"/>
          <w:lang w:val="ro-RO"/>
        </w:rPr>
        <w:t>â</w:t>
      </w:r>
      <w:r w:rsidRPr="00E21CB9">
        <w:rPr>
          <w:rFonts w:ascii="Times New Roman" w:hAnsi="Times New Roman"/>
          <w:noProof/>
          <w:sz w:val="24"/>
          <w:szCs w:val="24"/>
          <w:lang w:val="ro-RO"/>
        </w:rPr>
        <w:t xml:space="preserve">rii </w:t>
      </w:r>
      <w:r w:rsidR="004D79EE" w:rsidRPr="00E21CB9">
        <w:rPr>
          <w:rFonts w:ascii="Times New Roman" w:hAnsi="Times New Roman"/>
          <w:i/>
          <w:iCs/>
          <w:noProof/>
          <w:sz w:val="24"/>
          <w:szCs w:val="24"/>
          <w:lang w:val="ro-RO"/>
        </w:rPr>
        <w:t>Euro Box</w:t>
      </w:r>
      <w:r w:rsidR="00ED2096" w:rsidRPr="00E21CB9">
        <w:rPr>
          <w:rFonts w:ascii="Times New Roman" w:hAnsi="Times New Roman"/>
          <w:noProof/>
          <w:sz w:val="24"/>
          <w:szCs w:val="24"/>
          <w:lang w:val="ro-RO"/>
        </w:rPr>
        <w:t xml:space="preserve"> </w:t>
      </w:r>
      <w:r w:rsidRPr="00E21CB9">
        <w:rPr>
          <w:rFonts w:ascii="Times New Roman" w:hAnsi="Times New Roman"/>
          <w:noProof/>
          <w:sz w:val="24"/>
          <w:szCs w:val="24"/>
          <w:lang w:val="ro-RO"/>
        </w:rPr>
        <w:t>Curtea de Justi</w:t>
      </w:r>
      <w:r w:rsidR="00A30B21" w:rsidRPr="00E21CB9">
        <w:rPr>
          <w:rFonts w:ascii="Times New Roman" w:hAnsi="Times New Roman"/>
          <w:noProof/>
          <w:sz w:val="24"/>
          <w:szCs w:val="24"/>
          <w:lang w:val="ro-RO"/>
        </w:rPr>
        <w:t>ț</w:t>
      </w:r>
      <w:r w:rsidRPr="00E21CB9">
        <w:rPr>
          <w:rFonts w:ascii="Times New Roman" w:hAnsi="Times New Roman"/>
          <w:noProof/>
          <w:sz w:val="24"/>
          <w:szCs w:val="24"/>
          <w:lang w:val="ro-RO"/>
        </w:rPr>
        <w:t>ie a ar</w:t>
      </w:r>
      <w:r w:rsidR="004D79EE" w:rsidRPr="00E21CB9">
        <w:rPr>
          <w:rFonts w:ascii="Times New Roman" w:hAnsi="Times New Roman"/>
          <w:noProof/>
          <w:sz w:val="24"/>
          <w:szCs w:val="24"/>
          <w:lang w:val="ro-RO"/>
        </w:rPr>
        <w:t>ă</w:t>
      </w:r>
      <w:r w:rsidRPr="00E21CB9">
        <w:rPr>
          <w:rFonts w:ascii="Times New Roman" w:hAnsi="Times New Roman"/>
          <w:noProof/>
          <w:sz w:val="24"/>
          <w:szCs w:val="24"/>
          <w:lang w:val="ro-RO"/>
        </w:rPr>
        <w:t>tat:</w:t>
      </w:r>
    </w:p>
    <w:p w14:paraId="419BE9A3" w14:textId="6F339F7D" w:rsidR="00A66CC8" w:rsidRPr="00E21CB9" w:rsidRDefault="00A66CC8" w:rsidP="00F10A47">
      <w:pPr>
        <w:spacing w:after="200" w:line="276" w:lineRule="auto"/>
        <w:jc w:val="both"/>
        <w:rPr>
          <w:rFonts w:ascii="Times New Roman" w:hAnsi="Times New Roman"/>
          <w:i/>
          <w:iCs/>
          <w:noProof/>
          <w:sz w:val="24"/>
          <w:szCs w:val="24"/>
          <w:lang w:val="ro-RO"/>
        </w:rPr>
      </w:pPr>
      <w:r w:rsidRPr="00E21CB9">
        <w:rPr>
          <w:rFonts w:ascii="Times New Roman" w:hAnsi="Times New Roman"/>
          <w:i/>
          <w:iCs/>
          <w:noProof/>
          <w:sz w:val="24"/>
          <w:szCs w:val="24"/>
          <w:lang w:val="ro-RO"/>
        </w:rPr>
        <w:t>De altfel, trebuie s</w:t>
      </w:r>
      <w:r w:rsidR="004D79EE"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xml:space="preserve"> se disting</w:t>
      </w:r>
      <w:r w:rsidR="004D79EE"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xml:space="preserve"> cauzele C 357/19, C 840/19 si C 811/19 de cea </w:t>
      </w:r>
      <w:r w:rsidR="004D79EE" w:rsidRPr="00E21CB9">
        <w:rPr>
          <w:rFonts w:ascii="Times New Roman" w:hAnsi="Times New Roman"/>
          <w:i/>
          <w:iCs/>
          <w:noProof/>
          <w:sz w:val="24"/>
          <w:szCs w:val="24"/>
          <w:lang w:val="ro-RO"/>
        </w:rPr>
        <w:t>î</w:t>
      </w:r>
      <w:r w:rsidRPr="00E21CB9">
        <w:rPr>
          <w:rFonts w:ascii="Times New Roman" w:hAnsi="Times New Roman"/>
          <w:i/>
          <w:iCs/>
          <w:noProof/>
          <w:sz w:val="24"/>
          <w:szCs w:val="24"/>
          <w:lang w:val="ro-RO"/>
        </w:rPr>
        <w:t>n care s-a pronun</w:t>
      </w:r>
      <w:r w:rsidR="004D79EE" w:rsidRPr="00E21CB9">
        <w:rPr>
          <w:rFonts w:ascii="Times New Roman" w:hAnsi="Times New Roman"/>
          <w:i/>
          <w:iCs/>
          <w:noProof/>
          <w:sz w:val="24"/>
          <w:szCs w:val="24"/>
          <w:lang w:val="ro-RO"/>
        </w:rPr>
        <w:t>ț</w:t>
      </w:r>
      <w:r w:rsidRPr="00E21CB9">
        <w:rPr>
          <w:rFonts w:ascii="Times New Roman" w:hAnsi="Times New Roman"/>
          <w:i/>
          <w:iCs/>
          <w:noProof/>
          <w:sz w:val="24"/>
          <w:szCs w:val="24"/>
          <w:lang w:val="ro-RO"/>
        </w:rPr>
        <w:t>at Hot</w:t>
      </w:r>
      <w:r w:rsidR="004D79EE"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r</w:t>
      </w:r>
      <w:r w:rsidR="004D79EE" w:rsidRPr="00E21CB9">
        <w:rPr>
          <w:rFonts w:ascii="Times New Roman" w:hAnsi="Times New Roman"/>
          <w:i/>
          <w:iCs/>
          <w:noProof/>
          <w:sz w:val="24"/>
          <w:szCs w:val="24"/>
          <w:lang w:val="ro-RO"/>
        </w:rPr>
        <w:t>â</w:t>
      </w:r>
      <w:r w:rsidRPr="00E21CB9">
        <w:rPr>
          <w:rFonts w:ascii="Times New Roman" w:hAnsi="Times New Roman"/>
          <w:i/>
          <w:iCs/>
          <w:noProof/>
          <w:sz w:val="24"/>
          <w:szCs w:val="24"/>
          <w:lang w:val="ro-RO"/>
        </w:rPr>
        <w:t xml:space="preserve">rea din 5 decembrie 2017, M. A. S. si M. B. (C 42/17, EU:C:2017:936), </w:t>
      </w:r>
      <w:r w:rsidR="004D79EE" w:rsidRPr="00E21CB9">
        <w:rPr>
          <w:rFonts w:ascii="Times New Roman" w:hAnsi="Times New Roman"/>
          <w:i/>
          <w:iCs/>
          <w:noProof/>
          <w:sz w:val="24"/>
          <w:szCs w:val="24"/>
          <w:lang w:val="ro-RO"/>
        </w:rPr>
        <w:t>î</w:t>
      </w:r>
      <w:r w:rsidRPr="00E21CB9">
        <w:rPr>
          <w:rFonts w:ascii="Times New Roman" w:hAnsi="Times New Roman"/>
          <w:i/>
          <w:iCs/>
          <w:noProof/>
          <w:sz w:val="24"/>
          <w:szCs w:val="24"/>
          <w:lang w:val="ro-RO"/>
        </w:rPr>
        <w:t>n care Curtea a statuat c</w:t>
      </w:r>
      <w:r w:rsidR="004D79EE"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dac</w:t>
      </w:r>
      <w:r w:rsidR="004D79EE"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xml:space="preserve"> instan</w:t>
      </w:r>
      <w:r w:rsidR="004D79EE" w:rsidRPr="00E21CB9">
        <w:rPr>
          <w:rFonts w:ascii="Times New Roman" w:hAnsi="Times New Roman"/>
          <w:i/>
          <w:iCs/>
          <w:noProof/>
          <w:sz w:val="24"/>
          <w:szCs w:val="24"/>
          <w:lang w:val="ro-RO"/>
        </w:rPr>
        <w:t>ț</w:t>
      </w:r>
      <w:r w:rsidRPr="00E21CB9">
        <w:rPr>
          <w:rFonts w:ascii="Times New Roman" w:hAnsi="Times New Roman"/>
          <w:i/>
          <w:iCs/>
          <w:noProof/>
          <w:sz w:val="24"/>
          <w:szCs w:val="24"/>
          <w:lang w:val="ro-RO"/>
        </w:rPr>
        <w:t>a na</w:t>
      </w:r>
      <w:r w:rsidR="004D79EE" w:rsidRPr="00E21CB9">
        <w:rPr>
          <w:rFonts w:ascii="Times New Roman" w:hAnsi="Times New Roman"/>
          <w:i/>
          <w:iCs/>
          <w:noProof/>
          <w:sz w:val="24"/>
          <w:szCs w:val="24"/>
          <w:lang w:val="ro-RO"/>
        </w:rPr>
        <w:t>ț</w:t>
      </w:r>
      <w:r w:rsidRPr="00E21CB9">
        <w:rPr>
          <w:rFonts w:ascii="Times New Roman" w:hAnsi="Times New Roman"/>
          <w:i/>
          <w:iCs/>
          <w:noProof/>
          <w:sz w:val="24"/>
          <w:szCs w:val="24"/>
          <w:lang w:val="ro-RO"/>
        </w:rPr>
        <w:t>ional</w:t>
      </w:r>
      <w:r w:rsidR="004D79EE"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xml:space="preserve"> ajunge s</w:t>
      </w:r>
      <w:r w:rsidR="004D79EE"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xml:space="preserve"> considere c</w:t>
      </w:r>
      <w:r w:rsidR="004D79EE"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xml:space="preserve"> obliga</w:t>
      </w:r>
      <w:r w:rsidR="004D79EE" w:rsidRPr="00E21CB9">
        <w:rPr>
          <w:rFonts w:ascii="Times New Roman" w:hAnsi="Times New Roman"/>
          <w:i/>
          <w:iCs/>
          <w:noProof/>
          <w:sz w:val="24"/>
          <w:szCs w:val="24"/>
          <w:lang w:val="ro-RO"/>
        </w:rPr>
        <w:t>ț</w:t>
      </w:r>
      <w:r w:rsidRPr="00E21CB9">
        <w:rPr>
          <w:rFonts w:ascii="Times New Roman" w:hAnsi="Times New Roman"/>
          <w:i/>
          <w:iCs/>
          <w:noProof/>
          <w:sz w:val="24"/>
          <w:szCs w:val="24"/>
          <w:lang w:val="ro-RO"/>
        </w:rPr>
        <w:t>ia de a l</w:t>
      </w:r>
      <w:r w:rsidR="004D79EE"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sa neaplicate dispozi</w:t>
      </w:r>
      <w:r w:rsidR="004D79EE" w:rsidRPr="00E21CB9">
        <w:rPr>
          <w:rFonts w:ascii="Times New Roman" w:hAnsi="Times New Roman"/>
          <w:i/>
          <w:iCs/>
          <w:noProof/>
          <w:sz w:val="24"/>
          <w:szCs w:val="24"/>
          <w:lang w:val="ro-RO"/>
        </w:rPr>
        <w:t>ț</w:t>
      </w:r>
      <w:r w:rsidRPr="00E21CB9">
        <w:rPr>
          <w:rFonts w:ascii="Times New Roman" w:hAnsi="Times New Roman"/>
          <w:i/>
          <w:iCs/>
          <w:noProof/>
          <w:sz w:val="24"/>
          <w:szCs w:val="24"/>
          <w:lang w:val="ro-RO"/>
        </w:rPr>
        <w:t>iile nationale in cauz</w:t>
      </w:r>
      <w:r w:rsidR="004D79EE"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xml:space="preserve"> se love</w:t>
      </w:r>
      <w:r w:rsidR="004D79EE" w:rsidRPr="00E21CB9">
        <w:rPr>
          <w:rFonts w:ascii="Times New Roman" w:hAnsi="Times New Roman"/>
          <w:i/>
          <w:iCs/>
          <w:noProof/>
          <w:sz w:val="24"/>
          <w:szCs w:val="24"/>
          <w:lang w:val="ro-RO"/>
        </w:rPr>
        <w:t>ș</w:t>
      </w:r>
      <w:r w:rsidRPr="00E21CB9">
        <w:rPr>
          <w:rFonts w:ascii="Times New Roman" w:hAnsi="Times New Roman"/>
          <w:i/>
          <w:iCs/>
          <w:noProof/>
          <w:sz w:val="24"/>
          <w:szCs w:val="24"/>
          <w:lang w:val="ro-RO"/>
        </w:rPr>
        <w:t>te de principiul legalit</w:t>
      </w:r>
      <w:r w:rsidR="004D79EE" w:rsidRPr="00E21CB9">
        <w:rPr>
          <w:rFonts w:ascii="Times New Roman" w:hAnsi="Times New Roman"/>
          <w:i/>
          <w:iCs/>
          <w:noProof/>
          <w:sz w:val="24"/>
          <w:szCs w:val="24"/>
          <w:lang w:val="ro-RO"/>
        </w:rPr>
        <w:t>ății</w:t>
      </w:r>
      <w:r w:rsidRPr="00E21CB9">
        <w:rPr>
          <w:rFonts w:ascii="Times New Roman" w:hAnsi="Times New Roman"/>
          <w:i/>
          <w:iCs/>
          <w:noProof/>
          <w:sz w:val="24"/>
          <w:szCs w:val="24"/>
          <w:lang w:val="ro-RO"/>
        </w:rPr>
        <w:t xml:space="preserve"> infrac</w:t>
      </w:r>
      <w:r w:rsidR="004D79EE" w:rsidRPr="00E21CB9">
        <w:rPr>
          <w:rFonts w:ascii="Times New Roman" w:hAnsi="Times New Roman"/>
          <w:i/>
          <w:iCs/>
          <w:noProof/>
          <w:sz w:val="24"/>
          <w:szCs w:val="24"/>
          <w:lang w:val="ro-RO"/>
        </w:rPr>
        <w:t>ț</w:t>
      </w:r>
      <w:r w:rsidRPr="00E21CB9">
        <w:rPr>
          <w:rFonts w:ascii="Times New Roman" w:hAnsi="Times New Roman"/>
          <w:i/>
          <w:iCs/>
          <w:noProof/>
          <w:sz w:val="24"/>
          <w:szCs w:val="24"/>
          <w:lang w:val="ro-RO"/>
        </w:rPr>
        <w:t xml:space="preserve">iunilor </w:t>
      </w:r>
      <w:r w:rsidR="004D79EE" w:rsidRPr="00E21CB9">
        <w:rPr>
          <w:rFonts w:ascii="Times New Roman" w:hAnsi="Times New Roman"/>
          <w:i/>
          <w:iCs/>
          <w:noProof/>
          <w:sz w:val="24"/>
          <w:szCs w:val="24"/>
          <w:lang w:val="ro-RO"/>
        </w:rPr>
        <w:t>ș</w:t>
      </w:r>
      <w:r w:rsidRPr="00E21CB9">
        <w:rPr>
          <w:rFonts w:ascii="Times New Roman" w:hAnsi="Times New Roman"/>
          <w:i/>
          <w:iCs/>
          <w:noProof/>
          <w:sz w:val="24"/>
          <w:szCs w:val="24"/>
          <w:lang w:val="ro-RO"/>
        </w:rPr>
        <w:t>i pedepselor, astfel cum este consacrat la articolul 49 din cart</w:t>
      </w:r>
      <w:r w:rsidR="004D79EE"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xml:space="preserve">, ea nu este </w:t>
      </w:r>
      <w:r w:rsidR="004D79EE" w:rsidRPr="00E21CB9">
        <w:rPr>
          <w:rFonts w:ascii="Times New Roman" w:hAnsi="Times New Roman"/>
          <w:i/>
          <w:iCs/>
          <w:noProof/>
          <w:sz w:val="24"/>
          <w:szCs w:val="24"/>
          <w:lang w:val="ro-RO"/>
        </w:rPr>
        <w:t>ț</w:t>
      </w:r>
      <w:r w:rsidRPr="00E21CB9">
        <w:rPr>
          <w:rFonts w:ascii="Times New Roman" w:hAnsi="Times New Roman"/>
          <w:i/>
          <w:iCs/>
          <w:noProof/>
          <w:sz w:val="24"/>
          <w:szCs w:val="24"/>
          <w:lang w:val="ro-RO"/>
        </w:rPr>
        <w:t>inut</w:t>
      </w:r>
      <w:r w:rsidR="004D79EE"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xml:space="preserve"> sa se conformeze acestei obliga</w:t>
      </w:r>
      <w:r w:rsidR="004D79EE" w:rsidRPr="00E21CB9">
        <w:rPr>
          <w:rFonts w:ascii="Times New Roman" w:hAnsi="Times New Roman"/>
          <w:i/>
          <w:iCs/>
          <w:noProof/>
          <w:sz w:val="24"/>
          <w:szCs w:val="24"/>
          <w:lang w:val="ro-RO"/>
        </w:rPr>
        <w:t>ț</w:t>
      </w:r>
      <w:r w:rsidRPr="00E21CB9">
        <w:rPr>
          <w:rFonts w:ascii="Times New Roman" w:hAnsi="Times New Roman"/>
          <w:i/>
          <w:iCs/>
          <w:noProof/>
          <w:sz w:val="24"/>
          <w:szCs w:val="24"/>
          <w:lang w:val="ro-RO"/>
        </w:rPr>
        <w:t xml:space="preserve">ii (a se vedea </w:t>
      </w:r>
      <w:r w:rsidR="004D79EE" w:rsidRPr="00E21CB9">
        <w:rPr>
          <w:rFonts w:ascii="Times New Roman" w:hAnsi="Times New Roman"/>
          <w:i/>
          <w:iCs/>
          <w:noProof/>
          <w:sz w:val="24"/>
          <w:szCs w:val="24"/>
          <w:lang w:val="ro-RO"/>
        </w:rPr>
        <w:t>î</w:t>
      </w:r>
      <w:r w:rsidRPr="00E21CB9">
        <w:rPr>
          <w:rFonts w:ascii="Times New Roman" w:hAnsi="Times New Roman"/>
          <w:i/>
          <w:iCs/>
          <w:noProof/>
          <w:sz w:val="24"/>
          <w:szCs w:val="24"/>
          <w:lang w:val="ro-RO"/>
        </w:rPr>
        <w:t>n acest sens Hot</w:t>
      </w:r>
      <w:r w:rsidR="004D79EE"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r</w:t>
      </w:r>
      <w:r w:rsidR="004D79EE" w:rsidRPr="00E21CB9">
        <w:rPr>
          <w:rFonts w:ascii="Times New Roman" w:hAnsi="Times New Roman"/>
          <w:i/>
          <w:iCs/>
          <w:noProof/>
          <w:sz w:val="24"/>
          <w:szCs w:val="24"/>
          <w:lang w:val="ro-RO"/>
        </w:rPr>
        <w:t>â</w:t>
      </w:r>
      <w:r w:rsidRPr="00E21CB9">
        <w:rPr>
          <w:rFonts w:ascii="Times New Roman" w:hAnsi="Times New Roman"/>
          <w:i/>
          <w:iCs/>
          <w:noProof/>
          <w:sz w:val="24"/>
          <w:szCs w:val="24"/>
          <w:lang w:val="ro-RO"/>
        </w:rPr>
        <w:t xml:space="preserve">rea din 5 decembrie 2017, M. A. S. si M. B., C 42/17, EU:C:2017:936, punctul 61). </w:t>
      </w:r>
      <w:r w:rsidR="004D79EE" w:rsidRPr="00E21CB9">
        <w:rPr>
          <w:rFonts w:ascii="Times New Roman" w:hAnsi="Times New Roman"/>
          <w:i/>
          <w:iCs/>
          <w:noProof/>
          <w:sz w:val="24"/>
          <w:szCs w:val="24"/>
          <w:lang w:val="ro-RO"/>
        </w:rPr>
        <w:t>î</w:t>
      </w:r>
      <w:r w:rsidRPr="00E21CB9">
        <w:rPr>
          <w:rFonts w:ascii="Times New Roman" w:hAnsi="Times New Roman"/>
          <w:i/>
          <w:iCs/>
          <w:noProof/>
          <w:sz w:val="24"/>
          <w:szCs w:val="24"/>
          <w:lang w:val="ro-RO"/>
        </w:rPr>
        <w:t>n schimb, cerin</w:t>
      </w:r>
      <w:r w:rsidR="004D79EE" w:rsidRPr="00E21CB9">
        <w:rPr>
          <w:rFonts w:ascii="Times New Roman" w:hAnsi="Times New Roman"/>
          <w:i/>
          <w:iCs/>
          <w:noProof/>
          <w:sz w:val="24"/>
          <w:szCs w:val="24"/>
          <w:lang w:val="ro-RO"/>
        </w:rPr>
        <w:t>ț</w:t>
      </w:r>
      <w:r w:rsidRPr="00E21CB9">
        <w:rPr>
          <w:rFonts w:ascii="Times New Roman" w:hAnsi="Times New Roman"/>
          <w:i/>
          <w:iCs/>
          <w:noProof/>
          <w:sz w:val="24"/>
          <w:szCs w:val="24"/>
          <w:lang w:val="ro-RO"/>
        </w:rPr>
        <w:t>ele care decurg din articolul 47 al doilea paragraf prima tez</w:t>
      </w:r>
      <w:r w:rsidR="004D79EE"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xml:space="preserve"> din cart</w:t>
      </w:r>
      <w:r w:rsidR="004D79EE"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xml:space="preserve"> nu impiedic</w:t>
      </w:r>
      <w:r w:rsidR="004D79EE"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xml:space="preserve"> neaplicarea jurispruden</w:t>
      </w:r>
      <w:r w:rsidR="004D79EE" w:rsidRPr="00E21CB9">
        <w:rPr>
          <w:rFonts w:ascii="Times New Roman" w:hAnsi="Times New Roman"/>
          <w:i/>
          <w:iCs/>
          <w:noProof/>
          <w:sz w:val="24"/>
          <w:szCs w:val="24"/>
          <w:lang w:val="ro-RO"/>
        </w:rPr>
        <w:t>ț</w:t>
      </w:r>
      <w:r w:rsidRPr="00E21CB9">
        <w:rPr>
          <w:rFonts w:ascii="Times New Roman" w:hAnsi="Times New Roman"/>
          <w:i/>
          <w:iCs/>
          <w:noProof/>
          <w:sz w:val="24"/>
          <w:szCs w:val="24"/>
          <w:lang w:val="ro-RO"/>
        </w:rPr>
        <w:t xml:space="preserve">ei rezultate din Deciziile nr. 685/2018 si nr. 417/2019 </w:t>
      </w:r>
      <w:r w:rsidR="004D79EE" w:rsidRPr="00E21CB9">
        <w:rPr>
          <w:rFonts w:ascii="Times New Roman" w:hAnsi="Times New Roman"/>
          <w:i/>
          <w:iCs/>
          <w:noProof/>
          <w:sz w:val="24"/>
          <w:szCs w:val="24"/>
          <w:lang w:val="ro-RO"/>
        </w:rPr>
        <w:t>î</w:t>
      </w:r>
      <w:r w:rsidRPr="00E21CB9">
        <w:rPr>
          <w:rFonts w:ascii="Times New Roman" w:hAnsi="Times New Roman"/>
          <w:i/>
          <w:iCs/>
          <w:noProof/>
          <w:sz w:val="24"/>
          <w:szCs w:val="24"/>
          <w:lang w:val="ro-RO"/>
        </w:rPr>
        <w:t>n cauzele C 357/19, C 840/19 si C 811/19.</w:t>
      </w:r>
    </w:p>
    <w:p w14:paraId="155EECE2" w14:textId="7CFFA71F" w:rsidR="00A66CC8" w:rsidRPr="00E21CB9" w:rsidRDefault="00D7088F"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Î</w:t>
      </w:r>
      <w:r w:rsidR="00A66CC8" w:rsidRPr="00E21CB9">
        <w:rPr>
          <w:rFonts w:ascii="Times New Roman" w:hAnsi="Times New Roman"/>
          <w:noProof/>
          <w:sz w:val="24"/>
          <w:szCs w:val="24"/>
          <w:lang w:val="ro-RO"/>
        </w:rPr>
        <w:t xml:space="preserve">n alte cuvinte, </w:t>
      </w:r>
      <w:r w:rsidR="004D79EE" w:rsidRPr="00E21CB9">
        <w:rPr>
          <w:rFonts w:ascii="Times New Roman" w:hAnsi="Times New Roman"/>
          <w:noProof/>
          <w:sz w:val="24"/>
          <w:szCs w:val="24"/>
          <w:lang w:val="ro-RO"/>
        </w:rPr>
        <w:t>î</w:t>
      </w:r>
      <w:r w:rsidR="00A66CC8" w:rsidRPr="00E21CB9">
        <w:rPr>
          <w:rFonts w:ascii="Times New Roman" w:hAnsi="Times New Roman"/>
          <w:noProof/>
          <w:sz w:val="24"/>
          <w:szCs w:val="24"/>
          <w:lang w:val="ro-RO"/>
        </w:rPr>
        <w:t>nl</w:t>
      </w:r>
      <w:r w:rsidR="004D79EE" w:rsidRPr="00E21CB9">
        <w:rPr>
          <w:rFonts w:ascii="Times New Roman" w:hAnsi="Times New Roman"/>
          <w:noProof/>
          <w:sz w:val="24"/>
          <w:szCs w:val="24"/>
          <w:lang w:val="ro-RO"/>
        </w:rPr>
        <w:t>ă</w:t>
      </w:r>
      <w:r w:rsidR="00A66CC8" w:rsidRPr="00E21CB9">
        <w:rPr>
          <w:rFonts w:ascii="Times New Roman" w:hAnsi="Times New Roman"/>
          <w:noProof/>
          <w:sz w:val="24"/>
          <w:szCs w:val="24"/>
          <w:lang w:val="ro-RO"/>
        </w:rPr>
        <w:t>turarea de la aplicare a unor norme sau decizii na</w:t>
      </w:r>
      <w:r w:rsidR="004D79EE" w:rsidRPr="00E21CB9">
        <w:rPr>
          <w:rFonts w:ascii="Times New Roman" w:hAnsi="Times New Roman"/>
          <w:noProof/>
          <w:sz w:val="24"/>
          <w:szCs w:val="24"/>
          <w:lang w:val="ro-RO"/>
        </w:rPr>
        <w:t>ț</w:t>
      </w:r>
      <w:r w:rsidR="00A66CC8" w:rsidRPr="00E21CB9">
        <w:rPr>
          <w:rFonts w:ascii="Times New Roman" w:hAnsi="Times New Roman"/>
          <w:noProof/>
          <w:sz w:val="24"/>
          <w:szCs w:val="24"/>
          <w:lang w:val="ro-RO"/>
        </w:rPr>
        <w:t>ionale pentru asigurarea efectivit</w:t>
      </w:r>
      <w:r w:rsidR="004D79EE" w:rsidRPr="00E21CB9">
        <w:rPr>
          <w:rFonts w:ascii="Times New Roman" w:hAnsi="Times New Roman"/>
          <w:noProof/>
          <w:sz w:val="24"/>
          <w:szCs w:val="24"/>
          <w:lang w:val="ro-RO"/>
        </w:rPr>
        <w:t>ății</w:t>
      </w:r>
      <w:r w:rsidR="00A66CC8" w:rsidRPr="00E21CB9">
        <w:rPr>
          <w:rFonts w:ascii="Times New Roman" w:hAnsi="Times New Roman"/>
          <w:noProof/>
          <w:sz w:val="24"/>
          <w:szCs w:val="24"/>
          <w:lang w:val="ro-RO"/>
        </w:rPr>
        <w:t xml:space="preserve"> dreptului UE nu ar fi posibilă </w:t>
      </w:r>
      <w:r w:rsidRPr="00E21CB9">
        <w:rPr>
          <w:rFonts w:ascii="Times New Roman" w:hAnsi="Times New Roman"/>
          <w:noProof/>
          <w:sz w:val="24"/>
          <w:szCs w:val="24"/>
          <w:lang w:val="ro-RO"/>
        </w:rPr>
        <w:t>î</w:t>
      </w:r>
      <w:r w:rsidR="00A66CC8" w:rsidRPr="00E21CB9">
        <w:rPr>
          <w:rFonts w:ascii="Times New Roman" w:hAnsi="Times New Roman"/>
          <w:noProof/>
          <w:sz w:val="24"/>
          <w:szCs w:val="24"/>
          <w:lang w:val="ro-RO"/>
        </w:rPr>
        <w:t xml:space="preserve">n cazul </w:t>
      </w:r>
      <w:r w:rsidR="004D79EE" w:rsidRPr="00E21CB9">
        <w:rPr>
          <w:rFonts w:ascii="Times New Roman" w:hAnsi="Times New Roman"/>
          <w:noProof/>
          <w:sz w:val="24"/>
          <w:szCs w:val="24"/>
          <w:lang w:val="ro-RO"/>
        </w:rPr>
        <w:t>încălcării</w:t>
      </w:r>
      <w:r w:rsidR="00A66CC8" w:rsidRPr="00E21CB9">
        <w:rPr>
          <w:rFonts w:ascii="Times New Roman" w:hAnsi="Times New Roman"/>
          <w:noProof/>
          <w:sz w:val="24"/>
          <w:szCs w:val="24"/>
          <w:lang w:val="ro-RO"/>
        </w:rPr>
        <w:t xml:space="preserve"> art</w:t>
      </w:r>
      <w:r w:rsidR="00173DB2" w:rsidRPr="00E21CB9">
        <w:rPr>
          <w:rFonts w:ascii="Times New Roman" w:hAnsi="Times New Roman"/>
          <w:noProof/>
          <w:sz w:val="24"/>
          <w:szCs w:val="24"/>
          <w:lang w:val="ro-RO"/>
        </w:rPr>
        <w:t>icolului</w:t>
      </w:r>
      <w:r w:rsidR="00A66CC8" w:rsidRPr="00E21CB9">
        <w:rPr>
          <w:rFonts w:ascii="Times New Roman" w:hAnsi="Times New Roman"/>
          <w:noProof/>
          <w:sz w:val="24"/>
          <w:szCs w:val="24"/>
          <w:lang w:val="ro-RO"/>
        </w:rPr>
        <w:t xml:space="preserve"> 49 din </w:t>
      </w:r>
      <w:r w:rsidR="00ED2096" w:rsidRPr="00E21CB9">
        <w:rPr>
          <w:rFonts w:ascii="Times New Roman" w:hAnsi="Times New Roman"/>
          <w:noProof/>
          <w:sz w:val="24"/>
          <w:szCs w:val="24"/>
          <w:lang w:val="ro-RO"/>
        </w:rPr>
        <w:t>c</w:t>
      </w:r>
      <w:r w:rsidR="00A66CC8" w:rsidRPr="00E21CB9">
        <w:rPr>
          <w:rFonts w:ascii="Times New Roman" w:hAnsi="Times New Roman"/>
          <w:noProof/>
          <w:sz w:val="24"/>
          <w:szCs w:val="24"/>
          <w:lang w:val="ro-RO"/>
        </w:rPr>
        <w:t>art</w:t>
      </w:r>
      <w:r w:rsidR="00ED2096" w:rsidRPr="00E21CB9">
        <w:rPr>
          <w:rFonts w:ascii="Times New Roman" w:hAnsi="Times New Roman"/>
          <w:noProof/>
          <w:sz w:val="24"/>
          <w:szCs w:val="24"/>
          <w:lang w:val="ro-RO"/>
        </w:rPr>
        <w:t>ă</w:t>
      </w:r>
      <w:r w:rsidR="00A66CC8" w:rsidRPr="00E21CB9">
        <w:rPr>
          <w:rFonts w:ascii="Times New Roman" w:hAnsi="Times New Roman"/>
          <w:noProof/>
          <w:sz w:val="24"/>
          <w:szCs w:val="24"/>
          <w:lang w:val="ro-RO"/>
        </w:rPr>
        <w:t xml:space="preserve"> ce reglementeaz</w:t>
      </w:r>
      <w:r w:rsidR="004D79EE" w:rsidRPr="00E21CB9">
        <w:rPr>
          <w:rFonts w:ascii="Times New Roman" w:hAnsi="Times New Roman"/>
          <w:noProof/>
          <w:sz w:val="24"/>
          <w:szCs w:val="24"/>
          <w:lang w:val="ro-RO"/>
        </w:rPr>
        <w:t>ă</w:t>
      </w:r>
      <w:r w:rsidR="00A66CC8" w:rsidRPr="00E21CB9">
        <w:rPr>
          <w:rFonts w:ascii="Times New Roman" w:hAnsi="Times New Roman"/>
          <w:noProof/>
          <w:sz w:val="24"/>
          <w:szCs w:val="24"/>
          <w:lang w:val="ro-RO"/>
        </w:rPr>
        <w:t xml:space="preserve"> principiul legalit</w:t>
      </w:r>
      <w:r w:rsidR="004D79EE" w:rsidRPr="00E21CB9">
        <w:rPr>
          <w:rFonts w:ascii="Times New Roman" w:hAnsi="Times New Roman"/>
          <w:noProof/>
          <w:sz w:val="24"/>
          <w:szCs w:val="24"/>
          <w:lang w:val="ro-RO"/>
        </w:rPr>
        <w:t>ății</w:t>
      </w:r>
      <w:r w:rsidR="00A66CC8" w:rsidRPr="00E21CB9">
        <w:rPr>
          <w:rFonts w:ascii="Times New Roman" w:hAnsi="Times New Roman"/>
          <w:noProof/>
          <w:sz w:val="24"/>
          <w:szCs w:val="24"/>
          <w:lang w:val="ro-RO"/>
        </w:rPr>
        <w:t xml:space="preserve"> infrac</w:t>
      </w:r>
      <w:r w:rsidR="004D79EE" w:rsidRPr="00E21CB9">
        <w:rPr>
          <w:rFonts w:ascii="Times New Roman" w:hAnsi="Times New Roman"/>
          <w:noProof/>
          <w:sz w:val="24"/>
          <w:szCs w:val="24"/>
          <w:lang w:val="ro-RO"/>
        </w:rPr>
        <w:t>ț</w:t>
      </w:r>
      <w:r w:rsidR="00A66CC8" w:rsidRPr="00E21CB9">
        <w:rPr>
          <w:rFonts w:ascii="Times New Roman" w:hAnsi="Times New Roman"/>
          <w:noProof/>
          <w:sz w:val="24"/>
          <w:szCs w:val="24"/>
          <w:lang w:val="ro-RO"/>
        </w:rPr>
        <w:t xml:space="preserve">iunilor si pedepselor, </w:t>
      </w:r>
      <w:r w:rsidR="004D79EE" w:rsidRPr="00E21CB9">
        <w:rPr>
          <w:rFonts w:ascii="Times New Roman" w:hAnsi="Times New Roman"/>
          <w:noProof/>
          <w:sz w:val="24"/>
          <w:szCs w:val="24"/>
          <w:lang w:val="ro-RO"/>
        </w:rPr>
        <w:t>î</w:t>
      </w:r>
      <w:r w:rsidR="00A66CC8" w:rsidRPr="00E21CB9">
        <w:rPr>
          <w:rFonts w:ascii="Times New Roman" w:hAnsi="Times New Roman"/>
          <w:noProof/>
          <w:sz w:val="24"/>
          <w:szCs w:val="24"/>
          <w:lang w:val="ro-RO"/>
        </w:rPr>
        <w:t>n nicio situa</w:t>
      </w:r>
      <w:r w:rsidR="004D79EE" w:rsidRPr="00E21CB9">
        <w:rPr>
          <w:rFonts w:ascii="Times New Roman" w:hAnsi="Times New Roman"/>
          <w:noProof/>
          <w:sz w:val="24"/>
          <w:szCs w:val="24"/>
          <w:lang w:val="ro-RO"/>
        </w:rPr>
        <w:t>ț</w:t>
      </w:r>
      <w:r w:rsidR="00A66CC8" w:rsidRPr="00E21CB9">
        <w:rPr>
          <w:rFonts w:ascii="Times New Roman" w:hAnsi="Times New Roman"/>
          <w:noProof/>
          <w:sz w:val="24"/>
          <w:szCs w:val="24"/>
          <w:lang w:val="ro-RO"/>
        </w:rPr>
        <w:t>ie.</w:t>
      </w:r>
    </w:p>
    <w:p w14:paraId="75B24555" w14:textId="785BD029" w:rsidR="00A66CC8" w:rsidRPr="00E21CB9" w:rsidRDefault="00A66CC8"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Acest considerent este indisolubil legat de ra</w:t>
      </w:r>
      <w:r w:rsidR="004D79EE" w:rsidRPr="00E21CB9">
        <w:rPr>
          <w:rFonts w:ascii="Times New Roman" w:hAnsi="Times New Roman"/>
          <w:noProof/>
          <w:sz w:val="24"/>
          <w:szCs w:val="24"/>
          <w:lang w:val="ro-RO"/>
        </w:rPr>
        <w:t>ț</w:t>
      </w:r>
      <w:r w:rsidRPr="00E21CB9">
        <w:rPr>
          <w:rFonts w:ascii="Times New Roman" w:hAnsi="Times New Roman"/>
          <w:noProof/>
          <w:sz w:val="24"/>
          <w:szCs w:val="24"/>
          <w:lang w:val="ro-RO"/>
        </w:rPr>
        <w:t>ionamentul Cur</w:t>
      </w:r>
      <w:r w:rsidR="004D79EE" w:rsidRPr="00E21CB9">
        <w:rPr>
          <w:rFonts w:ascii="Times New Roman" w:hAnsi="Times New Roman"/>
          <w:noProof/>
          <w:sz w:val="24"/>
          <w:szCs w:val="24"/>
          <w:lang w:val="ro-RO"/>
        </w:rPr>
        <w:t>ț</w:t>
      </w:r>
      <w:r w:rsidRPr="00E21CB9">
        <w:rPr>
          <w:rFonts w:ascii="Times New Roman" w:hAnsi="Times New Roman"/>
          <w:noProof/>
          <w:sz w:val="24"/>
          <w:szCs w:val="24"/>
          <w:lang w:val="ro-RO"/>
        </w:rPr>
        <w:t xml:space="preserve">ii </w:t>
      </w:r>
      <w:r w:rsidR="00D7088F" w:rsidRPr="00E21CB9">
        <w:rPr>
          <w:rFonts w:ascii="Times New Roman" w:hAnsi="Times New Roman"/>
          <w:noProof/>
          <w:sz w:val="24"/>
          <w:szCs w:val="24"/>
          <w:lang w:val="ro-RO"/>
        </w:rPr>
        <w:t xml:space="preserve">de Justiție </w:t>
      </w:r>
      <w:r w:rsidRPr="00E21CB9">
        <w:rPr>
          <w:rFonts w:ascii="Times New Roman" w:hAnsi="Times New Roman"/>
          <w:noProof/>
          <w:sz w:val="24"/>
          <w:szCs w:val="24"/>
          <w:lang w:val="ro-RO"/>
        </w:rPr>
        <w:t>din</w:t>
      </w:r>
      <w:r w:rsidR="00D7088F" w:rsidRPr="00E21CB9">
        <w:rPr>
          <w:rFonts w:ascii="Times New Roman" w:hAnsi="Times New Roman"/>
          <w:noProof/>
          <w:sz w:val="24"/>
          <w:szCs w:val="24"/>
          <w:lang w:val="ro-RO"/>
        </w:rPr>
        <w:t xml:space="preserve"> cauza</w:t>
      </w:r>
      <w:r w:rsidRPr="00E21CB9">
        <w:rPr>
          <w:rFonts w:ascii="Times New Roman" w:hAnsi="Times New Roman"/>
          <w:noProof/>
          <w:sz w:val="24"/>
          <w:szCs w:val="24"/>
          <w:lang w:val="ro-RO"/>
        </w:rPr>
        <w:t xml:space="preserve"> </w:t>
      </w:r>
      <w:r w:rsidRPr="00E21CB9">
        <w:rPr>
          <w:rFonts w:ascii="Times New Roman" w:hAnsi="Times New Roman"/>
          <w:i/>
          <w:iCs/>
          <w:noProof/>
          <w:sz w:val="24"/>
          <w:szCs w:val="24"/>
          <w:lang w:val="ro-RO"/>
        </w:rPr>
        <w:t>Taricco II</w:t>
      </w:r>
      <w:r w:rsidRPr="00E21CB9">
        <w:rPr>
          <w:rFonts w:ascii="Times New Roman" w:hAnsi="Times New Roman"/>
          <w:noProof/>
          <w:sz w:val="24"/>
          <w:szCs w:val="24"/>
          <w:lang w:val="ro-RO"/>
        </w:rPr>
        <w:t>:</w:t>
      </w:r>
    </w:p>
    <w:p w14:paraId="45443A1B" w14:textId="02BDD421" w:rsidR="00A66CC8" w:rsidRPr="00E21CB9" w:rsidRDefault="00A66CC8" w:rsidP="00F10A47">
      <w:pPr>
        <w:spacing w:after="200" w:line="276" w:lineRule="auto"/>
        <w:jc w:val="both"/>
        <w:rPr>
          <w:rFonts w:ascii="Times New Roman" w:hAnsi="Times New Roman"/>
          <w:i/>
          <w:iCs/>
          <w:noProof/>
          <w:sz w:val="24"/>
          <w:szCs w:val="24"/>
          <w:lang w:val="ro-RO"/>
        </w:rPr>
      </w:pPr>
      <w:r w:rsidRPr="00E21CB9">
        <w:rPr>
          <w:rFonts w:ascii="Times New Roman" w:hAnsi="Times New Roman"/>
          <w:i/>
          <w:iCs/>
          <w:noProof/>
          <w:sz w:val="24"/>
          <w:szCs w:val="24"/>
          <w:lang w:val="ro-RO"/>
        </w:rPr>
        <w:t xml:space="preserve">47. </w:t>
      </w:r>
      <w:r w:rsidR="00695A7A" w:rsidRPr="00E21CB9">
        <w:rPr>
          <w:rFonts w:ascii="Times New Roman" w:hAnsi="Times New Roman"/>
          <w:i/>
          <w:iCs/>
          <w:noProof/>
          <w:sz w:val="24"/>
          <w:szCs w:val="24"/>
          <w:lang w:val="ro-RO"/>
        </w:rPr>
        <w:t>Î</w:t>
      </w:r>
      <w:r w:rsidRPr="00E21CB9">
        <w:rPr>
          <w:rFonts w:ascii="Times New Roman" w:hAnsi="Times New Roman"/>
          <w:i/>
          <w:iCs/>
          <w:noProof/>
          <w:sz w:val="24"/>
          <w:szCs w:val="24"/>
          <w:lang w:val="ro-RO"/>
        </w:rPr>
        <w:t xml:space="preserve">n aceasta </w:t>
      </w:r>
      <w:r w:rsidR="00317C11" w:rsidRPr="00E21CB9">
        <w:rPr>
          <w:rFonts w:ascii="Times New Roman" w:hAnsi="Times New Roman"/>
          <w:i/>
          <w:iCs/>
          <w:noProof/>
          <w:sz w:val="24"/>
          <w:szCs w:val="24"/>
          <w:lang w:val="ro-RO"/>
        </w:rPr>
        <w:t>privință</w:t>
      </w:r>
      <w:r w:rsidRPr="00E21CB9">
        <w:rPr>
          <w:rFonts w:ascii="Times New Roman" w:hAnsi="Times New Roman"/>
          <w:i/>
          <w:iCs/>
          <w:noProof/>
          <w:sz w:val="24"/>
          <w:szCs w:val="24"/>
          <w:lang w:val="ro-RO"/>
        </w:rPr>
        <w:t xml:space="preserve">, </w:t>
      </w:r>
      <w:r w:rsidR="00317C11" w:rsidRPr="00E21CB9">
        <w:rPr>
          <w:rFonts w:ascii="Times New Roman" w:hAnsi="Times New Roman"/>
          <w:i/>
          <w:iCs/>
          <w:noProof/>
          <w:sz w:val="24"/>
          <w:szCs w:val="24"/>
          <w:lang w:val="ro-RO"/>
        </w:rPr>
        <w:t>autoritățile</w:t>
      </w:r>
      <w:r w:rsidRPr="00E21CB9">
        <w:rPr>
          <w:rFonts w:ascii="Times New Roman" w:hAnsi="Times New Roman"/>
          <w:i/>
          <w:iCs/>
          <w:noProof/>
          <w:sz w:val="24"/>
          <w:szCs w:val="24"/>
          <w:lang w:val="ro-RO"/>
        </w:rPr>
        <w:t xml:space="preserve"> si </w:t>
      </w:r>
      <w:r w:rsidR="00317C11" w:rsidRPr="00E21CB9">
        <w:rPr>
          <w:rFonts w:ascii="Times New Roman" w:hAnsi="Times New Roman"/>
          <w:i/>
          <w:iCs/>
          <w:noProof/>
          <w:sz w:val="24"/>
          <w:szCs w:val="24"/>
          <w:lang w:val="ro-RO"/>
        </w:rPr>
        <w:t>instanțele</w:t>
      </w:r>
      <w:r w:rsidRPr="00E21CB9">
        <w:rPr>
          <w:rFonts w:ascii="Times New Roman" w:hAnsi="Times New Roman"/>
          <w:i/>
          <w:iCs/>
          <w:noProof/>
          <w:sz w:val="24"/>
          <w:szCs w:val="24"/>
          <w:lang w:val="ro-RO"/>
        </w:rPr>
        <w:t xml:space="preserve"> </w:t>
      </w:r>
      <w:r w:rsidR="00317C11" w:rsidRPr="00E21CB9">
        <w:rPr>
          <w:rFonts w:ascii="Times New Roman" w:hAnsi="Times New Roman"/>
          <w:i/>
          <w:iCs/>
          <w:noProof/>
          <w:sz w:val="24"/>
          <w:szCs w:val="24"/>
          <w:lang w:val="ro-RO"/>
        </w:rPr>
        <w:t>naționale</w:t>
      </w:r>
      <w:r w:rsidRPr="00E21CB9">
        <w:rPr>
          <w:rFonts w:ascii="Times New Roman" w:hAnsi="Times New Roman"/>
          <w:i/>
          <w:iCs/>
          <w:noProof/>
          <w:sz w:val="24"/>
          <w:szCs w:val="24"/>
          <w:lang w:val="ro-RO"/>
        </w:rPr>
        <w:t xml:space="preserve"> sunt libere s</w:t>
      </w:r>
      <w:r w:rsidR="007669E0"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xml:space="preserve"> aplice standarde </w:t>
      </w:r>
      <w:r w:rsidR="00317C11" w:rsidRPr="00E21CB9">
        <w:rPr>
          <w:rFonts w:ascii="Times New Roman" w:hAnsi="Times New Roman"/>
          <w:i/>
          <w:iCs/>
          <w:noProof/>
          <w:sz w:val="24"/>
          <w:szCs w:val="24"/>
          <w:lang w:val="ro-RO"/>
        </w:rPr>
        <w:t>naționale</w:t>
      </w:r>
      <w:r w:rsidRPr="00E21CB9">
        <w:rPr>
          <w:rFonts w:ascii="Times New Roman" w:hAnsi="Times New Roman"/>
          <w:i/>
          <w:iCs/>
          <w:noProof/>
          <w:sz w:val="24"/>
          <w:szCs w:val="24"/>
          <w:lang w:val="ro-RO"/>
        </w:rPr>
        <w:t xml:space="preserve"> de </w:t>
      </w:r>
      <w:r w:rsidR="00317C11" w:rsidRPr="00E21CB9">
        <w:rPr>
          <w:rFonts w:ascii="Times New Roman" w:hAnsi="Times New Roman"/>
          <w:i/>
          <w:iCs/>
          <w:noProof/>
          <w:sz w:val="24"/>
          <w:szCs w:val="24"/>
          <w:lang w:val="ro-RO"/>
        </w:rPr>
        <w:t>protecție</w:t>
      </w:r>
      <w:r w:rsidRPr="00E21CB9">
        <w:rPr>
          <w:rFonts w:ascii="Times New Roman" w:hAnsi="Times New Roman"/>
          <w:i/>
          <w:iCs/>
          <w:noProof/>
          <w:sz w:val="24"/>
          <w:szCs w:val="24"/>
          <w:lang w:val="ro-RO"/>
        </w:rPr>
        <w:t xml:space="preserve"> a drepturilor fundamentale, cu </w:t>
      </w:r>
      <w:r w:rsidR="00317C11" w:rsidRPr="00E21CB9">
        <w:rPr>
          <w:rFonts w:ascii="Times New Roman" w:hAnsi="Times New Roman"/>
          <w:i/>
          <w:iCs/>
          <w:noProof/>
          <w:sz w:val="24"/>
          <w:szCs w:val="24"/>
          <w:lang w:val="ro-RO"/>
        </w:rPr>
        <w:t>condiția</w:t>
      </w:r>
      <w:r w:rsidRPr="00E21CB9">
        <w:rPr>
          <w:rFonts w:ascii="Times New Roman" w:hAnsi="Times New Roman"/>
          <w:i/>
          <w:iCs/>
          <w:noProof/>
          <w:sz w:val="24"/>
          <w:szCs w:val="24"/>
          <w:lang w:val="ro-RO"/>
        </w:rPr>
        <w:t xml:space="preserve"> ca aceasta aplicare sa nu </w:t>
      </w:r>
      <w:r w:rsidR="00317C11" w:rsidRPr="00E21CB9">
        <w:rPr>
          <w:rFonts w:ascii="Times New Roman" w:hAnsi="Times New Roman"/>
          <w:i/>
          <w:iCs/>
          <w:noProof/>
          <w:sz w:val="24"/>
          <w:szCs w:val="24"/>
          <w:lang w:val="ro-RO"/>
        </w:rPr>
        <w:t>compromită</w:t>
      </w:r>
      <w:r w:rsidRPr="00E21CB9">
        <w:rPr>
          <w:rFonts w:ascii="Times New Roman" w:hAnsi="Times New Roman"/>
          <w:i/>
          <w:iCs/>
          <w:noProof/>
          <w:sz w:val="24"/>
          <w:szCs w:val="24"/>
          <w:lang w:val="ro-RO"/>
        </w:rPr>
        <w:t xml:space="preserve"> nivelul de </w:t>
      </w:r>
      <w:r w:rsidR="00317C11" w:rsidRPr="00E21CB9">
        <w:rPr>
          <w:rFonts w:ascii="Times New Roman" w:hAnsi="Times New Roman"/>
          <w:i/>
          <w:iCs/>
          <w:noProof/>
          <w:sz w:val="24"/>
          <w:szCs w:val="24"/>
          <w:lang w:val="ro-RO"/>
        </w:rPr>
        <w:t>protecție</w:t>
      </w:r>
      <w:r w:rsidRPr="00E21CB9">
        <w:rPr>
          <w:rFonts w:ascii="Times New Roman" w:hAnsi="Times New Roman"/>
          <w:i/>
          <w:iCs/>
          <w:noProof/>
          <w:sz w:val="24"/>
          <w:szCs w:val="24"/>
          <w:lang w:val="ro-RO"/>
        </w:rPr>
        <w:t xml:space="preserve"> </w:t>
      </w:r>
      <w:r w:rsidR="00317C11" w:rsidRPr="00E21CB9">
        <w:rPr>
          <w:rFonts w:ascii="Times New Roman" w:hAnsi="Times New Roman"/>
          <w:i/>
          <w:iCs/>
          <w:noProof/>
          <w:sz w:val="24"/>
          <w:szCs w:val="24"/>
          <w:lang w:val="ro-RO"/>
        </w:rPr>
        <w:t>prevăzut</w:t>
      </w:r>
      <w:r w:rsidRPr="00E21CB9">
        <w:rPr>
          <w:rFonts w:ascii="Times New Roman" w:hAnsi="Times New Roman"/>
          <w:i/>
          <w:iCs/>
          <w:noProof/>
          <w:sz w:val="24"/>
          <w:szCs w:val="24"/>
          <w:lang w:val="ro-RO"/>
        </w:rPr>
        <w:t xml:space="preserve"> de cart</w:t>
      </w:r>
      <w:r w:rsidR="007669E0"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astfel cum a fost interpretat</w:t>
      </w:r>
      <w:r w:rsidR="007669E0"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xml:space="preserve"> de Curte, </w:t>
      </w:r>
      <w:r w:rsidR="007669E0" w:rsidRPr="00E21CB9">
        <w:rPr>
          <w:rFonts w:ascii="Times New Roman" w:hAnsi="Times New Roman"/>
          <w:i/>
          <w:iCs/>
          <w:noProof/>
          <w:sz w:val="24"/>
          <w:szCs w:val="24"/>
          <w:lang w:val="ro-RO"/>
        </w:rPr>
        <w:t>ș</w:t>
      </w:r>
      <w:r w:rsidRPr="00E21CB9">
        <w:rPr>
          <w:rFonts w:ascii="Times New Roman" w:hAnsi="Times New Roman"/>
          <w:i/>
          <w:iCs/>
          <w:noProof/>
          <w:sz w:val="24"/>
          <w:szCs w:val="24"/>
          <w:lang w:val="ro-RO"/>
        </w:rPr>
        <w:t xml:space="preserve">i nici </w:t>
      </w:r>
      <w:r w:rsidR="00317C11" w:rsidRPr="00E21CB9">
        <w:rPr>
          <w:rFonts w:ascii="Times New Roman" w:hAnsi="Times New Roman"/>
          <w:i/>
          <w:iCs/>
          <w:noProof/>
          <w:sz w:val="24"/>
          <w:szCs w:val="24"/>
          <w:lang w:val="ro-RO"/>
        </w:rPr>
        <w:t>supremația</w:t>
      </w:r>
      <w:r w:rsidRPr="00E21CB9">
        <w:rPr>
          <w:rFonts w:ascii="Times New Roman" w:hAnsi="Times New Roman"/>
          <w:i/>
          <w:iCs/>
          <w:noProof/>
          <w:sz w:val="24"/>
          <w:szCs w:val="24"/>
          <w:lang w:val="ro-RO"/>
        </w:rPr>
        <w:t xml:space="preserve">, unitatea </w:t>
      </w:r>
      <w:r w:rsidR="007669E0" w:rsidRPr="00E21CB9">
        <w:rPr>
          <w:rFonts w:ascii="Times New Roman" w:hAnsi="Times New Roman"/>
          <w:i/>
          <w:iCs/>
          <w:noProof/>
          <w:sz w:val="24"/>
          <w:szCs w:val="24"/>
          <w:lang w:val="ro-RO"/>
        </w:rPr>
        <w:t>ș</w:t>
      </w:r>
      <w:r w:rsidRPr="00E21CB9">
        <w:rPr>
          <w:rFonts w:ascii="Times New Roman" w:hAnsi="Times New Roman"/>
          <w:i/>
          <w:iCs/>
          <w:noProof/>
          <w:sz w:val="24"/>
          <w:szCs w:val="24"/>
          <w:lang w:val="ro-RO"/>
        </w:rPr>
        <w:t>i caracterul efectiv al dreptului Uniunii (</w:t>
      </w:r>
      <w:r w:rsidR="00317C11" w:rsidRPr="00E21CB9">
        <w:rPr>
          <w:rFonts w:ascii="Times New Roman" w:hAnsi="Times New Roman"/>
          <w:i/>
          <w:iCs/>
          <w:noProof/>
          <w:sz w:val="24"/>
          <w:szCs w:val="24"/>
          <w:lang w:val="ro-RO"/>
        </w:rPr>
        <w:t>Hotărârea</w:t>
      </w:r>
      <w:r w:rsidRPr="00E21CB9">
        <w:rPr>
          <w:rFonts w:ascii="Times New Roman" w:hAnsi="Times New Roman"/>
          <w:i/>
          <w:iCs/>
          <w:noProof/>
          <w:sz w:val="24"/>
          <w:szCs w:val="24"/>
          <w:lang w:val="ro-RO"/>
        </w:rPr>
        <w:t xml:space="preserve"> din 26 februarie 2013, Åkerberg Fransson, C 617/10, EU:C:2013:105, punctul 29 si </w:t>
      </w:r>
      <w:r w:rsidR="00317C11" w:rsidRPr="00E21CB9">
        <w:rPr>
          <w:rFonts w:ascii="Times New Roman" w:hAnsi="Times New Roman"/>
          <w:i/>
          <w:iCs/>
          <w:noProof/>
          <w:sz w:val="24"/>
          <w:szCs w:val="24"/>
          <w:lang w:val="ro-RO"/>
        </w:rPr>
        <w:t>jurisprudența</w:t>
      </w:r>
      <w:r w:rsidRPr="00E21CB9">
        <w:rPr>
          <w:rFonts w:ascii="Times New Roman" w:hAnsi="Times New Roman"/>
          <w:i/>
          <w:iCs/>
          <w:noProof/>
          <w:sz w:val="24"/>
          <w:szCs w:val="24"/>
          <w:lang w:val="ro-RO"/>
        </w:rPr>
        <w:t xml:space="preserve"> citata).</w:t>
      </w:r>
    </w:p>
    <w:p w14:paraId="6575E92F" w14:textId="77777777" w:rsidR="00A66CC8" w:rsidRPr="00E21CB9" w:rsidRDefault="00A66CC8" w:rsidP="00F10A47">
      <w:pPr>
        <w:spacing w:after="200" w:line="276" w:lineRule="auto"/>
        <w:jc w:val="both"/>
        <w:rPr>
          <w:rFonts w:ascii="Times New Roman" w:hAnsi="Times New Roman"/>
          <w:i/>
          <w:iCs/>
          <w:noProof/>
          <w:sz w:val="24"/>
          <w:szCs w:val="24"/>
          <w:lang w:val="ro-RO"/>
        </w:rPr>
      </w:pPr>
      <w:r w:rsidRPr="00E21CB9">
        <w:rPr>
          <w:rFonts w:ascii="Times New Roman" w:hAnsi="Times New Roman"/>
          <w:i/>
          <w:iCs/>
          <w:noProof/>
          <w:sz w:val="24"/>
          <w:szCs w:val="24"/>
          <w:lang w:val="ro-RO"/>
        </w:rPr>
        <w:t>(...)</w:t>
      </w:r>
    </w:p>
    <w:p w14:paraId="777FA5EF" w14:textId="461195FF" w:rsidR="00A66CC8" w:rsidRPr="00E21CB9" w:rsidRDefault="00A66CC8" w:rsidP="00F10A47">
      <w:pPr>
        <w:spacing w:after="200" w:line="276" w:lineRule="auto"/>
        <w:jc w:val="both"/>
        <w:rPr>
          <w:rFonts w:ascii="Times New Roman" w:hAnsi="Times New Roman"/>
          <w:i/>
          <w:iCs/>
          <w:noProof/>
          <w:sz w:val="24"/>
          <w:szCs w:val="24"/>
          <w:lang w:val="ro-RO"/>
        </w:rPr>
      </w:pPr>
      <w:r w:rsidRPr="00E21CB9">
        <w:rPr>
          <w:rFonts w:ascii="Times New Roman" w:hAnsi="Times New Roman"/>
          <w:i/>
          <w:iCs/>
          <w:noProof/>
          <w:sz w:val="24"/>
          <w:szCs w:val="24"/>
          <w:lang w:val="ro-RO"/>
        </w:rPr>
        <w:t xml:space="preserve">51. </w:t>
      </w:r>
      <w:r w:rsidR="00F56574" w:rsidRPr="00E21CB9">
        <w:rPr>
          <w:rFonts w:ascii="Times New Roman" w:hAnsi="Times New Roman"/>
          <w:i/>
          <w:iCs/>
          <w:noProof/>
          <w:sz w:val="24"/>
          <w:szCs w:val="24"/>
          <w:lang w:val="ro-RO"/>
        </w:rPr>
        <w:t>Î</w:t>
      </w:r>
      <w:r w:rsidRPr="00E21CB9">
        <w:rPr>
          <w:rFonts w:ascii="Times New Roman" w:hAnsi="Times New Roman"/>
          <w:i/>
          <w:iCs/>
          <w:noProof/>
          <w:sz w:val="24"/>
          <w:szCs w:val="24"/>
          <w:lang w:val="ro-RO"/>
        </w:rPr>
        <w:t xml:space="preserve">n aceasta </w:t>
      </w:r>
      <w:r w:rsidR="00317C11" w:rsidRPr="00E21CB9">
        <w:rPr>
          <w:rFonts w:ascii="Times New Roman" w:hAnsi="Times New Roman"/>
          <w:i/>
          <w:iCs/>
          <w:noProof/>
          <w:sz w:val="24"/>
          <w:szCs w:val="24"/>
          <w:lang w:val="ro-RO"/>
        </w:rPr>
        <w:t>privință</w:t>
      </w:r>
      <w:r w:rsidRPr="00E21CB9">
        <w:rPr>
          <w:rFonts w:ascii="Times New Roman" w:hAnsi="Times New Roman"/>
          <w:i/>
          <w:iCs/>
          <w:noProof/>
          <w:sz w:val="24"/>
          <w:szCs w:val="24"/>
          <w:lang w:val="ro-RO"/>
        </w:rPr>
        <w:t>, este necesar s</w:t>
      </w:r>
      <w:r w:rsidR="00F56574"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xml:space="preserve"> se </w:t>
      </w:r>
      <w:r w:rsidR="00317C11" w:rsidRPr="00E21CB9">
        <w:rPr>
          <w:rFonts w:ascii="Times New Roman" w:hAnsi="Times New Roman"/>
          <w:i/>
          <w:iCs/>
          <w:noProof/>
          <w:sz w:val="24"/>
          <w:szCs w:val="24"/>
          <w:lang w:val="ro-RO"/>
        </w:rPr>
        <w:t>amintească</w:t>
      </w:r>
      <w:r w:rsidRPr="00E21CB9">
        <w:rPr>
          <w:rFonts w:ascii="Times New Roman" w:hAnsi="Times New Roman"/>
          <w:i/>
          <w:iCs/>
          <w:noProof/>
          <w:sz w:val="24"/>
          <w:szCs w:val="24"/>
          <w:lang w:val="ro-RO"/>
        </w:rPr>
        <w:t xml:space="preserve"> importan</w:t>
      </w:r>
      <w:r w:rsidR="007669E0" w:rsidRPr="00E21CB9">
        <w:rPr>
          <w:rFonts w:ascii="Times New Roman" w:hAnsi="Times New Roman"/>
          <w:i/>
          <w:iCs/>
          <w:noProof/>
          <w:sz w:val="24"/>
          <w:szCs w:val="24"/>
          <w:lang w:val="ro-RO"/>
        </w:rPr>
        <w:t>ț</w:t>
      </w:r>
      <w:r w:rsidRPr="00E21CB9">
        <w:rPr>
          <w:rFonts w:ascii="Times New Roman" w:hAnsi="Times New Roman"/>
          <w:i/>
          <w:iCs/>
          <w:noProof/>
          <w:sz w:val="24"/>
          <w:szCs w:val="24"/>
          <w:lang w:val="ro-RO"/>
        </w:rPr>
        <w:t xml:space="preserve">a, </w:t>
      </w:r>
      <w:r w:rsidR="007669E0" w:rsidRPr="00E21CB9">
        <w:rPr>
          <w:rFonts w:ascii="Times New Roman" w:hAnsi="Times New Roman"/>
          <w:i/>
          <w:iCs/>
          <w:noProof/>
          <w:sz w:val="24"/>
          <w:szCs w:val="24"/>
          <w:lang w:val="ro-RO"/>
        </w:rPr>
        <w:t>atât</w:t>
      </w:r>
      <w:r w:rsidRPr="00E21CB9">
        <w:rPr>
          <w:rFonts w:ascii="Times New Roman" w:hAnsi="Times New Roman"/>
          <w:i/>
          <w:iCs/>
          <w:noProof/>
          <w:sz w:val="24"/>
          <w:szCs w:val="24"/>
          <w:lang w:val="ro-RO"/>
        </w:rPr>
        <w:t xml:space="preserve"> in ordinea juridic</w:t>
      </w:r>
      <w:r w:rsidR="00F56574"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xml:space="preserve"> a Uniunii, c</w:t>
      </w:r>
      <w:r w:rsidR="00F56574" w:rsidRPr="00E21CB9">
        <w:rPr>
          <w:rFonts w:ascii="Times New Roman" w:hAnsi="Times New Roman"/>
          <w:i/>
          <w:iCs/>
          <w:noProof/>
          <w:sz w:val="24"/>
          <w:szCs w:val="24"/>
          <w:lang w:val="ro-RO"/>
        </w:rPr>
        <w:t>â</w:t>
      </w:r>
      <w:r w:rsidRPr="00E21CB9">
        <w:rPr>
          <w:rFonts w:ascii="Times New Roman" w:hAnsi="Times New Roman"/>
          <w:i/>
          <w:iCs/>
          <w:noProof/>
          <w:sz w:val="24"/>
          <w:szCs w:val="24"/>
          <w:lang w:val="ro-RO"/>
        </w:rPr>
        <w:t xml:space="preserve">t </w:t>
      </w:r>
      <w:r w:rsidR="00F56574" w:rsidRPr="00E21CB9">
        <w:rPr>
          <w:rFonts w:ascii="Times New Roman" w:hAnsi="Times New Roman"/>
          <w:i/>
          <w:iCs/>
          <w:noProof/>
          <w:sz w:val="24"/>
          <w:szCs w:val="24"/>
          <w:lang w:val="ro-RO"/>
        </w:rPr>
        <w:t>ș</w:t>
      </w:r>
      <w:r w:rsidRPr="00E21CB9">
        <w:rPr>
          <w:rFonts w:ascii="Times New Roman" w:hAnsi="Times New Roman"/>
          <w:i/>
          <w:iCs/>
          <w:noProof/>
          <w:sz w:val="24"/>
          <w:szCs w:val="24"/>
          <w:lang w:val="ro-RO"/>
        </w:rPr>
        <w:t xml:space="preserve">i in ordinile juridice </w:t>
      </w:r>
      <w:r w:rsidR="00317C11" w:rsidRPr="00E21CB9">
        <w:rPr>
          <w:rFonts w:ascii="Times New Roman" w:hAnsi="Times New Roman"/>
          <w:i/>
          <w:iCs/>
          <w:noProof/>
          <w:sz w:val="24"/>
          <w:szCs w:val="24"/>
          <w:lang w:val="ro-RO"/>
        </w:rPr>
        <w:t>naționale</w:t>
      </w:r>
      <w:r w:rsidRPr="00E21CB9">
        <w:rPr>
          <w:rFonts w:ascii="Times New Roman" w:hAnsi="Times New Roman"/>
          <w:i/>
          <w:iCs/>
          <w:noProof/>
          <w:sz w:val="24"/>
          <w:szCs w:val="24"/>
          <w:lang w:val="ro-RO"/>
        </w:rPr>
        <w:t>, pe care o prezint</w:t>
      </w:r>
      <w:r w:rsidR="00F56574"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xml:space="preserve"> principiul </w:t>
      </w:r>
      <w:r w:rsidR="00317C11" w:rsidRPr="00E21CB9">
        <w:rPr>
          <w:rFonts w:ascii="Times New Roman" w:hAnsi="Times New Roman"/>
          <w:i/>
          <w:iCs/>
          <w:noProof/>
          <w:sz w:val="24"/>
          <w:szCs w:val="24"/>
          <w:lang w:val="ro-RO"/>
        </w:rPr>
        <w:t>legalității</w:t>
      </w:r>
      <w:r w:rsidRPr="00E21CB9">
        <w:rPr>
          <w:rFonts w:ascii="Times New Roman" w:hAnsi="Times New Roman"/>
          <w:i/>
          <w:iCs/>
          <w:noProof/>
          <w:sz w:val="24"/>
          <w:szCs w:val="24"/>
          <w:lang w:val="ro-RO"/>
        </w:rPr>
        <w:t xml:space="preserve"> </w:t>
      </w:r>
      <w:r w:rsidR="00317C11" w:rsidRPr="00E21CB9">
        <w:rPr>
          <w:rFonts w:ascii="Times New Roman" w:hAnsi="Times New Roman"/>
          <w:i/>
          <w:iCs/>
          <w:noProof/>
          <w:sz w:val="24"/>
          <w:szCs w:val="24"/>
          <w:lang w:val="ro-RO"/>
        </w:rPr>
        <w:t>infracțiunilor</w:t>
      </w:r>
      <w:r w:rsidRPr="00E21CB9">
        <w:rPr>
          <w:rFonts w:ascii="Times New Roman" w:hAnsi="Times New Roman"/>
          <w:i/>
          <w:iCs/>
          <w:noProof/>
          <w:sz w:val="24"/>
          <w:szCs w:val="24"/>
          <w:lang w:val="ro-RO"/>
        </w:rPr>
        <w:t xml:space="preserve"> </w:t>
      </w:r>
      <w:r w:rsidR="00F56574" w:rsidRPr="00E21CB9">
        <w:rPr>
          <w:rFonts w:ascii="Times New Roman" w:hAnsi="Times New Roman"/>
          <w:i/>
          <w:iCs/>
          <w:noProof/>
          <w:sz w:val="24"/>
          <w:szCs w:val="24"/>
          <w:lang w:val="ro-RO"/>
        </w:rPr>
        <w:t>ș</w:t>
      </w:r>
      <w:r w:rsidRPr="00E21CB9">
        <w:rPr>
          <w:rFonts w:ascii="Times New Roman" w:hAnsi="Times New Roman"/>
          <w:i/>
          <w:iCs/>
          <w:noProof/>
          <w:sz w:val="24"/>
          <w:szCs w:val="24"/>
          <w:lang w:val="ro-RO"/>
        </w:rPr>
        <w:t>i pedepselor, care impune ca legea penal</w:t>
      </w:r>
      <w:r w:rsidR="00F56574"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xml:space="preserve"> aplicabil</w:t>
      </w:r>
      <w:r w:rsidR="00F56574"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xml:space="preserve"> sa fie previzibil</w:t>
      </w:r>
      <w:r w:rsidR="00F56574"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precis</w:t>
      </w:r>
      <w:r w:rsidR="00F56574"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xml:space="preserve"> </w:t>
      </w:r>
      <w:r w:rsidR="00F56574" w:rsidRPr="00E21CB9">
        <w:rPr>
          <w:rFonts w:ascii="Times New Roman" w:hAnsi="Times New Roman"/>
          <w:i/>
          <w:iCs/>
          <w:noProof/>
          <w:sz w:val="24"/>
          <w:szCs w:val="24"/>
          <w:lang w:val="ro-RO"/>
        </w:rPr>
        <w:t>ș</w:t>
      </w:r>
      <w:r w:rsidRPr="00E21CB9">
        <w:rPr>
          <w:rFonts w:ascii="Times New Roman" w:hAnsi="Times New Roman"/>
          <w:i/>
          <w:iCs/>
          <w:noProof/>
          <w:sz w:val="24"/>
          <w:szCs w:val="24"/>
          <w:lang w:val="ro-RO"/>
        </w:rPr>
        <w:t>i neretroactiv</w:t>
      </w:r>
      <w:r w:rsidR="00F56574"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w:t>
      </w:r>
    </w:p>
    <w:p w14:paraId="770DB74F" w14:textId="676A37F2" w:rsidR="00A66CC8" w:rsidRPr="00E21CB9" w:rsidRDefault="00A66CC8" w:rsidP="00F10A47">
      <w:pPr>
        <w:spacing w:after="200" w:line="276" w:lineRule="auto"/>
        <w:jc w:val="both"/>
        <w:rPr>
          <w:rFonts w:ascii="Times New Roman" w:hAnsi="Times New Roman"/>
          <w:i/>
          <w:iCs/>
          <w:noProof/>
          <w:sz w:val="24"/>
          <w:szCs w:val="24"/>
          <w:lang w:val="ro-RO"/>
        </w:rPr>
      </w:pPr>
      <w:r w:rsidRPr="00E21CB9">
        <w:rPr>
          <w:rFonts w:ascii="Times New Roman" w:hAnsi="Times New Roman"/>
          <w:i/>
          <w:iCs/>
          <w:noProof/>
          <w:sz w:val="24"/>
          <w:szCs w:val="24"/>
          <w:lang w:val="ro-RO"/>
        </w:rPr>
        <w:lastRenderedPageBreak/>
        <w:t>52. Acest principiu, astfel cum este consacrat la articolul 49 din cart</w:t>
      </w:r>
      <w:r w:rsidR="00F56574"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xml:space="preserve">, se impune statelor membre atunci </w:t>
      </w:r>
      <w:r w:rsidR="00317C11" w:rsidRPr="00E21CB9">
        <w:rPr>
          <w:rFonts w:ascii="Times New Roman" w:hAnsi="Times New Roman"/>
          <w:i/>
          <w:iCs/>
          <w:noProof/>
          <w:sz w:val="24"/>
          <w:szCs w:val="24"/>
          <w:lang w:val="ro-RO"/>
        </w:rPr>
        <w:t>când</w:t>
      </w:r>
      <w:r w:rsidRPr="00E21CB9">
        <w:rPr>
          <w:rFonts w:ascii="Times New Roman" w:hAnsi="Times New Roman"/>
          <w:i/>
          <w:iCs/>
          <w:noProof/>
          <w:sz w:val="24"/>
          <w:szCs w:val="24"/>
          <w:lang w:val="ro-RO"/>
        </w:rPr>
        <w:t xml:space="preserve"> pun in aplicare dreptul Uniunii, conform articolului 51 alineatul (1) din cart</w:t>
      </w:r>
      <w:r w:rsidR="00F56574"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xml:space="preserve">, ceea ce se </w:t>
      </w:r>
      <w:r w:rsidR="00317C11" w:rsidRPr="00E21CB9">
        <w:rPr>
          <w:rFonts w:ascii="Times New Roman" w:hAnsi="Times New Roman"/>
          <w:i/>
          <w:iCs/>
          <w:noProof/>
          <w:sz w:val="24"/>
          <w:szCs w:val="24"/>
          <w:lang w:val="ro-RO"/>
        </w:rPr>
        <w:t>întâmplă</w:t>
      </w:r>
      <w:r w:rsidRPr="00E21CB9">
        <w:rPr>
          <w:rFonts w:ascii="Times New Roman" w:hAnsi="Times New Roman"/>
          <w:i/>
          <w:iCs/>
          <w:noProof/>
          <w:sz w:val="24"/>
          <w:szCs w:val="24"/>
          <w:lang w:val="ro-RO"/>
        </w:rPr>
        <w:t xml:space="preserve"> atunci </w:t>
      </w:r>
      <w:r w:rsidR="00317C11" w:rsidRPr="00E21CB9">
        <w:rPr>
          <w:rFonts w:ascii="Times New Roman" w:hAnsi="Times New Roman"/>
          <w:i/>
          <w:iCs/>
          <w:noProof/>
          <w:sz w:val="24"/>
          <w:szCs w:val="24"/>
          <w:lang w:val="ro-RO"/>
        </w:rPr>
        <w:t>când</w:t>
      </w:r>
      <w:r w:rsidRPr="00E21CB9">
        <w:rPr>
          <w:rFonts w:ascii="Times New Roman" w:hAnsi="Times New Roman"/>
          <w:i/>
          <w:iCs/>
          <w:noProof/>
          <w:sz w:val="24"/>
          <w:szCs w:val="24"/>
          <w:lang w:val="ro-RO"/>
        </w:rPr>
        <w:t xml:space="preserve"> acestea </w:t>
      </w:r>
      <w:r w:rsidR="00317C11" w:rsidRPr="00E21CB9">
        <w:rPr>
          <w:rFonts w:ascii="Times New Roman" w:hAnsi="Times New Roman"/>
          <w:i/>
          <w:iCs/>
          <w:noProof/>
          <w:sz w:val="24"/>
          <w:szCs w:val="24"/>
          <w:lang w:val="ro-RO"/>
        </w:rPr>
        <w:t>prevăd</w:t>
      </w:r>
      <w:r w:rsidRPr="00E21CB9">
        <w:rPr>
          <w:rFonts w:ascii="Times New Roman" w:hAnsi="Times New Roman"/>
          <w:i/>
          <w:iCs/>
          <w:noProof/>
          <w:sz w:val="24"/>
          <w:szCs w:val="24"/>
          <w:lang w:val="ro-RO"/>
        </w:rPr>
        <w:t xml:space="preserve">, in cadrul </w:t>
      </w:r>
      <w:r w:rsidR="00317C11" w:rsidRPr="00E21CB9">
        <w:rPr>
          <w:rFonts w:ascii="Times New Roman" w:hAnsi="Times New Roman"/>
          <w:i/>
          <w:iCs/>
          <w:noProof/>
          <w:sz w:val="24"/>
          <w:szCs w:val="24"/>
          <w:lang w:val="ro-RO"/>
        </w:rPr>
        <w:t>obligațiilor</w:t>
      </w:r>
      <w:r w:rsidRPr="00E21CB9">
        <w:rPr>
          <w:rFonts w:ascii="Times New Roman" w:hAnsi="Times New Roman"/>
          <w:i/>
          <w:iCs/>
          <w:noProof/>
          <w:sz w:val="24"/>
          <w:szCs w:val="24"/>
          <w:lang w:val="ro-RO"/>
        </w:rPr>
        <w:t xml:space="preserve"> care le sunt impuse de articolul 325 TFUE, aplicarea unor </w:t>
      </w:r>
      <w:r w:rsidR="00317C11" w:rsidRPr="00E21CB9">
        <w:rPr>
          <w:rFonts w:ascii="Times New Roman" w:hAnsi="Times New Roman"/>
          <w:i/>
          <w:iCs/>
          <w:noProof/>
          <w:sz w:val="24"/>
          <w:szCs w:val="24"/>
          <w:lang w:val="ro-RO"/>
        </w:rPr>
        <w:t>sancțiuni</w:t>
      </w:r>
      <w:r w:rsidRPr="00E21CB9">
        <w:rPr>
          <w:rFonts w:ascii="Times New Roman" w:hAnsi="Times New Roman"/>
          <w:i/>
          <w:iCs/>
          <w:noProof/>
          <w:sz w:val="24"/>
          <w:szCs w:val="24"/>
          <w:lang w:val="ro-RO"/>
        </w:rPr>
        <w:t xml:space="preserve"> penale pentru </w:t>
      </w:r>
      <w:r w:rsidR="00317C11" w:rsidRPr="00E21CB9">
        <w:rPr>
          <w:rFonts w:ascii="Times New Roman" w:hAnsi="Times New Roman"/>
          <w:i/>
          <w:iCs/>
          <w:noProof/>
          <w:sz w:val="24"/>
          <w:szCs w:val="24"/>
          <w:lang w:val="ro-RO"/>
        </w:rPr>
        <w:t>infracțiunile</w:t>
      </w:r>
      <w:r w:rsidRPr="00E21CB9">
        <w:rPr>
          <w:rFonts w:ascii="Times New Roman" w:hAnsi="Times New Roman"/>
          <w:i/>
          <w:iCs/>
          <w:noProof/>
          <w:sz w:val="24"/>
          <w:szCs w:val="24"/>
          <w:lang w:val="ro-RO"/>
        </w:rPr>
        <w:t xml:space="preserve"> din domeniul TVA ului. Astfel, </w:t>
      </w:r>
      <w:r w:rsidR="00317C11" w:rsidRPr="00E21CB9">
        <w:rPr>
          <w:rFonts w:ascii="Times New Roman" w:hAnsi="Times New Roman"/>
          <w:i/>
          <w:iCs/>
          <w:noProof/>
          <w:sz w:val="24"/>
          <w:szCs w:val="24"/>
          <w:lang w:val="ro-RO"/>
        </w:rPr>
        <w:t>obligația</w:t>
      </w:r>
      <w:r w:rsidRPr="00E21CB9">
        <w:rPr>
          <w:rFonts w:ascii="Times New Roman" w:hAnsi="Times New Roman"/>
          <w:i/>
          <w:iCs/>
          <w:noProof/>
          <w:sz w:val="24"/>
          <w:szCs w:val="24"/>
          <w:lang w:val="ro-RO"/>
        </w:rPr>
        <w:t xml:space="preserve"> de a garanta o colectare eficient</w:t>
      </w:r>
      <w:r w:rsidR="00F56574"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xml:space="preserve"> a resurselor Uniunii nu poate s</w:t>
      </w:r>
      <w:r w:rsidR="00F56574"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xml:space="preserve"> </w:t>
      </w:r>
      <w:r w:rsidR="00317C11" w:rsidRPr="00E21CB9">
        <w:rPr>
          <w:rFonts w:ascii="Times New Roman" w:hAnsi="Times New Roman"/>
          <w:i/>
          <w:iCs/>
          <w:noProof/>
          <w:sz w:val="24"/>
          <w:szCs w:val="24"/>
          <w:lang w:val="ro-RO"/>
        </w:rPr>
        <w:t>contravină</w:t>
      </w:r>
      <w:r w:rsidRPr="00E21CB9">
        <w:rPr>
          <w:rFonts w:ascii="Times New Roman" w:hAnsi="Times New Roman"/>
          <w:i/>
          <w:iCs/>
          <w:noProof/>
          <w:sz w:val="24"/>
          <w:szCs w:val="24"/>
          <w:lang w:val="ro-RO"/>
        </w:rPr>
        <w:t xml:space="preserve"> principiului </w:t>
      </w:r>
      <w:r w:rsidR="00317C11" w:rsidRPr="00E21CB9">
        <w:rPr>
          <w:rFonts w:ascii="Times New Roman" w:hAnsi="Times New Roman"/>
          <w:i/>
          <w:iCs/>
          <w:noProof/>
          <w:sz w:val="24"/>
          <w:szCs w:val="24"/>
          <w:lang w:val="ro-RO"/>
        </w:rPr>
        <w:t>menționat</w:t>
      </w:r>
      <w:r w:rsidRPr="00E21CB9">
        <w:rPr>
          <w:rFonts w:ascii="Times New Roman" w:hAnsi="Times New Roman"/>
          <w:i/>
          <w:iCs/>
          <w:noProof/>
          <w:sz w:val="24"/>
          <w:szCs w:val="24"/>
          <w:lang w:val="ro-RO"/>
        </w:rPr>
        <w:t xml:space="preserve"> (a se vedea prin analogie </w:t>
      </w:r>
      <w:r w:rsidR="00317C11" w:rsidRPr="00E21CB9">
        <w:rPr>
          <w:rFonts w:ascii="Times New Roman" w:hAnsi="Times New Roman"/>
          <w:i/>
          <w:iCs/>
          <w:noProof/>
          <w:sz w:val="24"/>
          <w:szCs w:val="24"/>
          <w:lang w:val="ro-RO"/>
        </w:rPr>
        <w:t>Hotărârea</w:t>
      </w:r>
      <w:r w:rsidRPr="00E21CB9">
        <w:rPr>
          <w:rFonts w:ascii="Times New Roman" w:hAnsi="Times New Roman"/>
          <w:i/>
          <w:iCs/>
          <w:noProof/>
          <w:sz w:val="24"/>
          <w:szCs w:val="24"/>
          <w:lang w:val="ro-RO"/>
        </w:rPr>
        <w:t xml:space="preserve"> din 29 martie 2012, Belvedere Costruzioni, C 500/10, EU:C:2012:186, punctul 23).</w:t>
      </w:r>
    </w:p>
    <w:p w14:paraId="643E4AB5" w14:textId="0791EBA6" w:rsidR="00A66CC8" w:rsidRPr="00E21CB9" w:rsidRDefault="00A66CC8" w:rsidP="00F10A47">
      <w:pPr>
        <w:spacing w:after="200" w:line="276" w:lineRule="auto"/>
        <w:jc w:val="both"/>
        <w:rPr>
          <w:rFonts w:ascii="Times New Roman" w:hAnsi="Times New Roman"/>
          <w:i/>
          <w:iCs/>
          <w:noProof/>
          <w:sz w:val="24"/>
          <w:szCs w:val="24"/>
          <w:lang w:val="ro-RO"/>
        </w:rPr>
      </w:pPr>
      <w:r w:rsidRPr="00E21CB9">
        <w:rPr>
          <w:rFonts w:ascii="Times New Roman" w:hAnsi="Times New Roman"/>
          <w:i/>
          <w:iCs/>
          <w:noProof/>
          <w:sz w:val="24"/>
          <w:szCs w:val="24"/>
          <w:lang w:val="ro-RO"/>
        </w:rPr>
        <w:t xml:space="preserve">53. </w:t>
      </w:r>
      <w:r w:rsidR="00F56574" w:rsidRPr="00E21CB9">
        <w:rPr>
          <w:rFonts w:ascii="Times New Roman" w:hAnsi="Times New Roman"/>
          <w:i/>
          <w:iCs/>
          <w:noProof/>
          <w:sz w:val="24"/>
          <w:szCs w:val="24"/>
          <w:lang w:val="ro-RO"/>
        </w:rPr>
        <w:t>Î</w:t>
      </w:r>
      <w:r w:rsidRPr="00E21CB9">
        <w:rPr>
          <w:rFonts w:ascii="Times New Roman" w:hAnsi="Times New Roman"/>
          <w:i/>
          <w:iCs/>
          <w:noProof/>
          <w:sz w:val="24"/>
          <w:szCs w:val="24"/>
          <w:lang w:val="ro-RO"/>
        </w:rPr>
        <w:t xml:space="preserve">n plus, principiul </w:t>
      </w:r>
      <w:r w:rsidR="00317C11" w:rsidRPr="00E21CB9">
        <w:rPr>
          <w:rFonts w:ascii="Times New Roman" w:hAnsi="Times New Roman"/>
          <w:i/>
          <w:iCs/>
          <w:noProof/>
          <w:sz w:val="24"/>
          <w:szCs w:val="24"/>
          <w:lang w:val="ro-RO"/>
        </w:rPr>
        <w:t>legalității</w:t>
      </w:r>
      <w:r w:rsidRPr="00E21CB9">
        <w:rPr>
          <w:rFonts w:ascii="Times New Roman" w:hAnsi="Times New Roman"/>
          <w:i/>
          <w:iCs/>
          <w:noProof/>
          <w:sz w:val="24"/>
          <w:szCs w:val="24"/>
          <w:lang w:val="ro-RO"/>
        </w:rPr>
        <w:t xml:space="preserve"> </w:t>
      </w:r>
      <w:r w:rsidR="00317C11" w:rsidRPr="00E21CB9">
        <w:rPr>
          <w:rFonts w:ascii="Times New Roman" w:hAnsi="Times New Roman"/>
          <w:i/>
          <w:iCs/>
          <w:noProof/>
          <w:sz w:val="24"/>
          <w:szCs w:val="24"/>
          <w:lang w:val="ro-RO"/>
        </w:rPr>
        <w:t>infracțiunilor</w:t>
      </w:r>
      <w:r w:rsidRPr="00E21CB9">
        <w:rPr>
          <w:rFonts w:ascii="Times New Roman" w:hAnsi="Times New Roman"/>
          <w:i/>
          <w:iCs/>
          <w:noProof/>
          <w:sz w:val="24"/>
          <w:szCs w:val="24"/>
          <w:lang w:val="ro-RO"/>
        </w:rPr>
        <w:t xml:space="preserve"> </w:t>
      </w:r>
      <w:r w:rsidR="00F56574" w:rsidRPr="00E21CB9">
        <w:rPr>
          <w:rFonts w:ascii="Times New Roman" w:hAnsi="Times New Roman"/>
          <w:i/>
          <w:iCs/>
          <w:noProof/>
          <w:sz w:val="24"/>
          <w:szCs w:val="24"/>
          <w:lang w:val="ro-RO"/>
        </w:rPr>
        <w:t>ș</w:t>
      </w:r>
      <w:r w:rsidRPr="00E21CB9">
        <w:rPr>
          <w:rFonts w:ascii="Times New Roman" w:hAnsi="Times New Roman"/>
          <w:i/>
          <w:iCs/>
          <w:noProof/>
          <w:sz w:val="24"/>
          <w:szCs w:val="24"/>
          <w:lang w:val="ro-RO"/>
        </w:rPr>
        <w:t xml:space="preserve">i pedepselor face parte din </w:t>
      </w:r>
      <w:r w:rsidR="00317C11" w:rsidRPr="00E21CB9">
        <w:rPr>
          <w:rFonts w:ascii="Times New Roman" w:hAnsi="Times New Roman"/>
          <w:i/>
          <w:iCs/>
          <w:noProof/>
          <w:sz w:val="24"/>
          <w:szCs w:val="24"/>
          <w:lang w:val="ro-RO"/>
        </w:rPr>
        <w:t>tradițiile</w:t>
      </w:r>
      <w:r w:rsidRPr="00E21CB9">
        <w:rPr>
          <w:rFonts w:ascii="Times New Roman" w:hAnsi="Times New Roman"/>
          <w:i/>
          <w:iCs/>
          <w:noProof/>
          <w:sz w:val="24"/>
          <w:szCs w:val="24"/>
          <w:lang w:val="ro-RO"/>
        </w:rPr>
        <w:t xml:space="preserve"> </w:t>
      </w:r>
      <w:r w:rsidR="00317C11" w:rsidRPr="00E21CB9">
        <w:rPr>
          <w:rFonts w:ascii="Times New Roman" w:hAnsi="Times New Roman"/>
          <w:i/>
          <w:iCs/>
          <w:noProof/>
          <w:sz w:val="24"/>
          <w:szCs w:val="24"/>
          <w:lang w:val="ro-RO"/>
        </w:rPr>
        <w:t>constituționale</w:t>
      </w:r>
      <w:r w:rsidRPr="00E21CB9">
        <w:rPr>
          <w:rFonts w:ascii="Times New Roman" w:hAnsi="Times New Roman"/>
          <w:i/>
          <w:iCs/>
          <w:noProof/>
          <w:sz w:val="24"/>
          <w:szCs w:val="24"/>
          <w:lang w:val="ro-RO"/>
        </w:rPr>
        <w:t xml:space="preserve"> comune statelor membre (a se vedea, in ceea ce </w:t>
      </w:r>
      <w:r w:rsidR="00317C11" w:rsidRPr="00E21CB9">
        <w:rPr>
          <w:rFonts w:ascii="Times New Roman" w:hAnsi="Times New Roman"/>
          <w:i/>
          <w:iCs/>
          <w:noProof/>
          <w:sz w:val="24"/>
          <w:szCs w:val="24"/>
          <w:lang w:val="ro-RO"/>
        </w:rPr>
        <w:t>privește</w:t>
      </w:r>
      <w:r w:rsidRPr="00E21CB9">
        <w:rPr>
          <w:rFonts w:ascii="Times New Roman" w:hAnsi="Times New Roman"/>
          <w:i/>
          <w:iCs/>
          <w:noProof/>
          <w:sz w:val="24"/>
          <w:szCs w:val="24"/>
          <w:lang w:val="ro-RO"/>
        </w:rPr>
        <w:t xml:space="preserve"> principiul </w:t>
      </w:r>
      <w:r w:rsidR="00317C11" w:rsidRPr="00E21CB9">
        <w:rPr>
          <w:rFonts w:ascii="Times New Roman" w:hAnsi="Times New Roman"/>
          <w:i/>
          <w:iCs/>
          <w:noProof/>
          <w:sz w:val="24"/>
          <w:szCs w:val="24"/>
          <w:lang w:val="ro-RO"/>
        </w:rPr>
        <w:t>neretroactivității</w:t>
      </w:r>
      <w:r w:rsidRPr="00E21CB9">
        <w:rPr>
          <w:rFonts w:ascii="Times New Roman" w:hAnsi="Times New Roman"/>
          <w:i/>
          <w:iCs/>
          <w:noProof/>
          <w:sz w:val="24"/>
          <w:szCs w:val="24"/>
          <w:lang w:val="ro-RO"/>
        </w:rPr>
        <w:t xml:space="preserve"> legii penale, </w:t>
      </w:r>
      <w:r w:rsidR="00317C11" w:rsidRPr="00E21CB9">
        <w:rPr>
          <w:rFonts w:ascii="Times New Roman" w:hAnsi="Times New Roman"/>
          <w:i/>
          <w:iCs/>
          <w:noProof/>
          <w:sz w:val="24"/>
          <w:szCs w:val="24"/>
          <w:lang w:val="ro-RO"/>
        </w:rPr>
        <w:t>Hotărârea</w:t>
      </w:r>
      <w:r w:rsidRPr="00E21CB9">
        <w:rPr>
          <w:rFonts w:ascii="Times New Roman" w:hAnsi="Times New Roman"/>
          <w:i/>
          <w:iCs/>
          <w:noProof/>
          <w:sz w:val="24"/>
          <w:szCs w:val="24"/>
          <w:lang w:val="ro-RO"/>
        </w:rPr>
        <w:t xml:space="preserve"> din 13 noiembrie 1990, Fedesa si </w:t>
      </w:r>
      <w:r w:rsidR="00317C11" w:rsidRPr="00E21CB9">
        <w:rPr>
          <w:rFonts w:ascii="Times New Roman" w:hAnsi="Times New Roman"/>
          <w:i/>
          <w:iCs/>
          <w:noProof/>
          <w:sz w:val="24"/>
          <w:szCs w:val="24"/>
          <w:lang w:val="ro-RO"/>
        </w:rPr>
        <w:t>alții</w:t>
      </w:r>
      <w:r w:rsidRPr="00E21CB9">
        <w:rPr>
          <w:rFonts w:ascii="Times New Roman" w:hAnsi="Times New Roman"/>
          <w:i/>
          <w:iCs/>
          <w:noProof/>
          <w:sz w:val="24"/>
          <w:szCs w:val="24"/>
          <w:lang w:val="ro-RO"/>
        </w:rPr>
        <w:t xml:space="preserve">, C 331/88, EU:C:1990:391, punctul 42, precum </w:t>
      </w:r>
      <w:r w:rsidR="00F56574" w:rsidRPr="00E21CB9">
        <w:rPr>
          <w:rFonts w:ascii="Times New Roman" w:hAnsi="Times New Roman"/>
          <w:i/>
          <w:iCs/>
          <w:noProof/>
          <w:sz w:val="24"/>
          <w:szCs w:val="24"/>
          <w:lang w:val="ro-RO"/>
        </w:rPr>
        <w:t>ș</w:t>
      </w:r>
      <w:r w:rsidRPr="00E21CB9">
        <w:rPr>
          <w:rFonts w:ascii="Times New Roman" w:hAnsi="Times New Roman"/>
          <w:i/>
          <w:iCs/>
          <w:noProof/>
          <w:sz w:val="24"/>
          <w:szCs w:val="24"/>
          <w:lang w:val="ro-RO"/>
        </w:rPr>
        <w:t xml:space="preserve">i </w:t>
      </w:r>
      <w:r w:rsidR="00317C11" w:rsidRPr="00E21CB9">
        <w:rPr>
          <w:rFonts w:ascii="Times New Roman" w:hAnsi="Times New Roman"/>
          <w:i/>
          <w:iCs/>
          <w:noProof/>
          <w:sz w:val="24"/>
          <w:szCs w:val="24"/>
          <w:lang w:val="ro-RO"/>
        </w:rPr>
        <w:t>Hotărârea</w:t>
      </w:r>
      <w:r w:rsidRPr="00E21CB9">
        <w:rPr>
          <w:rFonts w:ascii="Times New Roman" w:hAnsi="Times New Roman"/>
          <w:i/>
          <w:iCs/>
          <w:noProof/>
          <w:sz w:val="24"/>
          <w:szCs w:val="24"/>
          <w:lang w:val="ro-RO"/>
        </w:rPr>
        <w:t xml:space="preserve"> din 7 ianuarie 2004, X, C 60/02, EU:C:2004:10, punctul 63) </w:t>
      </w:r>
      <w:r w:rsidR="00F56574" w:rsidRPr="00E21CB9">
        <w:rPr>
          <w:rFonts w:ascii="Times New Roman" w:hAnsi="Times New Roman"/>
          <w:i/>
          <w:iCs/>
          <w:noProof/>
          <w:sz w:val="24"/>
          <w:szCs w:val="24"/>
          <w:lang w:val="ro-RO"/>
        </w:rPr>
        <w:t>ș</w:t>
      </w:r>
      <w:r w:rsidRPr="00E21CB9">
        <w:rPr>
          <w:rFonts w:ascii="Times New Roman" w:hAnsi="Times New Roman"/>
          <w:i/>
          <w:iCs/>
          <w:noProof/>
          <w:sz w:val="24"/>
          <w:szCs w:val="24"/>
          <w:lang w:val="ro-RO"/>
        </w:rPr>
        <w:t xml:space="preserve">i a fost consacrat prin diferite tratate </w:t>
      </w:r>
      <w:r w:rsidR="00317C11" w:rsidRPr="00E21CB9">
        <w:rPr>
          <w:rFonts w:ascii="Times New Roman" w:hAnsi="Times New Roman"/>
          <w:i/>
          <w:iCs/>
          <w:noProof/>
          <w:sz w:val="24"/>
          <w:szCs w:val="24"/>
          <w:lang w:val="ro-RO"/>
        </w:rPr>
        <w:t>internaționale</w:t>
      </w:r>
      <w:r w:rsidRPr="00E21CB9">
        <w:rPr>
          <w:rFonts w:ascii="Times New Roman" w:hAnsi="Times New Roman"/>
          <w:i/>
          <w:iCs/>
          <w:noProof/>
          <w:sz w:val="24"/>
          <w:szCs w:val="24"/>
          <w:lang w:val="ro-RO"/>
        </w:rPr>
        <w:t xml:space="preserve">, in special la articolul 7 alineatul (1) din CEDO (a se vedea in acest sens </w:t>
      </w:r>
      <w:r w:rsidR="00317C11" w:rsidRPr="00E21CB9">
        <w:rPr>
          <w:rFonts w:ascii="Times New Roman" w:hAnsi="Times New Roman"/>
          <w:i/>
          <w:iCs/>
          <w:noProof/>
          <w:sz w:val="24"/>
          <w:szCs w:val="24"/>
          <w:lang w:val="ro-RO"/>
        </w:rPr>
        <w:t>Hotărârea</w:t>
      </w:r>
      <w:r w:rsidRPr="00E21CB9">
        <w:rPr>
          <w:rFonts w:ascii="Times New Roman" w:hAnsi="Times New Roman"/>
          <w:i/>
          <w:iCs/>
          <w:noProof/>
          <w:sz w:val="24"/>
          <w:szCs w:val="24"/>
          <w:lang w:val="ro-RO"/>
        </w:rPr>
        <w:t xml:space="preserve"> din 3 mai 2007, Advocaten voor de Wereld, C 303/05, EU:C:2007:261, punctul 49).</w:t>
      </w:r>
    </w:p>
    <w:p w14:paraId="44C4E914" w14:textId="77777777" w:rsidR="00A66CC8" w:rsidRPr="00E21CB9" w:rsidRDefault="00A66CC8" w:rsidP="00F10A47">
      <w:pPr>
        <w:spacing w:after="200" w:line="276" w:lineRule="auto"/>
        <w:jc w:val="both"/>
        <w:rPr>
          <w:rFonts w:ascii="Times New Roman" w:hAnsi="Times New Roman"/>
          <w:i/>
          <w:iCs/>
          <w:noProof/>
          <w:sz w:val="24"/>
          <w:szCs w:val="24"/>
          <w:lang w:val="ro-RO"/>
        </w:rPr>
      </w:pPr>
      <w:r w:rsidRPr="00E21CB9">
        <w:rPr>
          <w:rFonts w:ascii="Times New Roman" w:hAnsi="Times New Roman"/>
          <w:i/>
          <w:iCs/>
          <w:noProof/>
          <w:sz w:val="24"/>
          <w:szCs w:val="24"/>
          <w:lang w:val="ro-RO"/>
        </w:rPr>
        <w:t>(...)</w:t>
      </w:r>
    </w:p>
    <w:p w14:paraId="512E909C" w14:textId="25916DF7" w:rsidR="00A66CC8" w:rsidRPr="00E21CB9" w:rsidRDefault="00A66CC8" w:rsidP="00F10A47">
      <w:pPr>
        <w:spacing w:after="200" w:line="276" w:lineRule="auto"/>
        <w:jc w:val="both"/>
        <w:rPr>
          <w:rFonts w:ascii="Times New Roman" w:hAnsi="Times New Roman"/>
          <w:i/>
          <w:iCs/>
          <w:noProof/>
          <w:sz w:val="24"/>
          <w:szCs w:val="24"/>
          <w:lang w:val="ro-RO"/>
        </w:rPr>
      </w:pPr>
      <w:r w:rsidRPr="00E21CB9">
        <w:rPr>
          <w:rFonts w:ascii="Times New Roman" w:hAnsi="Times New Roman"/>
          <w:i/>
          <w:iCs/>
          <w:noProof/>
          <w:sz w:val="24"/>
          <w:szCs w:val="24"/>
          <w:lang w:val="ro-RO"/>
        </w:rPr>
        <w:t xml:space="preserve">58. </w:t>
      </w:r>
      <w:r w:rsidR="00F56574" w:rsidRPr="00E21CB9">
        <w:rPr>
          <w:rFonts w:ascii="Times New Roman" w:hAnsi="Times New Roman"/>
          <w:i/>
          <w:iCs/>
          <w:noProof/>
          <w:sz w:val="24"/>
          <w:szCs w:val="24"/>
          <w:lang w:val="ro-RO"/>
        </w:rPr>
        <w:t>Î</w:t>
      </w:r>
      <w:r w:rsidRPr="00E21CB9">
        <w:rPr>
          <w:rFonts w:ascii="Times New Roman" w:hAnsi="Times New Roman"/>
          <w:i/>
          <w:iCs/>
          <w:noProof/>
          <w:sz w:val="24"/>
          <w:szCs w:val="24"/>
          <w:lang w:val="ro-RO"/>
        </w:rPr>
        <w:t xml:space="preserve">n aceasta </w:t>
      </w:r>
      <w:r w:rsidR="00317C11" w:rsidRPr="00E21CB9">
        <w:rPr>
          <w:rFonts w:ascii="Times New Roman" w:hAnsi="Times New Roman"/>
          <w:i/>
          <w:iCs/>
          <w:noProof/>
          <w:sz w:val="24"/>
          <w:szCs w:val="24"/>
          <w:lang w:val="ro-RO"/>
        </w:rPr>
        <w:t>privință</w:t>
      </w:r>
      <w:r w:rsidRPr="00E21CB9">
        <w:rPr>
          <w:rFonts w:ascii="Times New Roman" w:hAnsi="Times New Roman"/>
          <w:i/>
          <w:iCs/>
          <w:noProof/>
          <w:sz w:val="24"/>
          <w:szCs w:val="24"/>
          <w:lang w:val="ro-RO"/>
        </w:rPr>
        <w:t xml:space="preserve">, astfel cum s-a constatat la punctul 45 din prezenta </w:t>
      </w:r>
      <w:r w:rsidR="00317C11" w:rsidRPr="00E21CB9">
        <w:rPr>
          <w:rFonts w:ascii="Times New Roman" w:hAnsi="Times New Roman"/>
          <w:i/>
          <w:iCs/>
          <w:noProof/>
          <w:sz w:val="24"/>
          <w:szCs w:val="24"/>
          <w:lang w:val="ro-RO"/>
        </w:rPr>
        <w:t>hotărâre</w:t>
      </w:r>
      <w:r w:rsidRPr="00E21CB9">
        <w:rPr>
          <w:rFonts w:ascii="Times New Roman" w:hAnsi="Times New Roman"/>
          <w:i/>
          <w:iCs/>
          <w:noProof/>
          <w:sz w:val="24"/>
          <w:szCs w:val="24"/>
          <w:lang w:val="ro-RO"/>
        </w:rPr>
        <w:t xml:space="preserve">, </w:t>
      </w:r>
      <w:r w:rsidR="00317C11" w:rsidRPr="00E21CB9">
        <w:rPr>
          <w:rFonts w:ascii="Times New Roman" w:hAnsi="Times New Roman"/>
          <w:i/>
          <w:iCs/>
          <w:noProof/>
          <w:sz w:val="24"/>
          <w:szCs w:val="24"/>
          <w:lang w:val="ro-RO"/>
        </w:rPr>
        <w:t>cerințele</w:t>
      </w:r>
      <w:r w:rsidRPr="00E21CB9">
        <w:rPr>
          <w:rFonts w:ascii="Times New Roman" w:hAnsi="Times New Roman"/>
          <w:i/>
          <w:iCs/>
          <w:noProof/>
          <w:sz w:val="24"/>
          <w:szCs w:val="24"/>
          <w:lang w:val="ro-RO"/>
        </w:rPr>
        <w:t xml:space="preserve"> privind previzibilitatea, precizia si neretroactivitatea, inerente principiului </w:t>
      </w:r>
      <w:r w:rsidR="00317C11" w:rsidRPr="00E21CB9">
        <w:rPr>
          <w:rFonts w:ascii="Times New Roman" w:hAnsi="Times New Roman"/>
          <w:i/>
          <w:iCs/>
          <w:noProof/>
          <w:sz w:val="24"/>
          <w:szCs w:val="24"/>
          <w:lang w:val="ro-RO"/>
        </w:rPr>
        <w:t>legalității</w:t>
      </w:r>
      <w:r w:rsidRPr="00E21CB9">
        <w:rPr>
          <w:rFonts w:ascii="Times New Roman" w:hAnsi="Times New Roman"/>
          <w:i/>
          <w:iCs/>
          <w:noProof/>
          <w:sz w:val="24"/>
          <w:szCs w:val="24"/>
          <w:lang w:val="ro-RO"/>
        </w:rPr>
        <w:t xml:space="preserve"> </w:t>
      </w:r>
      <w:r w:rsidR="00317C11" w:rsidRPr="00E21CB9">
        <w:rPr>
          <w:rFonts w:ascii="Times New Roman" w:hAnsi="Times New Roman"/>
          <w:i/>
          <w:iCs/>
          <w:noProof/>
          <w:sz w:val="24"/>
          <w:szCs w:val="24"/>
          <w:lang w:val="ro-RO"/>
        </w:rPr>
        <w:t>infracțiunilor</w:t>
      </w:r>
      <w:r w:rsidRPr="00E21CB9">
        <w:rPr>
          <w:rFonts w:ascii="Times New Roman" w:hAnsi="Times New Roman"/>
          <w:i/>
          <w:iCs/>
          <w:noProof/>
          <w:sz w:val="24"/>
          <w:szCs w:val="24"/>
          <w:lang w:val="ro-RO"/>
        </w:rPr>
        <w:t xml:space="preserve"> </w:t>
      </w:r>
      <w:r w:rsidR="00F56574" w:rsidRPr="00E21CB9">
        <w:rPr>
          <w:rFonts w:ascii="Times New Roman" w:hAnsi="Times New Roman"/>
          <w:i/>
          <w:iCs/>
          <w:noProof/>
          <w:sz w:val="24"/>
          <w:szCs w:val="24"/>
          <w:lang w:val="ro-RO"/>
        </w:rPr>
        <w:t>ș</w:t>
      </w:r>
      <w:r w:rsidRPr="00E21CB9">
        <w:rPr>
          <w:rFonts w:ascii="Times New Roman" w:hAnsi="Times New Roman"/>
          <w:i/>
          <w:iCs/>
          <w:noProof/>
          <w:sz w:val="24"/>
          <w:szCs w:val="24"/>
          <w:lang w:val="ro-RO"/>
        </w:rPr>
        <w:t>i pedepselor, se aplic</w:t>
      </w:r>
      <w:r w:rsidR="00F56574"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in ordinea juridic</w:t>
      </w:r>
      <w:r w:rsidR="00F56574"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xml:space="preserve"> italian</w:t>
      </w:r>
      <w:r w:rsidR="00F56574"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xml:space="preserve">, </w:t>
      </w:r>
      <w:r w:rsidR="00F56574" w:rsidRPr="00E21CB9">
        <w:rPr>
          <w:rFonts w:ascii="Times New Roman" w:hAnsi="Times New Roman"/>
          <w:i/>
          <w:iCs/>
          <w:noProof/>
          <w:sz w:val="24"/>
          <w:szCs w:val="24"/>
          <w:lang w:val="ro-RO"/>
        </w:rPr>
        <w:t>ș</w:t>
      </w:r>
      <w:r w:rsidRPr="00E21CB9">
        <w:rPr>
          <w:rFonts w:ascii="Times New Roman" w:hAnsi="Times New Roman"/>
          <w:i/>
          <w:iCs/>
          <w:noProof/>
          <w:sz w:val="24"/>
          <w:szCs w:val="24"/>
          <w:lang w:val="ro-RO"/>
        </w:rPr>
        <w:t xml:space="preserve">i regimului de </w:t>
      </w:r>
      <w:r w:rsidR="00317C11" w:rsidRPr="00E21CB9">
        <w:rPr>
          <w:rFonts w:ascii="Times New Roman" w:hAnsi="Times New Roman"/>
          <w:i/>
          <w:iCs/>
          <w:noProof/>
          <w:sz w:val="24"/>
          <w:szCs w:val="24"/>
          <w:lang w:val="ro-RO"/>
        </w:rPr>
        <w:t>prescripție</w:t>
      </w:r>
      <w:r w:rsidRPr="00E21CB9">
        <w:rPr>
          <w:rFonts w:ascii="Times New Roman" w:hAnsi="Times New Roman"/>
          <w:i/>
          <w:iCs/>
          <w:noProof/>
          <w:sz w:val="24"/>
          <w:szCs w:val="24"/>
          <w:lang w:val="ro-RO"/>
        </w:rPr>
        <w:t xml:space="preserve"> pentru </w:t>
      </w:r>
      <w:r w:rsidR="00317C11" w:rsidRPr="00E21CB9">
        <w:rPr>
          <w:rFonts w:ascii="Times New Roman" w:hAnsi="Times New Roman"/>
          <w:i/>
          <w:iCs/>
          <w:noProof/>
          <w:sz w:val="24"/>
          <w:szCs w:val="24"/>
          <w:lang w:val="ro-RO"/>
        </w:rPr>
        <w:t>infracțiuni</w:t>
      </w:r>
      <w:r w:rsidRPr="00E21CB9">
        <w:rPr>
          <w:rFonts w:ascii="Times New Roman" w:hAnsi="Times New Roman"/>
          <w:i/>
          <w:iCs/>
          <w:noProof/>
          <w:sz w:val="24"/>
          <w:szCs w:val="24"/>
          <w:lang w:val="ro-RO"/>
        </w:rPr>
        <w:t xml:space="preserve"> in materie de TVA.</w:t>
      </w:r>
    </w:p>
    <w:p w14:paraId="026EA38B" w14:textId="5C4B968A" w:rsidR="00A66CC8" w:rsidRPr="00E21CB9" w:rsidRDefault="00A66CC8" w:rsidP="00F10A47">
      <w:pPr>
        <w:spacing w:after="200" w:line="276" w:lineRule="auto"/>
        <w:jc w:val="both"/>
        <w:rPr>
          <w:rFonts w:ascii="Times New Roman" w:hAnsi="Times New Roman"/>
          <w:i/>
          <w:iCs/>
          <w:noProof/>
          <w:sz w:val="24"/>
          <w:szCs w:val="24"/>
          <w:lang w:val="ro-RO"/>
        </w:rPr>
      </w:pPr>
      <w:r w:rsidRPr="00E21CB9">
        <w:rPr>
          <w:rFonts w:ascii="Times New Roman" w:hAnsi="Times New Roman"/>
          <w:i/>
          <w:iCs/>
          <w:noProof/>
          <w:sz w:val="24"/>
          <w:szCs w:val="24"/>
          <w:lang w:val="ro-RO"/>
        </w:rPr>
        <w:t>59. Rezult</w:t>
      </w:r>
      <w:r w:rsidR="00F56574"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pe de o parte, c</w:t>
      </w:r>
      <w:r w:rsidR="00F56574"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xml:space="preserve"> revine </w:t>
      </w:r>
      <w:r w:rsidR="00317C11" w:rsidRPr="00E21CB9">
        <w:rPr>
          <w:rFonts w:ascii="Times New Roman" w:hAnsi="Times New Roman"/>
          <w:i/>
          <w:iCs/>
          <w:noProof/>
          <w:sz w:val="24"/>
          <w:szCs w:val="24"/>
          <w:lang w:val="ro-RO"/>
        </w:rPr>
        <w:t>instanței</w:t>
      </w:r>
      <w:r w:rsidRPr="00E21CB9">
        <w:rPr>
          <w:rFonts w:ascii="Times New Roman" w:hAnsi="Times New Roman"/>
          <w:i/>
          <w:iCs/>
          <w:noProof/>
          <w:sz w:val="24"/>
          <w:szCs w:val="24"/>
          <w:lang w:val="ro-RO"/>
        </w:rPr>
        <w:t xml:space="preserve"> </w:t>
      </w:r>
      <w:r w:rsidR="00317C11" w:rsidRPr="00E21CB9">
        <w:rPr>
          <w:rFonts w:ascii="Times New Roman" w:hAnsi="Times New Roman"/>
          <w:i/>
          <w:iCs/>
          <w:noProof/>
          <w:sz w:val="24"/>
          <w:szCs w:val="24"/>
          <w:lang w:val="ro-RO"/>
        </w:rPr>
        <w:t>naționale</w:t>
      </w:r>
      <w:r w:rsidRPr="00E21CB9">
        <w:rPr>
          <w:rFonts w:ascii="Times New Roman" w:hAnsi="Times New Roman"/>
          <w:i/>
          <w:iCs/>
          <w:noProof/>
          <w:sz w:val="24"/>
          <w:szCs w:val="24"/>
          <w:lang w:val="ro-RO"/>
        </w:rPr>
        <w:t xml:space="preserve"> </w:t>
      </w:r>
      <w:r w:rsidR="00317C11" w:rsidRPr="00E21CB9">
        <w:rPr>
          <w:rFonts w:ascii="Times New Roman" w:hAnsi="Times New Roman"/>
          <w:i/>
          <w:iCs/>
          <w:noProof/>
          <w:sz w:val="24"/>
          <w:szCs w:val="24"/>
          <w:lang w:val="ro-RO"/>
        </w:rPr>
        <w:t>obligația</w:t>
      </w:r>
      <w:r w:rsidRPr="00E21CB9">
        <w:rPr>
          <w:rFonts w:ascii="Times New Roman" w:hAnsi="Times New Roman"/>
          <w:i/>
          <w:iCs/>
          <w:noProof/>
          <w:sz w:val="24"/>
          <w:szCs w:val="24"/>
          <w:lang w:val="ro-RO"/>
        </w:rPr>
        <w:t xml:space="preserve"> de a verifica dac</w:t>
      </w:r>
      <w:r w:rsidR="00F56574"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xml:space="preserve"> constatarea impus</w:t>
      </w:r>
      <w:r w:rsidR="00F56574"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xml:space="preserve"> de punctul 58 din </w:t>
      </w:r>
      <w:r w:rsidR="00317C11" w:rsidRPr="00E21CB9">
        <w:rPr>
          <w:rFonts w:ascii="Times New Roman" w:hAnsi="Times New Roman"/>
          <w:i/>
          <w:iCs/>
          <w:noProof/>
          <w:sz w:val="24"/>
          <w:szCs w:val="24"/>
          <w:lang w:val="ro-RO"/>
        </w:rPr>
        <w:t>Hotărârea</w:t>
      </w:r>
      <w:r w:rsidRPr="00E21CB9">
        <w:rPr>
          <w:rFonts w:ascii="Times New Roman" w:hAnsi="Times New Roman"/>
          <w:i/>
          <w:iCs/>
          <w:noProof/>
          <w:sz w:val="24"/>
          <w:szCs w:val="24"/>
          <w:lang w:val="ro-RO"/>
        </w:rPr>
        <w:t xml:space="preserve"> Taricco, potrivit </w:t>
      </w:r>
      <w:r w:rsidR="00317C11" w:rsidRPr="00E21CB9">
        <w:rPr>
          <w:rFonts w:ascii="Times New Roman" w:hAnsi="Times New Roman"/>
          <w:i/>
          <w:iCs/>
          <w:noProof/>
          <w:sz w:val="24"/>
          <w:szCs w:val="24"/>
          <w:lang w:val="ro-RO"/>
        </w:rPr>
        <w:t>căreia</w:t>
      </w:r>
      <w:r w:rsidRPr="00E21CB9">
        <w:rPr>
          <w:rFonts w:ascii="Times New Roman" w:hAnsi="Times New Roman"/>
          <w:i/>
          <w:iCs/>
          <w:noProof/>
          <w:sz w:val="24"/>
          <w:szCs w:val="24"/>
          <w:lang w:val="ro-RO"/>
        </w:rPr>
        <w:t xml:space="preserve"> </w:t>
      </w:r>
      <w:r w:rsidR="00317C11" w:rsidRPr="00E21CB9">
        <w:rPr>
          <w:rFonts w:ascii="Times New Roman" w:hAnsi="Times New Roman"/>
          <w:i/>
          <w:iCs/>
          <w:noProof/>
          <w:sz w:val="24"/>
          <w:szCs w:val="24"/>
          <w:lang w:val="ro-RO"/>
        </w:rPr>
        <w:t>dispozițiile</w:t>
      </w:r>
      <w:r w:rsidRPr="00E21CB9">
        <w:rPr>
          <w:rFonts w:ascii="Times New Roman" w:hAnsi="Times New Roman"/>
          <w:i/>
          <w:iCs/>
          <w:noProof/>
          <w:sz w:val="24"/>
          <w:szCs w:val="24"/>
          <w:lang w:val="ro-RO"/>
        </w:rPr>
        <w:t xml:space="preserve"> in cauz</w:t>
      </w:r>
      <w:r w:rsidR="00F56574"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xml:space="preserve"> ale Codului penal </w:t>
      </w:r>
      <w:r w:rsidR="00317C11" w:rsidRPr="00E21CB9">
        <w:rPr>
          <w:rFonts w:ascii="Times New Roman" w:hAnsi="Times New Roman"/>
          <w:i/>
          <w:iCs/>
          <w:noProof/>
          <w:sz w:val="24"/>
          <w:szCs w:val="24"/>
          <w:lang w:val="ro-RO"/>
        </w:rPr>
        <w:t>împiedica</w:t>
      </w:r>
      <w:r w:rsidRPr="00E21CB9">
        <w:rPr>
          <w:rFonts w:ascii="Times New Roman" w:hAnsi="Times New Roman"/>
          <w:i/>
          <w:iCs/>
          <w:noProof/>
          <w:sz w:val="24"/>
          <w:szCs w:val="24"/>
          <w:lang w:val="ro-RO"/>
        </w:rPr>
        <w:t xml:space="preserve"> aplicarea unor </w:t>
      </w:r>
      <w:r w:rsidR="00317C11" w:rsidRPr="00E21CB9">
        <w:rPr>
          <w:rFonts w:ascii="Times New Roman" w:hAnsi="Times New Roman"/>
          <w:i/>
          <w:iCs/>
          <w:noProof/>
          <w:sz w:val="24"/>
          <w:szCs w:val="24"/>
          <w:lang w:val="ro-RO"/>
        </w:rPr>
        <w:t>sancțiuni</w:t>
      </w:r>
      <w:r w:rsidRPr="00E21CB9">
        <w:rPr>
          <w:rFonts w:ascii="Times New Roman" w:hAnsi="Times New Roman"/>
          <w:i/>
          <w:iCs/>
          <w:noProof/>
          <w:sz w:val="24"/>
          <w:szCs w:val="24"/>
          <w:lang w:val="ro-RO"/>
        </w:rPr>
        <w:t xml:space="preserve"> penale efective si disuasive intr</w:t>
      </w:r>
      <w:r w:rsidR="00F56574" w:rsidRPr="00E21CB9">
        <w:rPr>
          <w:rFonts w:ascii="Times New Roman" w:hAnsi="Times New Roman"/>
          <w:i/>
          <w:iCs/>
          <w:noProof/>
          <w:sz w:val="24"/>
          <w:szCs w:val="24"/>
          <w:lang w:val="ro-RO"/>
        </w:rPr>
        <w:t>-</w:t>
      </w:r>
      <w:r w:rsidRPr="00E21CB9">
        <w:rPr>
          <w:rFonts w:ascii="Times New Roman" w:hAnsi="Times New Roman"/>
          <w:i/>
          <w:iCs/>
          <w:noProof/>
          <w:sz w:val="24"/>
          <w:szCs w:val="24"/>
          <w:lang w:val="ro-RO"/>
        </w:rPr>
        <w:t xml:space="preserve">un </w:t>
      </w:r>
      <w:r w:rsidR="00317C11" w:rsidRPr="00E21CB9">
        <w:rPr>
          <w:rFonts w:ascii="Times New Roman" w:hAnsi="Times New Roman"/>
          <w:i/>
          <w:iCs/>
          <w:noProof/>
          <w:sz w:val="24"/>
          <w:szCs w:val="24"/>
          <w:lang w:val="ro-RO"/>
        </w:rPr>
        <w:t>număr</w:t>
      </w:r>
      <w:r w:rsidRPr="00E21CB9">
        <w:rPr>
          <w:rFonts w:ascii="Times New Roman" w:hAnsi="Times New Roman"/>
          <w:i/>
          <w:iCs/>
          <w:noProof/>
          <w:sz w:val="24"/>
          <w:szCs w:val="24"/>
          <w:lang w:val="ro-RO"/>
        </w:rPr>
        <w:t xml:space="preserve"> considerabil de cazuri de fraud</w:t>
      </w:r>
      <w:r w:rsidR="00F56574"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xml:space="preserve"> grav</w:t>
      </w:r>
      <w:r w:rsidR="00F56574"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xml:space="preserve"> </w:t>
      </w:r>
      <w:r w:rsidR="00317C11" w:rsidRPr="00E21CB9">
        <w:rPr>
          <w:rFonts w:ascii="Times New Roman" w:hAnsi="Times New Roman"/>
          <w:i/>
          <w:iCs/>
          <w:noProof/>
          <w:sz w:val="24"/>
          <w:szCs w:val="24"/>
          <w:lang w:val="ro-RO"/>
        </w:rPr>
        <w:t>aducând</w:t>
      </w:r>
      <w:r w:rsidRPr="00E21CB9">
        <w:rPr>
          <w:rFonts w:ascii="Times New Roman" w:hAnsi="Times New Roman"/>
          <w:i/>
          <w:iCs/>
          <w:noProof/>
          <w:sz w:val="24"/>
          <w:szCs w:val="24"/>
          <w:lang w:val="ro-RO"/>
        </w:rPr>
        <w:t xml:space="preserve"> atingere intereselor financiare ale Uniunii, conduce, in ordinea juridic</w:t>
      </w:r>
      <w:r w:rsidR="00F56574"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xml:space="preserve"> italian</w:t>
      </w:r>
      <w:r w:rsidR="00F56574"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xml:space="preserve">, la o </w:t>
      </w:r>
      <w:r w:rsidR="00317C11" w:rsidRPr="00E21CB9">
        <w:rPr>
          <w:rFonts w:ascii="Times New Roman" w:hAnsi="Times New Roman"/>
          <w:i/>
          <w:iCs/>
          <w:noProof/>
          <w:sz w:val="24"/>
          <w:szCs w:val="24"/>
          <w:lang w:val="ro-RO"/>
        </w:rPr>
        <w:t>situație</w:t>
      </w:r>
      <w:r w:rsidRPr="00E21CB9">
        <w:rPr>
          <w:rFonts w:ascii="Times New Roman" w:hAnsi="Times New Roman"/>
          <w:i/>
          <w:iCs/>
          <w:noProof/>
          <w:sz w:val="24"/>
          <w:szCs w:val="24"/>
          <w:lang w:val="ro-RO"/>
        </w:rPr>
        <w:t xml:space="preserve"> de incertitudine in ceea ce </w:t>
      </w:r>
      <w:r w:rsidR="00317C11" w:rsidRPr="00E21CB9">
        <w:rPr>
          <w:rFonts w:ascii="Times New Roman" w:hAnsi="Times New Roman"/>
          <w:i/>
          <w:iCs/>
          <w:noProof/>
          <w:sz w:val="24"/>
          <w:szCs w:val="24"/>
          <w:lang w:val="ro-RO"/>
        </w:rPr>
        <w:t>privește</w:t>
      </w:r>
      <w:r w:rsidRPr="00E21CB9">
        <w:rPr>
          <w:rFonts w:ascii="Times New Roman" w:hAnsi="Times New Roman"/>
          <w:i/>
          <w:iCs/>
          <w:noProof/>
          <w:sz w:val="24"/>
          <w:szCs w:val="24"/>
          <w:lang w:val="ro-RO"/>
        </w:rPr>
        <w:t xml:space="preserve"> stabilirea regimului de </w:t>
      </w:r>
      <w:r w:rsidR="00317C11" w:rsidRPr="00E21CB9">
        <w:rPr>
          <w:rFonts w:ascii="Times New Roman" w:hAnsi="Times New Roman"/>
          <w:i/>
          <w:iCs/>
          <w:noProof/>
          <w:sz w:val="24"/>
          <w:szCs w:val="24"/>
          <w:lang w:val="ro-RO"/>
        </w:rPr>
        <w:t>prescripție</w:t>
      </w:r>
      <w:r w:rsidRPr="00E21CB9">
        <w:rPr>
          <w:rFonts w:ascii="Times New Roman" w:hAnsi="Times New Roman"/>
          <w:i/>
          <w:iCs/>
          <w:noProof/>
          <w:sz w:val="24"/>
          <w:szCs w:val="24"/>
          <w:lang w:val="ro-RO"/>
        </w:rPr>
        <w:t xml:space="preserve"> aplicabil, care ar </w:t>
      </w:r>
      <w:r w:rsidR="00317C11" w:rsidRPr="00E21CB9">
        <w:rPr>
          <w:rFonts w:ascii="Times New Roman" w:hAnsi="Times New Roman"/>
          <w:i/>
          <w:iCs/>
          <w:noProof/>
          <w:sz w:val="24"/>
          <w:szCs w:val="24"/>
          <w:lang w:val="ro-RO"/>
        </w:rPr>
        <w:t>încalc</w:t>
      </w:r>
      <w:r w:rsidR="00F56574" w:rsidRPr="00E21CB9">
        <w:rPr>
          <w:rFonts w:ascii="Times New Roman" w:hAnsi="Times New Roman"/>
          <w:i/>
          <w:iCs/>
          <w:noProof/>
          <w:sz w:val="24"/>
          <w:szCs w:val="24"/>
          <w:lang w:val="ro-RO"/>
        </w:rPr>
        <w:t>a</w:t>
      </w:r>
      <w:r w:rsidRPr="00E21CB9">
        <w:rPr>
          <w:rFonts w:ascii="Times New Roman" w:hAnsi="Times New Roman"/>
          <w:i/>
          <w:iCs/>
          <w:noProof/>
          <w:sz w:val="24"/>
          <w:szCs w:val="24"/>
          <w:lang w:val="ro-RO"/>
        </w:rPr>
        <w:t xml:space="preserve"> principiul privind precizia legii aplicabile. Dac</w:t>
      </w:r>
      <w:r w:rsidR="00F56574"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xml:space="preserve"> aceasta </w:t>
      </w:r>
      <w:r w:rsidR="00317C11" w:rsidRPr="00E21CB9">
        <w:rPr>
          <w:rFonts w:ascii="Times New Roman" w:hAnsi="Times New Roman"/>
          <w:i/>
          <w:iCs/>
          <w:noProof/>
          <w:sz w:val="24"/>
          <w:szCs w:val="24"/>
          <w:lang w:val="ro-RO"/>
        </w:rPr>
        <w:t>situație</w:t>
      </w:r>
      <w:r w:rsidRPr="00E21CB9">
        <w:rPr>
          <w:rFonts w:ascii="Times New Roman" w:hAnsi="Times New Roman"/>
          <w:i/>
          <w:iCs/>
          <w:noProof/>
          <w:sz w:val="24"/>
          <w:szCs w:val="24"/>
          <w:lang w:val="ro-RO"/>
        </w:rPr>
        <w:t xml:space="preserve"> se </w:t>
      </w:r>
      <w:r w:rsidR="00317C11" w:rsidRPr="00E21CB9">
        <w:rPr>
          <w:rFonts w:ascii="Times New Roman" w:hAnsi="Times New Roman"/>
          <w:i/>
          <w:iCs/>
          <w:noProof/>
          <w:sz w:val="24"/>
          <w:szCs w:val="24"/>
          <w:lang w:val="ro-RO"/>
        </w:rPr>
        <w:t>regăsește</w:t>
      </w:r>
      <w:r w:rsidRPr="00E21CB9">
        <w:rPr>
          <w:rFonts w:ascii="Times New Roman" w:hAnsi="Times New Roman"/>
          <w:i/>
          <w:iCs/>
          <w:noProof/>
          <w:sz w:val="24"/>
          <w:szCs w:val="24"/>
          <w:lang w:val="ro-RO"/>
        </w:rPr>
        <w:t xml:space="preserve"> in mod efectiv in </w:t>
      </w:r>
      <w:r w:rsidR="00317C11" w:rsidRPr="00E21CB9">
        <w:rPr>
          <w:rFonts w:ascii="Times New Roman" w:hAnsi="Times New Roman"/>
          <w:i/>
          <w:iCs/>
          <w:noProof/>
          <w:sz w:val="24"/>
          <w:szCs w:val="24"/>
          <w:lang w:val="ro-RO"/>
        </w:rPr>
        <w:t>speță</w:t>
      </w:r>
      <w:r w:rsidRPr="00E21CB9">
        <w:rPr>
          <w:rFonts w:ascii="Times New Roman" w:hAnsi="Times New Roman"/>
          <w:i/>
          <w:iCs/>
          <w:noProof/>
          <w:sz w:val="24"/>
          <w:szCs w:val="24"/>
          <w:lang w:val="ro-RO"/>
        </w:rPr>
        <w:t xml:space="preserve">, </w:t>
      </w:r>
      <w:r w:rsidR="00317C11" w:rsidRPr="00E21CB9">
        <w:rPr>
          <w:rFonts w:ascii="Times New Roman" w:hAnsi="Times New Roman"/>
          <w:i/>
          <w:iCs/>
          <w:noProof/>
          <w:sz w:val="24"/>
          <w:szCs w:val="24"/>
          <w:lang w:val="ro-RO"/>
        </w:rPr>
        <w:t>instanța</w:t>
      </w:r>
      <w:r w:rsidRPr="00E21CB9">
        <w:rPr>
          <w:rFonts w:ascii="Times New Roman" w:hAnsi="Times New Roman"/>
          <w:i/>
          <w:iCs/>
          <w:noProof/>
          <w:sz w:val="24"/>
          <w:szCs w:val="24"/>
          <w:lang w:val="ro-RO"/>
        </w:rPr>
        <w:t xml:space="preserve"> </w:t>
      </w:r>
      <w:r w:rsidR="00317C11" w:rsidRPr="00E21CB9">
        <w:rPr>
          <w:rFonts w:ascii="Times New Roman" w:hAnsi="Times New Roman"/>
          <w:i/>
          <w:iCs/>
          <w:noProof/>
          <w:sz w:val="24"/>
          <w:szCs w:val="24"/>
          <w:lang w:val="ro-RO"/>
        </w:rPr>
        <w:t>național</w:t>
      </w:r>
      <w:r w:rsidR="00F56574"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xml:space="preserve"> nu are </w:t>
      </w:r>
      <w:r w:rsidR="00317C11" w:rsidRPr="00E21CB9">
        <w:rPr>
          <w:rFonts w:ascii="Times New Roman" w:hAnsi="Times New Roman"/>
          <w:i/>
          <w:iCs/>
          <w:noProof/>
          <w:sz w:val="24"/>
          <w:szCs w:val="24"/>
          <w:lang w:val="ro-RO"/>
        </w:rPr>
        <w:t>obligația</w:t>
      </w:r>
      <w:r w:rsidRPr="00E21CB9">
        <w:rPr>
          <w:rFonts w:ascii="Times New Roman" w:hAnsi="Times New Roman"/>
          <w:i/>
          <w:iCs/>
          <w:noProof/>
          <w:sz w:val="24"/>
          <w:szCs w:val="24"/>
          <w:lang w:val="ro-RO"/>
        </w:rPr>
        <w:t xml:space="preserve"> de a </w:t>
      </w:r>
      <w:r w:rsidR="00317C11" w:rsidRPr="00E21CB9">
        <w:rPr>
          <w:rFonts w:ascii="Times New Roman" w:hAnsi="Times New Roman"/>
          <w:i/>
          <w:iCs/>
          <w:noProof/>
          <w:sz w:val="24"/>
          <w:szCs w:val="24"/>
          <w:lang w:val="ro-RO"/>
        </w:rPr>
        <w:t>lăsa</w:t>
      </w:r>
      <w:r w:rsidRPr="00E21CB9">
        <w:rPr>
          <w:rFonts w:ascii="Times New Roman" w:hAnsi="Times New Roman"/>
          <w:i/>
          <w:iCs/>
          <w:noProof/>
          <w:sz w:val="24"/>
          <w:szCs w:val="24"/>
          <w:lang w:val="ro-RO"/>
        </w:rPr>
        <w:t xml:space="preserve"> neaplicate </w:t>
      </w:r>
      <w:r w:rsidR="00317C11" w:rsidRPr="00E21CB9">
        <w:rPr>
          <w:rFonts w:ascii="Times New Roman" w:hAnsi="Times New Roman"/>
          <w:i/>
          <w:iCs/>
          <w:noProof/>
          <w:sz w:val="24"/>
          <w:szCs w:val="24"/>
          <w:lang w:val="ro-RO"/>
        </w:rPr>
        <w:t>dispozițiile</w:t>
      </w:r>
      <w:r w:rsidRPr="00E21CB9">
        <w:rPr>
          <w:rFonts w:ascii="Times New Roman" w:hAnsi="Times New Roman"/>
          <w:i/>
          <w:iCs/>
          <w:noProof/>
          <w:sz w:val="24"/>
          <w:szCs w:val="24"/>
          <w:lang w:val="ro-RO"/>
        </w:rPr>
        <w:t xml:space="preserve"> in cauz</w:t>
      </w:r>
      <w:r w:rsidR="00F56574"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xml:space="preserve"> ale Codului penal.</w:t>
      </w:r>
    </w:p>
    <w:p w14:paraId="4A4343AE" w14:textId="1686B5FB" w:rsidR="00ED2096" w:rsidRPr="00E21CB9" w:rsidRDefault="00A66CC8"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Dacă așa stau lucrurile, atunci nu ar fi nevoie decât de o ordonanță pronunțată în temeiul Regulamentului CJUE</w:t>
      </w:r>
      <w:r w:rsidR="00695A7A" w:rsidRPr="00E21CB9">
        <w:rPr>
          <w:rFonts w:ascii="Times New Roman" w:hAnsi="Times New Roman"/>
          <w:noProof/>
          <w:sz w:val="24"/>
          <w:szCs w:val="24"/>
          <w:lang w:val="ro-RO"/>
        </w:rPr>
        <w:t xml:space="preserve"> care să asimileze situația descrisă în trimiterile din România cu </w:t>
      </w:r>
      <w:r w:rsidR="00695A7A" w:rsidRPr="00E21CB9">
        <w:rPr>
          <w:rFonts w:ascii="Times New Roman" w:hAnsi="Times New Roman"/>
          <w:i/>
          <w:iCs/>
          <w:noProof/>
          <w:sz w:val="24"/>
          <w:szCs w:val="24"/>
          <w:lang w:val="ro-RO"/>
        </w:rPr>
        <w:t>Taricco II.</w:t>
      </w:r>
      <w:r w:rsidR="00695A7A" w:rsidRPr="00E21CB9">
        <w:rPr>
          <w:rFonts w:ascii="Times New Roman" w:hAnsi="Times New Roman"/>
          <w:noProof/>
          <w:sz w:val="24"/>
          <w:szCs w:val="24"/>
          <w:lang w:val="ro-RO"/>
        </w:rPr>
        <w:t xml:space="preserve"> </w:t>
      </w:r>
      <w:r w:rsidR="00ED2096" w:rsidRPr="00E21CB9">
        <w:rPr>
          <w:rFonts w:ascii="Times New Roman" w:hAnsi="Times New Roman"/>
          <w:noProof/>
          <w:sz w:val="24"/>
          <w:szCs w:val="24"/>
          <w:lang w:val="ro-RO"/>
        </w:rPr>
        <w:t>Or, CJUE nu a ales procedura ordonanței, oferind un prim indiciu că ar putea considera situația diferită</w:t>
      </w:r>
      <w:r w:rsidR="00ED2096" w:rsidRPr="00E21CB9">
        <w:rPr>
          <w:rFonts w:ascii="Times New Roman" w:hAnsi="Times New Roman"/>
          <w:i/>
          <w:iCs/>
          <w:noProof/>
          <w:sz w:val="24"/>
          <w:szCs w:val="24"/>
          <w:lang w:val="ro-RO"/>
        </w:rPr>
        <w:t>.</w:t>
      </w:r>
    </w:p>
    <w:p w14:paraId="6984AA11" w14:textId="4C9A5674" w:rsidR="00A66CC8" w:rsidRPr="00E21CB9" w:rsidRDefault="00A66CC8"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Președintel</w:t>
      </w:r>
      <w:r w:rsidR="00F112BF" w:rsidRPr="00E21CB9">
        <w:rPr>
          <w:rFonts w:ascii="Times New Roman" w:hAnsi="Times New Roman"/>
          <w:noProof/>
          <w:sz w:val="24"/>
          <w:szCs w:val="24"/>
          <w:lang w:val="ro-RO"/>
        </w:rPr>
        <w:t>e</w:t>
      </w:r>
      <w:r w:rsidRPr="00E21CB9">
        <w:rPr>
          <w:rFonts w:ascii="Times New Roman" w:hAnsi="Times New Roman"/>
          <w:noProof/>
          <w:sz w:val="24"/>
          <w:szCs w:val="24"/>
          <w:lang w:val="ro-RO"/>
        </w:rPr>
        <w:t xml:space="preserve"> CJUE afirma</w:t>
      </w:r>
      <w:r w:rsidR="00ED2096" w:rsidRPr="00E21CB9">
        <w:rPr>
          <w:rStyle w:val="FootnoteReference"/>
          <w:rFonts w:ascii="Times New Roman" w:hAnsi="Times New Roman"/>
          <w:noProof/>
          <w:sz w:val="24"/>
          <w:szCs w:val="24"/>
          <w:lang w:val="ro-RO"/>
        </w:rPr>
        <w:footnoteReference w:id="8"/>
      </w:r>
      <w:r w:rsidRPr="00E21CB9">
        <w:rPr>
          <w:rFonts w:ascii="Times New Roman" w:hAnsi="Times New Roman"/>
          <w:noProof/>
          <w:sz w:val="24"/>
          <w:szCs w:val="24"/>
          <w:lang w:val="ro-RO"/>
        </w:rPr>
        <w:t xml:space="preserve">: </w:t>
      </w:r>
      <w:r w:rsidRPr="00E21CB9">
        <w:rPr>
          <w:rFonts w:ascii="Times New Roman" w:hAnsi="Times New Roman"/>
          <w:i/>
          <w:iCs/>
          <w:noProof/>
          <w:sz w:val="24"/>
          <w:szCs w:val="24"/>
          <w:lang w:val="ro-RO"/>
        </w:rPr>
        <w:t xml:space="preserve">Am citit cu interes viu ceea ce au afirmat unii comentatori despre hotărârea Curţii de Justiţie în M.A.S. şi M.B. (cunoscută şi drept Taricco II). Unii comentatori au comparat această hotărâre cu cea în Melloni, întrebându-se dacă a fost infirmată această din urmă </w:t>
      </w:r>
      <w:r w:rsidRPr="00E21CB9">
        <w:rPr>
          <w:rFonts w:ascii="Times New Roman" w:hAnsi="Times New Roman"/>
          <w:i/>
          <w:iCs/>
          <w:noProof/>
          <w:sz w:val="24"/>
          <w:szCs w:val="24"/>
          <w:lang w:val="ro-RO"/>
        </w:rPr>
        <w:lastRenderedPageBreak/>
        <w:t>hotărâre. Din punctul meu de vedere, este vădit totuşi că nu aceasta este abordarea corectă. Motivul este foarte simplu. Precum a remarcat avocatul general Bobek în concluziile sale în Dzivev, în timp ce în Melloni legiuitorul UE a instituit un nivel uniform de protecţie, lucrurile nu au stat astfel în M.A.S. şi M.B. . (...) Odată ce chiar legiuitorul UE a atins, în conformitate cu carta, un echilibru între protecţia acelor drepturi fundamentale şi cerinţele recunoaşterii reciproce a hotărârilor judecătoreşti, a fost exclusă aplicarea unui nivel mai ridicat al protecţiei naţionale. În sens contrar, în M.A.S. şi M.B., o altă cauză în materia TVA, Curtea de Justiţie a reamintit că, în cazuri de fraudă gravă cu TVA, statele membre trebuie să se asigure că sunt adoptate sancţiuni penale eficace şi disuasive. În absenţa armonizării la nivelul UE, revine însă statelor membre să adopte norme în materia prescripţiei aplicabile procedurilor penale referitoare la cazurile respective. Aceasta înseamnă, în esenţă, că, în timp ce un stat membru trebuie să impună sancţiuni penale, eficace şi disuasive, în cazuri de fraudă gravă cu TVA, el este liber să stabilească, de pildă, că normele privind prescripţia fac parte din dreptul penal material. Atunci când situaţia se prezintă astfel, Curtea de Justiţie a arătat că un atare stat membru trebuie să respecte principiul legalităţii infracţiunilor şi pedepselor, un drept fundamental consacrat la art. 49 din cartă, care corespunde art. 7 alin. (1) din convenţie . În consecinţă, chiar dacă normele privind prescripţia împiedică impunerea unor sancţiuni penale, eficace şi disuasive, într-un număr semnificativ de cazuri de fraudă gravă cu TVA, instanţa naţională nu este obligată să înlăture normele amintite în măsura în care acea obligaţie este incompatibilă cu art. 49 din cartă. Aceasta nu înseamnă totuşi că normele menţionate privind prescripţia sunt lăsate neafectate în detrimentul intereselor financiare ale UE. În lumina supremaţiei, unităţii şi efectivităţii dreptului UE, revine în primul rând legiuitorului naţional să modifice normele în materia prescripţiei, astfel încât să evite impunitatea într-un număr semnificativ de cazuri de fraudă gravă cu TVA</w:t>
      </w:r>
      <w:r w:rsidRPr="00E21CB9">
        <w:rPr>
          <w:rFonts w:ascii="Times New Roman" w:hAnsi="Times New Roman"/>
          <w:noProof/>
          <w:sz w:val="24"/>
          <w:szCs w:val="24"/>
          <w:lang w:val="ro-RO"/>
        </w:rPr>
        <w:t xml:space="preserve">. </w:t>
      </w:r>
    </w:p>
    <w:p w14:paraId="217D2C37" w14:textId="0691B888" w:rsidR="00A66CC8" w:rsidRPr="00E21CB9" w:rsidRDefault="00A66CC8"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 xml:space="preserve">Pentru că </w:t>
      </w:r>
      <w:r w:rsidR="00F112BF" w:rsidRPr="00E21CB9">
        <w:rPr>
          <w:rFonts w:ascii="Times New Roman" w:hAnsi="Times New Roman"/>
          <w:noProof/>
          <w:sz w:val="24"/>
          <w:szCs w:val="24"/>
          <w:lang w:val="ro-RO"/>
        </w:rPr>
        <w:t>între timp</w:t>
      </w:r>
      <w:r w:rsidRPr="00E21CB9">
        <w:rPr>
          <w:rFonts w:ascii="Times New Roman" w:hAnsi="Times New Roman"/>
          <w:noProof/>
          <w:sz w:val="24"/>
          <w:szCs w:val="24"/>
          <w:lang w:val="ro-RO"/>
        </w:rPr>
        <w:t xml:space="preserve"> a intrat în vigoare </w:t>
      </w:r>
      <w:r w:rsidR="005E1335" w:rsidRPr="00E21CB9">
        <w:rPr>
          <w:rFonts w:ascii="Times New Roman" w:hAnsi="Times New Roman"/>
          <w:noProof/>
          <w:sz w:val="24"/>
          <w:szCs w:val="24"/>
          <w:lang w:val="ro-RO"/>
        </w:rPr>
        <w:t>Directiva (</w:t>
      </w:r>
      <w:r w:rsidR="009C7D0B" w:rsidRPr="00E21CB9">
        <w:rPr>
          <w:rFonts w:ascii="Times New Roman" w:hAnsi="Times New Roman"/>
          <w:noProof/>
          <w:sz w:val="24"/>
          <w:szCs w:val="24"/>
          <w:lang w:val="ro-RO"/>
        </w:rPr>
        <w:t>UE</w:t>
      </w:r>
      <w:r w:rsidR="005E1335" w:rsidRPr="00E21CB9">
        <w:rPr>
          <w:rFonts w:ascii="Times New Roman" w:hAnsi="Times New Roman"/>
          <w:noProof/>
          <w:sz w:val="24"/>
          <w:szCs w:val="24"/>
          <w:lang w:val="ro-RO"/>
        </w:rPr>
        <w:t xml:space="preserve">) 2017/1371 a Parlamentului European și a Consiliului </w:t>
      </w:r>
      <w:r w:rsidRPr="00E21CB9">
        <w:rPr>
          <w:rFonts w:ascii="Times New Roman" w:hAnsi="Times New Roman"/>
          <w:noProof/>
          <w:sz w:val="24"/>
          <w:szCs w:val="24"/>
          <w:lang w:val="ro-RO"/>
        </w:rPr>
        <w:t>din 5 iulie 2017 privind combaterea fraudelor îndreptate împotriva intereselor financiare ale Uniunii prin mijloace</w:t>
      </w:r>
      <w:r w:rsidR="00D7088F" w:rsidRPr="00E21CB9">
        <w:rPr>
          <w:rFonts w:ascii="Times New Roman" w:hAnsi="Times New Roman"/>
          <w:noProof/>
          <w:sz w:val="24"/>
          <w:szCs w:val="24"/>
          <w:lang w:val="ro-RO"/>
        </w:rPr>
        <w:t xml:space="preserve"> </w:t>
      </w:r>
      <w:r w:rsidRPr="00E21CB9">
        <w:rPr>
          <w:rFonts w:ascii="Times New Roman" w:hAnsi="Times New Roman"/>
          <w:noProof/>
          <w:sz w:val="24"/>
          <w:szCs w:val="24"/>
          <w:lang w:val="ro-RO"/>
        </w:rPr>
        <w:t>de drept penal („Directiva PIF”) în cadrul căreia termenele minime de prescripție sunt considerabil mai scurte decât termenele generale de prescripție, neprelungite, prevăzute în legislația noastră națională, ar trebui să fie clar că, cel puțin de această dată, nivelul uniform de protecție este mai ridicat decât cel asigurat de dreptul intern.</w:t>
      </w:r>
    </w:p>
    <w:p w14:paraId="59EDDD04" w14:textId="384FA0D5" w:rsidR="00A66CC8" w:rsidRPr="00E21CB9" w:rsidRDefault="00A66CC8"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Și dacă, totuși, soluția va fi una diferită?</w:t>
      </w:r>
    </w:p>
    <w:p w14:paraId="74C90B83" w14:textId="696F50A6" w:rsidR="00D86BBE" w:rsidRPr="00E21CB9" w:rsidRDefault="00D24E31" w:rsidP="00F10A47">
      <w:pPr>
        <w:spacing w:after="200" w:line="276" w:lineRule="auto"/>
        <w:jc w:val="both"/>
        <w:rPr>
          <w:rFonts w:ascii="Times New Roman" w:hAnsi="Times New Roman"/>
          <w:b/>
          <w:bCs/>
          <w:noProof/>
          <w:sz w:val="24"/>
          <w:szCs w:val="24"/>
          <w:lang w:val="ro-RO"/>
        </w:rPr>
      </w:pPr>
      <w:r w:rsidRPr="00E21CB9">
        <w:rPr>
          <w:rFonts w:ascii="Times New Roman" w:hAnsi="Times New Roman"/>
          <w:b/>
          <w:bCs/>
          <w:noProof/>
          <w:sz w:val="24"/>
          <w:szCs w:val="24"/>
          <w:lang w:val="ro-RO"/>
        </w:rPr>
        <w:t xml:space="preserve">Constituție sau </w:t>
      </w:r>
      <w:r w:rsidR="000F5DAD" w:rsidRPr="00E21CB9">
        <w:rPr>
          <w:rFonts w:ascii="Times New Roman" w:hAnsi="Times New Roman"/>
          <w:b/>
          <w:bCs/>
          <w:noProof/>
          <w:sz w:val="24"/>
          <w:szCs w:val="24"/>
          <w:lang w:val="ro-RO"/>
        </w:rPr>
        <w:t>c</w:t>
      </w:r>
      <w:r w:rsidRPr="00E21CB9">
        <w:rPr>
          <w:rFonts w:ascii="Times New Roman" w:hAnsi="Times New Roman"/>
          <w:b/>
          <w:bCs/>
          <w:noProof/>
          <w:sz w:val="24"/>
          <w:szCs w:val="24"/>
          <w:lang w:val="ro-RO"/>
        </w:rPr>
        <w:t>artă?</w:t>
      </w:r>
    </w:p>
    <w:p w14:paraId="508179CE" w14:textId="766071C4" w:rsidR="004148C0" w:rsidRPr="00E21CB9" w:rsidRDefault="00A31DA3"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 xml:space="preserve">Pare </w:t>
      </w:r>
      <w:r w:rsidR="004148C0" w:rsidRPr="00E21CB9">
        <w:rPr>
          <w:rFonts w:ascii="Times New Roman" w:hAnsi="Times New Roman"/>
          <w:noProof/>
          <w:sz w:val="24"/>
          <w:szCs w:val="24"/>
          <w:lang w:val="ro-RO"/>
        </w:rPr>
        <w:t xml:space="preserve">de neconceput că dispoziții ale </w:t>
      </w:r>
      <w:r w:rsidR="004078D0" w:rsidRPr="00E21CB9">
        <w:rPr>
          <w:rFonts w:ascii="Times New Roman" w:hAnsi="Times New Roman"/>
          <w:noProof/>
          <w:sz w:val="24"/>
          <w:szCs w:val="24"/>
          <w:lang w:val="ro-RO"/>
        </w:rPr>
        <w:t>c</w:t>
      </w:r>
      <w:r w:rsidR="004148C0" w:rsidRPr="00E21CB9">
        <w:rPr>
          <w:rFonts w:ascii="Times New Roman" w:hAnsi="Times New Roman"/>
          <w:noProof/>
          <w:sz w:val="24"/>
          <w:szCs w:val="24"/>
          <w:lang w:val="ro-RO"/>
        </w:rPr>
        <w:t>artei ar putea constitui temeiul înlăturării protecției oferite de constituțiile naționale, în favoarea „efectivității și eficienței” dreptului penal substanțial adoptat la nivel național pentru protejarea intereselor financiare ale Uniunii Europene.</w:t>
      </w:r>
    </w:p>
    <w:p w14:paraId="6FBC5461" w14:textId="1F60DE16" w:rsidR="00A31DA3" w:rsidRPr="00E21CB9" w:rsidRDefault="004148C0"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lastRenderedPageBreak/>
        <w:t xml:space="preserve">Admitem că ar putea șoca </w:t>
      </w:r>
      <w:r w:rsidR="001F34EA" w:rsidRPr="00E21CB9">
        <w:rPr>
          <w:rFonts w:ascii="Times New Roman" w:hAnsi="Times New Roman"/>
          <w:noProof/>
          <w:sz w:val="24"/>
          <w:szCs w:val="24"/>
          <w:lang w:val="ro-RO"/>
        </w:rPr>
        <w:t>afirmația</w:t>
      </w:r>
      <w:r w:rsidRPr="00E21CB9">
        <w:rPr>
          <w:rFonts w:ascii="Times New Roman" w:hAnsi="Times New Roman"/>
          <w:noProof/>
          <w:sz w:val="24"/>
          <w:szCs w:val="24"/>
          <w:lang w:val="ro-RO"/>
        </w:rPr>
        <w:t xml:space="preserve"> precedent</w:t>
      </w:r>
      <w:r w:rsidR="001F34EA" w:rsidRPr="00E21CB9">
        <w:rPr>
          <w:rFonts w:ascii="Times New Roman" w:hAnsi="Times New Roman"/>
          <w:noProof/>
          <w:sz w:val="24"/>
          <w:szCs w:val="24"/>
          <w:lang w:val="ro-RO"/>
        </w:rPr>
        <w:t>ă</w:t>
      </w:r>
      <w:r w:rsidRPr="00E21CB9">
        <w:rPr>
          <w:rFonts w:ascii="Times New Roman" w:hAnsi="Times New Roman"/>
          <w:noProof/>
          <w:sz w:val="24"/>
          <w:szCs w:val="24"/>
          <w:lang w:val="ro-RO"/>
        </w:rPr>
        <w:t xml:space="preserve">, dar, în </w:t>
      </w:r>
      <w:r w:rsidR="001F34EA" w:rsidRPr="00E21CB9">
        <w:rPr>
          <w:rFonts w:ascii="Times New Roman" w:hAnsi="Times New Roman"/>
          <w:noProof/>
          <w:sz w:val="24"/>
          <w:szCs w:val="24"/>
          <w:lang w:val="ro-RO"/>
        </w:rPr>
        <w:t>esen</w:t>
      </w:r>
      <w:r w:rsidRPr="00E21CB9">
        <w:rPr>
          <w:rFonts w:ascii="Times New Roman" w:hAnsi="Times New Roman"/>
          <w:noProof/>
          <w:sz w:val="24"/>
          <w:szCs w:val="24"/>
          <w:lang w:val="ro-RO"/>
        </w:rPr>
        <w:t>ță, ea este echivalen</w:t>
      </w:r>
      <w:r w:rsidR="00551B2E" w:rsidRPr="00E21CB9">
        <w:rPr>
          <w:rFonts w:ascii="Times New Roman" w:hAnsi="Times New Roman"/>
          <w:noProof/>
          <w:sz w:val="24"/>
          <w:szCs w:val="24"/>
          <w:lang w:val="ro-RO"/>
        </w:rPr>
        <w:t>tă</w:t>
      </w:r>
      <w:r w:rsidRPr="00E21CB9">
        <w:rPr>
          <w:rFonts w:ascii="Times New Roman" w:hAnsi="Times New Roman"/>
          <w:noProof/>
          <w:sz w:val="24"/>
          <w:szCs w:val="24"/>
          <w:lang w:val="ro-RO"/>
        </w:rPr>
        <w:t xml:space="preserve"> cu susținerea că</w:t>
      </w:r>
      <w:r w:rsidR="00D7088F" w:rsidRPr="00E21CB9">
        <w:rPr>
          <w:rFonts w:ascii="Times New Roman" w:hAnsi="Times New Roman"/>
          <w:noProof/>
          <w:sz w:val="24"/>
          <w:szCs w:val="24"/>
          <w:lang w:val="ro-RO"/>
        </w:rPr>
        <w:t>,</w:t>
      </w:r>
      <w:r w:rsidR="00755BC7" w:rsidRPr="00E21CB9">
        <w:rPr>
          <w:rFonts w:ascii="Times New Roman" w:hAnsi="Times New Roman"/>
          <w:noProof/>
          <w:sz w:val="24"/>
          <w:szCs w:val="24"/>
          <w:lang w:val="ro-RO"/>
        </w:rPr>
        <w:t xml:space="preserve"> </w:t>
      </w:r>
      <w:r w:rsidR="00551B2E" w:rsidRPr="00E21CB9">
        <w:rPr>
          <w:rFonts w:ascii="Times New Roman" w:hAnsi="Times New Roman"/>
          <w:noProof/>
          <w:sz w:val="24"/>
          <w:szCs w:val="24"/>
          <w:lang w:val="ro-RO"/>
        </w:rPr>
        <w:t xml:space="preserve">atunci când </w:t>
      </w:r>
      <w:r w:rsidR="00755BC7" w:rsidRPr="00E21CB9">
        <w:rPr>
          <w:rFonts w:ascii="Times New Roman" w:hAnsi="Times New Roman"/>
          <w:noProof/>
          <w:sz w:val="24"/>
          <w:szCs w:val="24"/>
          <w:lang w:val="ro-RO"/>
        </w:rPr>
        <w:t>o măsură naţională pun</w:t>
      </w:r>
      <w:r w:rsidR="00551B2E" w:rsidRPr="00E21CB9">
        <w:rPr>
          <w:rFonts w:ascii="Times New Roman" w:hAnsi="Times New Roman"/>
          <w:noProof/>
          <w:sz w:val="24"/>
          <w:szCs w:val="24"/>
          <w:lang w:val="ro-RO"/>
        </w:rPr>
        <w:t>e</w:t>
      </w:r>
      <w:r w:rsidR="00755BC7" w:rsidRPr="00E21CB9">
        <w:rPr>
          <w:rFonts w:ascii="Times New Roman" w:hAnsi="Times New Roman"/>
          <w:noProof/>
          <w:sz w:val="24"/>
          <w:szCs w:val="24"/>
          <w:lang w:val="ro-RO"/>
        </w:rPr>
        <w:t xml:space="preserve"> în aplicare dreptul</w:t>
      </w:r>
      <w:r w:rsidR="00551B2E" w:rsidRPr="00E21CB9">
        <w:rPr>
          <w:rFonts w:ascii="Times New Roman" w:hAnsi="Times New Roman"/>
          <w:noProof/>
          <w:sz w:val="24"/>
          <w:szCs w:val="24"/>
          <w:lang w:val="ro-RO"/>
        </w:rPr>
        <w:t xml:space="preserve"> UE</w:t>
      </w:r>
      <w:r w:rsidR="00755BC7" w:rsidRPr="00E21CB9">
        <w:rPr>
          <w:rFonts w:ascii="Times New Roman" w:hAnsi="Times New Roman"/>
          <w:noProof/>
          <w:sz w:val="24"/>
          <w:szCs w:val="24"/>
          <w:lang w:val="ro-RO"/>
        </w:rPr>
        <w:t xml:space="preserve">, </w:t>
      </w:r>
      <w:r w:rsidR="00551B2E" w:rsidRPr="00E21CB9">
        <w:rPr>
          <w:rFonts w:ascii="Times New Roman" w:hAnsi="Times New Roman"/>
          <w:noProof/>
          <w:sz w:val="24"/>
          <w:szCs w:val="24"/>
          <w:lang w:val="ro-RO"/>
        </w:rPr>
        <w:t>acesta</w:t>
      </w:r>
      <w:r w:rsidR="00755BC7" w:rsidRPr="00E21CB9">
        <w:rPr>
          <w:rFonts w:ascii="Times New Roman" w:hAnsi="Times New Roman"/>
          <w:noProof/>
          <w:sz w:val="24"/>
          <w:szCs w:val="24"/>
          <w:lang w:val="ro-RO"/>
        </w:rPr>
        <w:t xml:space="preserve"> permite dreptului naţional să dispună un nivel mai ridicat de protecţie</w:t>
      </w:r>
      <w:r w:rsidR="00551B2E" w:rsidRPr="00E21CB9">
        <w:rPr>
          <w:rFonts w:ascii="Times New Roman" w:hAnsi="Times New Roman"/>
          <w:noProof/>
          <w:sz w:val="24"/>
          <w:szCs w:val="24"/>
          <w:lang w:val="ro-RO"/>
        </w:rPr>
        <w:t xml:space="preserve"> (doar) dacă</w:t>
      </w:r>
      <w:r w:rsidR="00755BC7" w:rsidRPr="00E21CB9">
        <w:rPr>
          <w:rFonts w:ascii="Times New Roman" w:hAnsi="Times New Roman"/>
          <w:noProof/>
          <w:sz w:val="24"/>
          <w:szCs w:val="24"/>
          <w:lang w:val="ro-RO"/>
        </w:rPr>
        <w:t xml:space="preserve"> dreptul UE nu dispune un nivel uniform al protecţiei şi în măsura în care nu sunt compromise supremaţia, unitatea şi efectivitatea dreptului UE. </w:t>
      </w:r>
    </w:p>
    <w:p w14:paraId="785731BE" w14:textId="63969D79" w:rsidR="00551B2E" w:rsidRPr="00E21CB9" w:rsidRDefault="00551B2E"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 xml:space="preserve">În alte cuvinte, </w:t>
      </w:r>
      <w:r w:rsidRPr="00E21CB9">
        <w:rPr>
          <w:rFonts w:ascii="Times New Roman" w:hAnsi="Times New Roman"/>
          <w:i/>
          <w:iCs/>
          <w:noProof/>
          <w:sz w:val="24"/>
          <w:szCs w:val="24"/>
          <w:lang w:val="ro-RO"/>
        </w:rPr>
        <w:t>protecția</w:t>
      </w:r>
      <w:r w:rsidRPr="00E21CB9">
        <w:rPr>
          <w:rFonts w:ascii="Times New Roman" w:hAnsi="Times New Roman"/>
          <w:noProof/>
          <w:sz w:val="24"/>
          <w:szCs w:val="24"/>
          <w:lang w:val="ro-RO"/>
        </w:rPr>
        <w:t xml:space="preserve"> oferită de </w:t>
      </w:r>
      <w:r w:rsidR="004078D0" w:rsidRPr="00E21CB9">
        <w:rPr>
          <w:rFonts w:ascii="Times New Roman" w:hAnsi="Times New Roman"/>
          <w:noProof/>
          <w:sz w:val="24"/>
          <w:szCs w:val="24"/>
          <w:lang w:val="ro-RO"/>
        </w:rPr>
        <w:t>c</w:t>
      </w:r>
      <w:r w:rsidRPr="00E21CB9">
        <w:rPr>
          <w:rFonts w:ascii="Times New Roman" w:hAnsi="Times New Roman"/>
          <w:noProof/>
          <w:sz w:val="24"/>
          <w:szCs w:val="24"/>
          <w:lang w:val="ro-RO"/>
        </w:rPr>
        <w:t xml:space="preserve">artă ar putea înlocui protecția asigurată în ordinea juridică internă, iar nivelul acesteia ar putea să nu fie superior prin raportare la </w:t>
      </w:r>
      <w:r w:rsidR="004078D0" w:rsidRPr="00E21CB9">
        <w:rPr>
          <w:rFonts w:ascii="Times New Roman" w:hAnsi="Times New Roman"/>
          <w:noProof/>
          <w:sz w:val="24"/>
          <w:szCs w:val="24"/>
          <w:lang w:val="ro-RO"/>
        </w:rPr>
        <w:t>C</w:t>
      </w:r>
      <w:r w:rsidRPr="00E21CB9">
        <w:rPr>
          <w:rFonts w:ascii="Times New Roman" w:hAnsi="Times New Roman"/>
          <w:noProof/>
          <w:sz w:val="24"/>
          <w:szCs w:val="24"/>
          <w:lang w:val="ro-RO"/>
        </w:rPr>
        <w:t>onstituția națională, atunci când este uniform și unional.</w:t>
      </w:r>
    </w:p>
    <w:p w14:paraId="1D5A92F5" w14:textId="16415D73" w:rsidR="008968D6" w:rsidRPr="00E21CB9" w:rsidRDefault="00551B2E"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 xml:space="preserve">Cele de mai sus nu sunt, însă, prevăzute în cuprinsul </w:t>
      </w:r>
      <w:r w:rsidR="00A66CC8" w:rsidRPr="00E21CB9">
        <w:rPr>
          <w:rFonts w:ascii="Times New Roman" w:hAnsi="Times New Roman"/>
          <w:noProof/>
          <w:sz w:val="24"/>
          <w:szCs w:val="24"/>
          <w:lang w:val="ro-RO"/>
        </w:rPr>
        <w:t>c</w:t>
      </w:r>
      <w:r w:rsidRPr="00E21CB9">
        <w:rPr>
          <w:rFonts w:ascii="Times New Roman" w:hAnsi="Times New Roman"/>
          <w:noProof/>
          <w:sz w:val="24"/>
          <w:szCs w:val="24"/>
          <w:lang w:val="ro-RO"/>
        </w:rPr>
        <w:t xml:space="preserve">artei, ci </w:t>
      </w:r>
      <w:r w:rsidR="00195AFB" w:rsidRPr="00E21CB9">
        <w:rPr>
          <w:rFonts w:ascii="Times New Roman" w:hAnsi="Times New Roman"/>
          <w:noProof/>
          <w:sz w:val="24"/>
          <w:szCs w:val="24"/>
          <w:lang w:val="ro-RO"/>
        </w:rPr>
        <w:t xml:space="preserve">își au sursa în </w:t>
      </w:r>
      <w:r w:rsidRPr="00E21CB9">
        <w:rPr>
          <w:rFonts w:ascii="Times New Roman" w:hAnsi="Times New Roman"/>
          <w:noProof/>
          <w:sz w:val="24"/>
          <w:szCs w:val="24"/>
          <w:lang w:val="ro-RO"/>
        </w:rPr>
        <w:t xml:space="preserve">dezvoltări jurisprudențiale </w:t>
      </w:r>
      <w:r w:rsidR="000D3366" w:rsidRPr="00E21CB9">
        <w:rPr>
          <w:rFonts w:ascii="Times New Roman" w:hAnsi="Times New Roman"/>
          <w:noProof/>
          <w:sz w:val="24"/>
          <w:szCs w:val="24"/>
          <w:lang w:val="ro-RO"/>
        </w:rPr>
        <w:t xml:space="preserve">sau </w:t>
      </w:r>
      <w:r w:rsidR="00A66CC8" w:rsidRPr="00E21CB9">
        <w:rPr>
          <w:rFonts w:ascii="Times New Roman" w:hAnsi="Times New Roman"/>
          <w:noProof/>
          <w:sz w:val="24"/>
          <w:szCs w:val="24"/>
          <w:lang w:val="ro-RO"/>
        </w:rPr>
        <w:t xml:space="preserve">în </w:t>
      </w:r>
      <w:r w:rsidR="000D3366" w:rsidRPr="00E21CB9">
        <w:rPr>
          <w:rFonts w:ascii="Times New Roman" w:hAnsi="Times New Roman"/>
          <w:noProof/>
          <w:sz w:val="24"/>
          <w:szCs w:val="24"/>
          <w:lang w:val="ro-RO"/>
        </w:rPr>
        <w:t>doctrina dreptului UE</w:t>
      </w:r>
      <w:r w:rsidR="00195AFB" w:rsidRPr="00E21CB9">
        <w:rPr>
          <w:rFonts w:ascii="Times New Roman" w:hAnsi="Times New Roman"/>
          <w:noProof/>
          <w:sz w:val="24"/>
          <w:szCs w:val="24"/>
          <w:lang w:val="ro-RO"/>
        </w:rPr>
        <w:t>.</w:t>
      </w:r>
      <w:r w:rsidR="008968D6" w:rsidRPr="00E21CB9">
        <w:rPr>
          <w:rFonts w:ascii="Times New Roman" w:hAnsi="Times New Roman"/>
          <w:noProof/>
          <w:sz w:val="24"/>
          <w:szCs w:val="24"/>
          <w:lang w:val="ro-RO"/>
        </w:rPr>
        <w:t xml:space="preserve"> </w:t>
      </w:r>
    </w:p>
    <w:p w14:paraId="703C81A8" w14:textId="6A39A487" w:rsidR="009C7D0B" w:rsidRPr="00E21CB9" w:rsidRDefault="00564165" w:rsidP="009C7D0B">
      <w:pPr>
        <w:spacing w:after="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D</w:t>
      </w:r>
      <w:r w:rsidR="00D7088F" w:rsidRPr="00E21CB9">
        <w:rPr>
          <w:rFonts w:ascii="Times New Roman" w:hAnsi="Times New Roman"/>
          <w:noProof/>
          <w:sz w:val="24"/>
          <w:szCs w:val="24"/>
          <w:lang w:val="ro-RO"/>
        </w:rPr>
        <w:t>i</w:t>
      </w:r>
      <w:r w:rsidRPr="00E21CB9">
        <w:rPr>
          <w:rFonts w:ascii="Times New Roman" w:hAnsi="Times New Roman"/>
          <w:noProof/>
          <w:sz w:val="24"/>
          <w:szCs w:val="24"/>
          <w:lang w:val="ro-RO"/>
        </w:rPr>
        <w:t>mpotrivă, c</w:t>
      </w:r>
      <w:r w:rsidR="00195AFB" w:rsidRPr="00E21CB9">
        <w:rPr>
          <w:rFonts w:ascii="Times New Roman" w:hAnsi="Times New Roman"/>
          <w:noProof/>
          <w:sz w:val="24"/>
          <w:szCs w:val="24"/>
          <w:lang w:val="ro-RO"/>
        </w:rPr>
        <w:t>onform art</w:t>
      </w:r>
      <w:r w:rsidR="00173DB2" w:rsidRPr="00E21CB9">
        <w:rPr>
          <w:rFonts w:ascii="Times New Roman" w:hAnsi="Times New Roman"/>
          <w:noProof/>
          <w:sz w:val="24"/>
          <w:szCs w:val="24"/>
          <w:lang w:val="ro-RO"/>
        </w:rPr>
        <w:t xml:space="preserve">icolului </w:t>
      </w:r>
      <w:r w:rsidR="00195AFB" w:rsidRPr="00E21CB9">
        <w:rPr>
          <w:rFonts w:ascii="Times New Roman" w:hAnsi="Times New Roman"/>
          <w:noProof/>
          <w:sz w:val="24"/>
          <w:szCs w:val="24"/>
          <w:lang w:val="ro-RO"/>
        </w:rPr>
        <w:t>52 alin. (3)</w:t>
      </w:r>
      <w:r w:rsidR="00D7088F" w:rsidRPr="00E21CB9">
        <w:rPr>
          <w:rFonts w:ascii="Times New Roman" w:hAnsi="Times New Roman"/>
          <w:noProof/>
          <w:sz w:val="24"/>
          <w:szCs w:val="24"/>
          <w:lang w:val="ro-RO"/>
        </w:rPr>
        <w:t xml:space="preserve"> din</w:t>
      </w:r>
      <w:r w:rsidR="00195AFB" w:rsidRPr="00E21CB9">
        <w:rPr>
          <w:rFonts w:ascii="Times New Roman" w:hAnsi="Times New Roman"/>
          <w:noProof/>
          <w:sz w:val="24"/>
          <w:szCs w:val="24"/>
          <w:lang w:val="ro-RO"/>
        </w:rPr>
        <w:t xml:space="preserve"> </w:t>
      </w:r>
      <w:r w:rsidR="00D7088F" w:rsidRPr="00E21CB9">
        <w:rPr>
          <w:rFonts w:ascii="Times New Roman" w:hAnsi="Times New Roman"/>
          <w:noProof/>
          <w:sz w:val="24"/>
          <w:szCs w:val="24"/>
          <w:lang w:val="ro-RO"/>
        </w:rPr>
        <w:t>Cartă</w:t>
      </w:r>
      <w:r w:rsidR="00195AFB" w:rsidRPr="00E21CB9">
        <w:rPr>
          <w:rFonts w:ascii="Times New Roman" w:hAnsi="Times New Roman"/>
          <w:noProof/>
          <w:sz w:val="24"/>
          <w:szCs w:val="24"/>
          <w:lang w:val="ro-RO"/>
        </w:rPr>
        <w:t>,  în măsura în care conţine drepturi ce corespund celor garantate de Convenți</w:t>
      </w:r>
      <w:r w:rsidR="00D7088F" w:rsidRPr="00E21CB9">
        <w:rPr>
          <w:rFonts w:ascii="Times New Roman" w:hAnsi="Times New Roman"/>
          <w:noProof/>
          <w:sz w:val="24"/>
          <w:szCs w:val="24"/>
          <w:lang w:val="ro-RO"/>
        </w:rPr>
        <w:t>e</w:t>
      </w:r>
      <w:r w:rsidR="00195AFB" w:rsidRPr="00E21CB9">
        <w:rPr>
          <w:rFonts w:ascii="Times New Roman" w:hAnsi="Times New Roman"/>
          <w:noProof/>
          <w:sz w:val="24"/>
          <w:szCs w:val="24"/>
          <w:lang w:val="ro-RO"/>
        </w:rPr>
        <w:t xml:space="preserve">, </w:t>
      </w:r>
      <w:r w:rsidR="00195AFB" w:rsidRPr="00E21CB9">
        <w:rPr>
          <w:rFonts w:ascii="Times New Roman" w:hAnsi="Times New Roman"/>
          <w:i/>
          <w:iCs/>
          <w:noProof/>
          <w:sz w:val="24"/>
          <w:szCs w:val="24"/>
          <w:lang w:val="ro-RO"/>
        </w:rPr>
        <w:t>înţelesul şi întinderea lor sunt aceleaşi ca şi cele prevăzute de convenţia menţionată</w:t>
      </w:r>
      <w:r w:rsidR="00195AFB" w:rsidRPr="00E21CB9">
        <w:rPr>
          <w:rFonts w:ascii="Times New Roman" w:hAnsi="Times New Roman"/>
          <w:noProof/>
          <w:sz w:val="24"/>
          <w:szCs w:val="24"/>
          <w:lang w:val="ro-RO"/>
        </w:rPr>
        <w:t>, fără</w:t>
      </w:r>
      <w:r w:rsidR="008968D6" w:rsidRPr="00E21CB9">
        <w:rPr>
          <w:rFonts w:ascii="Times New Roman" w:hAnsi="Times New Roman"/>
          <w:noProof/>
          <w:sz w:val="24"/>
          <w:szCs w:val="24"/>
          <w:lang w:val="ro-RO"/>
        </w:rPr>
        <w:t xml:space="preserve"> ca această dispoziție să împiedice dreptul Uniunii să confere o protecție mai largă.</w:t>
      </w:r>
    </w:p>
    <w:p w14:paraId="230FB876" w14:textId="4FB90297" w:rsidR="00195AFB" w:rsidRPr="00E21CB9" w:rsidRDefault="008968D6"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br/>
        <w:t>Mai mult, potrivit alin. (4)</w:t>
      </w:r>
      <w:r w:rsidR="00D7088F" w:rsidRPr="00E21CB9">
        <w:rPr>
          <w:rFonts w:ascii="Times New Roman" w:hAnsi="Times New Roman"/>
          <w:noProof/>
          <w:sz w:val="24"/>
          <w:szCs w:val="24"/>
          <w:lang w:val="ro-RO"/>
        </w:rPr>
        <w:t>,</w:t>
      </w:r>
      <w:r w:rsidRPr="00E21CB9">
        <w:rPr>
          <w:rFonts w:ascii="Times New Roman" w:hAnsi="Times New Roman"/>
          <w:noProof/>
          <w:sz w:val="24"/>
          <w:szCs w:val="24"/>
          <w:lang w:val="ro-RO"/>
        </w:rPr>
        <w:t xml:space="preserve"> atunci când </w:t>
      </w:r>
      <w:r w:rsidR="00A66CC8" w:rsidRPr="00E21CB9">
        <w:rPr>
          <w:rFonts w:ascii="Times New Roman" w:hAnsi="Times New Roman"/>
          <w:noProof/>
          <w:sz w:val="24"/>
          <w:szCs w:val="24"/>
          <w:lang w:val="ro-RO"/>
        </w:rPr>
        <w:t>c</w:t>
      </w:r>
      <w:r w:rsidRPr="00E21CB9">
        <w:rPr>
          <w:rFonts w:ascii="Times New Roman" w:hAnsi="Times New Roman"/>
          <w:noProof/>
          <w:sz w:val="24"/>
          <w:szCs w:val="24"/>
          <w:lang w:val="ro-RO"/>
        </w:rPr>
        <w:t xml:space="preserve">arta </w:t>
      </w:r>
      <w:r w:rsidRPr="00E21CB9">
        <w:rPr>
          <w:rFonts w:ascii="Times New Roman" w:hAnsi="Times New Roman"/>
          <w:i/>
          <w:iCs/>
          <w:noProof/>
          <w:sz w:val="24"/>
          <w:szCs w:val="24"/>
          <w:lang w:val="ro-RO"/>
        </w:rPr>
        <w:t>recunoaște drepturi fundamentale, așa cum rezultă acestea din tradițiile constituționale comune statelor membre, aceste drepturi sunt interpretate în conformitate cu tradițiile menționate.</w:t>
      </w:r>
    </w:p>
    <w:p w14:paraId="60CED026" w14:textId="324BF72E" w:rsidR="00D24E31" w:rsidRPr="00E21CB9" w:rsidRDefault="00564165" w:rsidP="00F10A47">
      <w:pPr>
        <w:spacing w:after="200" w:line="276" w:lineRule="auto"/>
        <w:jc w:val="both"/>
        <w:rPr>
          <w:rStyle w:val="markedcontent"/>
          <w:rFonts w:ascii="Times New Roman" w:hAnsi="Times New Roman"/>
          <w:i/>
          <w:iCs/>
          <w:noProof/>
          <w:sz w:val="24"/>
          <w:szCs w:val="24"/>
          <w:lang w:val="ro-RO"/>
        </w:rPr>
      </w:pPr>
      <w:r w:rsidRPr="00E21CB9">
        <w:rPr>
          <w:rFonts w:ascii="Times New Roman" w:hAnsi="Times New Roman"/>
          <w:noProof/>
          <w:sz w:val="24"/>
          <w:szCs w:val="24"/>
          <w:lang w:val="ro-RO"/>
        </w:rPr>
        <w:t>N</w:t>
      </w:r>
      <w:r w:rsidR="008968D6" w:rsidRPr="00E21CB9">
        <w:rPr>
          <w:rFonts w:ascii="Times New Roman" w:hAnsi="Times New Roman"/>
          <w:noProof/>
          <w:sz w:val="24"/>
          <w:szCs w:val="24"/>
          <w:lang w:val="ro-RO"/>
        </w:rPr>
        <w:t>ivelul de protecție stabilit prin constituțiile naționale</w:t>
      </w:r>
      <w:r w:rsidRPr="00E21CB9">
        <w:rPr>
          <w:rFonts w:ascii="Times New Roman" w:hAnsi="Times New Roman"/>
          <w:noProof/>
          <w:sz w:val="24"/>
          <w:szCs w:val="24"/>
          <w:lang w:val="ro-RO"/>
        </w:rPr>
        <w:t xml:space="preserve"> este unul de la care nu s-ar putea deroga</w:t>
      </w:r>
      <w:r w:rsidR="008968D6" w:rsidRPr="00E21CB9">
        <w:rPr>
          <w:rFonts w:ascii="Times New Roman" w:hAnsi="Times New Roman"/>
          <w:noProof/>
          <w:sz w:val="24"/>
          <w:szCs w:val="24"/>
          <w:lang w:val="ro-RO"/>
        </w:rPr>
        <w:t xml:space="preserve"> </w:t>
      </w:r>
      <w:r w:rsidRPr="00E21CB9">
        <w:rPr>
          <w:rFonts w:ascii="Times New Roman" w:hAnsi="Times New Roman"/>
          <w:noProof/>
          <w:sz w:val="24"/>
          <w:szCs w:val="24"/>
          <w:lang w:val="ro-RO"/>
        </w:rPr>
        <w:t>(</w:t>
      </w:r>
      <w:r w:rsidR="008968D6" w:rsidRPr="00E21CB9">
        <w:rPr>
          <w:rFonts w:ascii="Times New Roman" w:hAnsi="Times New Roman"/>
          <w:noProof/>
          <w:sz w:val="24"/>
          <w:szCs w:val="24"/>
          <w:lang w:val="ro-RO"/>
        </w:rPr>
        <w:t>art</w:t>
      </w:r>
      <w:r w:rsidR="00173DB2" w:rsidRPr="00E21CB9">
        <w:rPr>
          <w:rFonts w:ascii="Times New Roman" w:hAnsi="Times New Roman"/>
          <w:noProof/>
          <w:sz w:val="24"/>
          <w:szCs w:val="24"/>
          <w:lang w:val="ro-RO"/>
        </w:rPr>
        <w:t xml:space="preserve">icolul </w:t>
      </w:r>
      <w:r w:rsidR="008968D6" w:rsidRPr="00E21CB9">
        <w:rPr>
          <w:rFonts w:ascii="Times New Roman" w:hAnsi="Times New Roman"/>
          <w:noProof/>
          <w:sz w:val="24"/>
          <w:szCs w:val="24"/>
          <w:lang w:val="ro-RO"/>
        </w:rPr>
        <w:t>53 din C</w:t>
      </w:r>
      <w:r w:rsidR="00AC64E7" w:rsidRPr="00E21CB9">
        <w:rPr>
          <w:rFonts w:ascii="Times New Roman" w:hAnsi="Times New Roman"/>
          <w:noProof/>
          <w:sz w:val="24"/>
          <w:szCs w:val="24"/>
          <w:lang w:val="ro-RO"/>
        </w:rPr>
        <w:t>artă</w:t>
      </w:r>
      <w:r w:rsidRPr="00E21CB9">
        <w:rPr>
          <w:rFonts w:ascii="Times New Roman" w:hAnsi="Times New Roman"/>
          <w:noProof/>
          <w:sz w:val="24"/>
          <w:szCs w:val="24"/>
          <w:lang w:val="ro-RO"/>
        </w:rPr>
        <w:t>)</w:t>
      </w:r>
      <w:r w:rsidR="005E1335" w:rsidRPr="00E21CB9">
        <w:rPr>
          <w:rFonts w:ascii="Times New Roman" w:hAnsi="Times New Roman"/>
          <w:noProof/>
          <w:sz w:val="24"/>
          <w:szCs w:val="24"/>
          <w:lang w:val="ro-RO"/>
        </w:rPr>
        <w:t>,</w:t>
      </w:r>
      <w:r w:rsidR="008968D6" w:rsidRPr="00E21CB9">
        <w:rPr>
          <w:rFonts w:ascii="Times New Roman" w:hAnsi="Times New Roman"/>
          <w:noProof/>
          <w:sz w:val="24"/>
          <w:szCs w:val="24"/>
          <w:lang w:val="ro-RO"/>
        </w:rPr>
        <w:t xml:space="preserve"> </w:t>
      </w:r>
      <w:r w:rsidRPr="00E21CB9">
        <w:rPr>
          <w:rFonts w:ascii="Times New Roman" w:hAnsi="Times New Roman"/>
          <w:noProof/>
          <w:sz w:val="24"/>
          <w:szCs w:val="24"/>
          <w:lang w:val="ro-RO"/>
        </w:rPr>
        <w:t xml:space="preserve">căci </w:t>
      </w:r>
      <w:r w:rsidR="005E1335" w:rsidRPr="00E21CB9">
        <w:rPr>
          <w:rStyle w:val="markedcontent"/>
          <w:rFonts w:ascii="Times New Roman" w:hAnsi="Times New Roman"/>
          <w:noProof/>
          <w:sz w:val="24"/>
          <w:szCs w:val="24"/>
          <w:lang w:val="ro-RO"/>
        </w:rPr>
        <w:t>n</w:t>
      </w:r>
      <w:r w:rsidR="008968D6" w:rsidRPr="00E21CB9">
        <w:rPr>
          <w:rStyle w:val="markedcontent"/>
          <w:rFonts w:ascii="Times New Roman" w:hAnsi="Times New Roman"/>
          <w:noProof/>
          <w:sz w:val="24"/>
          <w:szCs w:val="24"/>
          <w:lang w:val="ro-RO"/>
        </w:rPr>
        <w:t>iciuna dintre dispozițiile carte</w:t>
      </w:r>
      <w:r w:rsidR="005E1335" w:rsidRPr="00E21CB9">
        <w:rPr>
          <w:rStyle w:val="markedcontent"/>
          <w:rFonts w:ascii="Times New Roman" w:hAnsi="Times New Roman"/>
          <w:noProof/>
          <w:sz w:val="24"/>
          <w:szCs w:val="24"/>
          <w:lang w:val="ro-RO"/>
        </w:rPr>
        <w:t>i</w:t>
      </w:r>
      <w:r w:rsidR="008968D6" w:rsidRPr="00E21CB9">
        <w:rPr>
          <w:rStyle w:val="markedcontent"/>
          <w:rFonts w:ascii="Times New Roman" w:hAnsi="Times New Roman"/>
          <w:i/>
          <w:iCs/>
          <w:noProof/>
          <w:sz w:val="24"/>
          <w:szCs w:val="24"/>
          <w:lang w:val="ro-RO"/>
        </w:rPr>
        <w:t xml:space="preserve"> nu poate fi interpretată ca restrângând sau</w:t>
      </w:r>
      <w:r w:rsidRPr="00E21CB9">
        <w:rPr>
          <w:rStyle w:val="markedcontent"/>
          <w:rFonts w:ascii="Times New Roman" w:hAnsi="Times New Roman"/>
          <w:i/>
          <w:iCs/>
          <w:noProof/>
          <w:sz w:val="24"/>
          <w:szCs w:val="24"/>
          <w:lang w:val="ro-RO"/>
        </w:rPr>
        <w:t xml:space="preserve"> </w:t>
      </w:r>
      <w:r w:rsidR="008968D6" w:rsidRPr="00E21CB9">
        <w:rPr>
          <w:rStyle w:val="markedcontent"/>
          <w:rFonts w:ascii="Times New Roman" w:hAnsi="Times New Roman"/>
          <w:i/>
          <w:iCs/>
          <w:noProof/>
          <w:sz w:val="24"/>
          <w:szCs w:val="24"/>
          <w:lang w:val="ro-RO"/>
        </w:rPr>
        <w:t>aducân</w:t>
      </w:r>
      <w:r w:rsidRPr="00E21CB9">
        <w:rPr>
          <w:rStyle w:val="markedcontent"/>
          <w:rFonts w:ascii="Times New Roman" w:hAnsi="Times New Roman"/>
          <w:i/>
          <w:iCs/>
          <w:noProof/>
          <w:sz w:val="24"/>
          <w:szCs w:val="24"/>
          <w:lang w:val="ro-RO"/>
        </w:rPr>
        <w:t xml:space="preserve">d </w:t>
      </w:r>
      <w:r w:rsidR="008968D6" w:rsidRPr="00E21CB9">
        <w:rPr>
          <w:rStyle w:val="markedcontent"/>
          <w:rFonts w:ascii="Times New Roman" w:hAnsi="Times New Roman"/>
          <w:i/>
          <w:iCs/>
          <w:noProof/>
          <w:sz w:val="24"/>
          <w:szCs w:val="24"/>
          <w:lang w:val="ro-RO"/>
        </w:rPr>
        <w:t>atingere drepturilor omului și libertăților fundamentale recunoscute, în domeniile de aplicare corespunzătoare, de dreptul Uniunii și dreptul internațional, precum și de convențiile internaționale la care</w:t>
      </w:r>
      <w:r w:rsidR="00595D67" w:rsidRPr="00E21CB9">
        <w:rPr>
          <w:rStyle w:val="markedcontent"/>
          <w:rFonts w:ascii="Times New Roman" w:hAnsi="Times New Roman"/>
          <w:i/>
          <w:iCs/>
          <w:noProof/>
          <w:sz w:val="24"/>
          <w:szCs w:val="24"/>
          <w:lang w:val="ro-RO"/>
        </w:rPr>
        <w:t xml:space="preserve"> </w:t>
      </w:r>
      <w:r w:rsidR="008968D6" w:rsidRPr="00E21CB9">
        <w:rPr>
          <w:rStyle w:val="markedcontent"/>
          <w:rFonts w:ascii="Times New Roman" w:hAnsi="Times New Roman"/>
          <w:i/>
          <w:iCs/>
          <w:noProof/>
          <w:sz w:val="24"/>
          <w:szCs w:val="24"/>
          <w:lang w:val="ro-RO"/>
        </w:rPr>
        <w:t>Uniunea sau toate statele membre sunt părți, și în special Convenția europeană pentru apărarea</w:t>
      </w:r>
      <w:r w:rsidR="00595D67" w:rsidRPr="00E21CB9">
        <w:rPr>
          <w:rStyle w:val="markedcontent"/>
          <w:rFonts w:ascii="Times New Roman" w:hAnsi="Times New Roman"/>
          <w:i/>
          <w:iCs/>
          <w:noProof/>
          <w:sz w:val="24"/>
          <w:szCs w:val="24"/>
          <w:lang w:val="ro-RO"/>
        </w:rPr>
        <w:t xml:space="preserve"> </w:t>
      </w:r>
      <w:r w:rsidR="008968D6" w:rsidRPr="00E21CB9">
        <w:rPr>
          <w:rStyle w:val="markedcontent"/>
          <w:rFonts w:ascii="Times New Roman" w:hAnsi="Times New Roman"/>
          <w:i/>
          <w:iCs/>
          <w:noProof/>
          <w:sz w:val="24"/>
          <w:szCs w:val="24"/>
          <w:lang w:val="ro-RO"/>
        </w:rPr>
        <w:t xml:space="preserve">drepturilor omului și a libertăților fundamentale, precum și prin constituțiile statelor </w:t>
      </w:r>
      <w:r w:rsidR="00595D67" w:rsidRPr="00E21CB9">
        <w:rPr>
          <w:rStyle w:val="markedcontent"/>
          <w:rFonts w:ascii="Times New Roman" w:hAnsi="Times New Roman"/>
          <w:i/>
          <w:iCs/>
          <w:noProof/>
          <w:sz w:val="24"/>
          <w:szCs w:val="24"/>
          <w:lang w:val="ro-RO"/>
        </w:rPr>
        <w:t>membre</w:t>
      </w:r>
      <w:r w:rsidR="00595D67" w:rsidRPr="00E21CB9">
        <w:rPr>
          <w:rStyle w:val="markedcontent"/>
          <w:rFonts w:ascii="Times New Roman" w:hAnsi="Times New Roman"/>
          <w:noProof/>
          <w:lang w:val="ro-RO"/>
        </w:rPr>
        <w:t>.</w:t>
      </w:r>
    </w:p>
    <w:p w14:paraId="5654D4B8" w14:textId="5B554C67" w:rsidR="00D24E31" w:rsidRPr="00E21CB9" w:rsidRDefault="00D24E31" w:rsidP="00EA1E00">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Ar trebui să fie clar, așadar, că CDFUE nu poate constitui un temei pentru coborârea standardului oferit de o constituția unui stat membru.</w:t>
      </w:r>
    </w:p>
    <w:p w14:paraId="4823BC18" w14:textId="3AD7C248" w:rsidR="00EA1E00" w:rsidRPr="00E21CB9" w:rsidRDefault="00EA1E00" w:rsidP="00EA1E00">
      <w:pPr>
        <w:pStyle w:val="TextNumbered"/>
        <w:numPr>
          <w:ilvl w:val="0"/>
          <w:numId w:val="0"/>
        </w:numPr>
        <w:tabs>
          <w:tab w:val="left" w:pos="450"/>
          <w:tab w:val="left" w:pos="720"/>
          <w:tab w:val="left" w:pos="837"/>
          <w:tab w:val="left" w:pos="1107"/>
        </w:tabs>
        <w:spacing w:line="276" w:lineRule="auto"/>
        <w:rPr>
          <w:rFonts w:ascii="Times New Roman" w:hAnsi="Times New Roman"/>
          <w:noProof/>
          <w:sz w:val="24"/>
          <w:szCs w:val="24"/>
        </w:rPr>
      </w:pPr>
      <w:r w:rsidRPr="00E21CB9">
        <w:rPr>
          <w:rFonts w:ascii="Times New Roman" w:hAnsi="Times New Roman"/>
          <w:noProof/>
          <w:sz w:val="24"/>
          <w:szCs w:val="24"/>
        </w:rPr>
        <w:t xml:space="preserve">Întrucât </w:t>
      </w:r>
      <w:r w:rsidR="005E1335" w:rsidRPr="00E21CB9">
        <w:rPr>
          <w:rFonts w:ascii="Times New Roman" w:hAnsi="Times New Roman"/>
          <w:noProof/>
          <w:sz w:val="24"/>
          <w:szCs w:val="24"/>
        </w:rPr>
        <w:t>d</w:t>
      </w:r>
      <w:r w:rsidRPr="00E21CB9">
        <w:rPr>
          <w:rFonts w:ascii="Times New Roman" w:hAnsi="Times New Roman"/>
          <w:noProof/>
          <w:sz w:val="24"/>
          <w:szCs w:val="24"/>
        </w:rPr>
        <w:t xml:space="preserve">ispozițiile Convenției au aplicabilitate directă în dreptul intern și caracter prioritar față de normele naționale dacă acestea din urmă conferă o protecție mai redusă drepturilor fundamentale, temeiul acestei subsidiarități fiind tot unul constituțional, se cuvine a aminti și perspectiva </w:t>
      </w:r>
      <w:r w:rsidR="00D7088F" w:rsidRPr="00E21CB9">
        <w:rPr>
          <w:rFonts w:ascii="Times New Roman" w:hAnsi="Times New Roman"/>
          <w:noProof/>
          <w:sz w:val="24"/>
          <w:szCs w:val="24"/>
        </w:rPr>
        <w:t>CtEDO</w:t>
      </w:r>
      <w:r w:rsidR="00265CD1" w:rsidRPr="00E21CB9">
        <w:rPr>
          <w:rFonts w:ascii="Times New Roman" w:hAnsi="Times New Roman"/>
          <w:noProof/>
          <w:sz w:val="24"/>
          <w:szCs w:val="24"/>
        </w:rPr>
        <w:t xml:space="preserve"> </w:t>
      </w:r>
      <w:r w:rsidRPr="00E21CB9">
        <w:rPr>
          <w:rFonts w:ascii="Times New Roman" w:hAnsi="Times New Roman"/>
          <w:noProof/>
          <w:sz w:val="24"/>
          <w:szCs w:val="24"/>
        </w:rPr>
        <w:t xml:space="preserve">asupra raportului Convenție – drept UE. </w:t>
      </w:r>
    </w:p>
    <w:p w14:paraId="1F56AD9E" w14:textId="0245263E" w:rsidR="00265CD1" w:rsidRPr="00E21CB9" w:rsidRDefault="00EA1E00" w:rsidP="00EA1E00">
      <w:pPr>
        <w:pStyle w:val="TextNumbered"/>
        <w:numPr>
          <w:ilvl w:val="0"/>
          <w:numId w:val="0"/>
        </w:numPr>
        <w:tabs>
          <w:tab w:val="left" w:pos="450"/>
          <w:tab w:val="left" w:pos="720"/>
          <w:tab w:val="left" w:pos="837"/>
          <w:tab w:val="left" w:pos="1107"/>
        </w:tabs>
        <w:spacing w:line="276" w:lineRule="auto"/>
        <w:rPr>
          <w:rFonts w:ascii="Times New Roman" w:hAnsi="Times New Roman"/>
          <w:noProof/>
          <w:sz w:val="24"/>
          <w:szCs w:val="24"/>
          <w:lang w:bidi="ne-NP"/>
        </w:rPr>
      </w:pPr>
      <w:r w:rsidRPr="00E21CB9">
        <w:rPr>
          <w:rFonts w:ascii="Times New Roman" w:hAnsi="Times New Roman"/>
          <w:noProof/>
          <w:sz w:val="24"/>
          <w:szCs w:val="24"/>
        </w:rPr>
        <w:lastRenderedPageBreak/>
        <w:t xml:space="preserve">Deși a creat și </w:t>
      </w:r>
      <w:r w:rsidR="004D48BB" w:rsidRPr="00E21CB9">
        <w:rPr>
          <w:rFonts w:ascii="Times New Roman" w:hAnsi="Times New Roman"/>
          <w:noProof/>
          <w:sz w:val="24"/>
          <w:szCs w:val="24"/>
        </w:rPr>
        <w:t>nuanțat</w:t>
      </w:r>
      <w:r w:rsidR="004D48BB" w:rsidRPr="00E21CB9">
        <w:rPr>
          <w:rStyle w:val="FootnoteReference"/>
          <w:rFonts w:ascii="Times New Roman" w:hAnsi="Times New Roman"/>
          <w:noProof/>
          <w:sz w:val="24"/>
          <w:szCs w:val="24"/>
        </w:rPr>
        <w:footnoteReference w:id="9"/>
      </w:r>
      <w:r w:rsidR="004D48BB" w:rsidRPr="00E21CB9">
        <w:rPr>
          <w:rFonts w:ascii="Times New Roman" w:hAnsi="Times New Roman"/>
          <w:noProof/>
          <w:sz w:val="24"/>
          <w:szCs w:val="24"/>
        </w:rPr>
        <w:t xml:space="preserve"> </w:t>
      </w:r>
      <w:r w:rsidR="00265CD1" w:rsidRPr="00E21CB9">
        <w:rPr>
          <w:rFonts w:ascii="Times New Roman" w:hAnsi="Times New Roman"/>
          <w:i/>
          <w:iCs/>
          <w:noProof/>
          <w:sz w:val="24"/>
          <w:szCs w:val="24"/>
        </w:rPr>
        <w:t>prezumția Bosphorus</w:t>
      </w:r>
      <w:r w:rsidR="00265CD1" w:rsidRPr="00E21CB9">
        <w:rPr>
          <w:rFonts w:ascii="Times New Roman" w:hAnsi="Times New Roman"/>
          <w:noProof/>
          <w:sz w:val="24"/>
          <w:szCs w:val="24"/>
        </w:rPr>
        <w:t>, o prezumție de protecție echivalentă</w:t>
      </w:r>
      <w:r w:rsidRPr="00E21CB9">
        <w:rPr>
          <w:rFonts w:ascii="Times New Roman" w:hAnsi="Times New Roman"/>
          <w:noProof/>
          <w:sz w:val="24"/>
          <w:szCs w:val="24"/>
        </w:rPr>
        <w:t xml:space="preserve"> a dreptului Uniunii cu cea garantată prin Convenție</w:t>
      </w:r>
      <w:r w:rsidR="00265CD1" w:rsidRPr="00E21CB9">
        <w:rPr>
          <w:rFonts w:ascii="Times New Roman" w:hAnsi="Times New Roman"/>
          <w:noProof/>
          <w:sz w:val="24"/>
          <w:szCs w:val="24"/>
        </w:rPr>
        <w:t xml:space="preserve">, </w:t>
      </w:r>
      <w:r w:rsidRPr="00E21CB9">
        <w:rPr>
          <w:rFonts w:ascii="Times New Roman" w:hAnsi="Times New Roman"/>
          <w:noProof/>
          <w:sz w:val="24"/>
          <w:szCs w:val="24"/>
        </w:rPr>
        <w:t>C</w:t>
      </w:r>
      <w:r w:rsidR="00D7088F" w:rsidRPr="00E21CB9">
        <w:rPr>
          <w:rFonts w:ascii="Times New Roman" w:hAnsi="Times New Roman"/>
          <w:noProof/>
          <w:sz w:val="24"/>
          <w:szCs w:val="24"/>
        </w:rPr>
        <w:t>t</w:t>
      </w:r>
      <w:r w:rsidRPr="00E21CB9">
        <w:rPr>
          <w:rFonts w:ascii="Times New Roman" w:hAnsi="Times New Roman"/>
          <w:noProof/>
          <w:sz w:val="24"/>
          <w:szCs w:val="24"/>
        </w:rPr>
        <w:t>EDO rămâne vigilentă în privința respectării și menținerii nivelului de protecție promis:</w:t>
      </w:r>
    </w:p>
    <w:p w14:paraId="58E2E57C" w14:textId="19D3DB30" w:rsidR="004D48BB" w:rsidRPr="00E21CB9" w:rsidRDefault="00265CD1" w:rsidP="00F10A47">
      <w:pPr>
        <w:spacing w:after="200" w:line="276" w:lineRule="auto"/>
        <w:jc w:val="both"/>
        <w:rPr>
          <w:rFonts w:ascii="Times New Roman" w:hAnsi="Times New Roman"/>
          <w:i/>
          <w:iCs/>
          <w:noProof/>
          <w:sz w:val="24"/>
          <w:szCs w:val="24"/>
          <w:lang w:val="ro-RO"/>
        </w:rPr>
      </w:pPr>
      <w:r w:rsidRPr="00E21CB9">
        <w:rPr>
          <w:rFonts w:ascii="Times New Roman" w:hAnsi="Times New Roman"/>
          <w:i/>
          <w:iCs/>
          <w:noProof/>
          <w:sz w:val="24"/>
          <w:szCs w:val="24"/>
          <w:lang w:val="ro-RO"/>
        </w:rPr>
        <w:t xml:space="preserve">102. Curtea a considerat, în cadrul fostului „prim pilon” al Uniunii (Bosphorus, citată anterior, pct. 72), că protecția drepturilor fundamentale garantată de ordinea juridică a Uniunii Europene este în principiu echivalentă cu cea prevăzută de Convenție. Pentru a ajunge la această concluzie, aceasta a constatat, în primul rând, că Uniunea Europeană a oferit o protecție echivalentă cu cea a Convenției în ceea ce privește garanțiile substanțiale, precizând în acest sens că, inclusiv în momentul faptelor, respectarea drepturilor fundamentale era o condiție a legalității actelor comunitare, și că CJUE se referea în linii mari la prevederile Convenției și jurisprudența Curții din Strasbourg în momentul efectuării evaluării sale (Bosphorus, citată anterior, pct. 159). Această constatare este valabilă cu atât mai mult de la 1 decembrie 2009, data la care a intrat în vigoare art. 6 modificat din Tratatul de la Maastricht, care conferă Cartei drepturilor fundamentale a Uniunii Europene valoare egală cu a tratatelor și care prevede că drepturile fundamentale, astfel cum sunt garantate prin Convenție și cum rezultă din tradițiile constituționale comune ale statelor membre, fac parte din dreptul Uniunii Europene ca principii generale (Michaud, citată anterior, pct. 106). 103. Curtea a constatat echivalența protecției substanțiale acordate de dreptul Uniunii ținând seama de dispozițiile art. 52 § 3 din Carta drepturilor fundamentale, care prevede, în măsura în care drepturile din Cartă corespund celor garantate de Convenție, că înțelesul și întinderea lor sunt aceleași, fără a aduce atingere posibilității ca dreptul Uniunii să ofere o protecție mai extinsă (Bosphorus, citată anterior, pct. 80).Întrucât trebuie să verifice dacă, în cauza cu soluționarea căreia a fost învestită, încă mai poate considera că protecția conferită de dreptul Uniunii este echivalentă cu cea oferită de Convenție, Curtea este și mai atentă la respectarea normei prevăzute la art. 52 § 3 din Carta drepturilor fundamentale dat fiind că intrarea în vigoare a Tratatului de la Lisabona (supra, pct. 37), a dat Cartei valoare juridică egală cu a tratatelor. </w:t>
      </w:r>
    </w:p>
    <w:p w14:paraId="7851446E" w14:textId="7F4CAC81" w:rsidR="00595D67" w:rsidRPr="00E21CB9" w:rsidRDefault="003017B1" w:rsidP="00F10A47">
      <w:pPr>
        <w:spacing w:after="200" w:line="276" w:lineRule="auto"/>
        <w:jc w:val="both"/>
        <w:rPr>
          <w:rStyle w:val="markedcontent"/>
          <w:rFonts w:ascii="Times New Roman" w:hAnsi="Times New Roman"/>
          <w:b/>
          <w:bCs/>
          <w:noProof/>
          <w:sz w:val="24"/>
          <w:szCs w:val="24"/>
          <w:lang w:val="ro-RO"/>
        </w:rPr>
      </w:pPr>
      <w:r w:rsidRPr="00E21CB9">
        <w:rPr>
          <w:rStyle w:val="markedcontent"/>
          <w:rFonts w:ascii="Times New Roman" w:hAnsi="Times New Roman"/>
          <w:b/>
          <w:bCs/>
          <w:noProof/>
          <w:sz w:val="24"/>
          <w:szCs w:val="24"/>
          <w:lang w:val="ro-RO"/>
        </w:rPr>
        <w:t>T</w:t>
      </w:r>
      <w:r w:rsidR="00595D67" w:rsidRPr="00E21CB9">
        <w:rPr>
          <w:rStyle w:val="markedcontent"/>
          <w:rFonts w:ascii="Times New Roman" w:hAnsi="Times New Roman"/>
          <w:b/>
          <w:bCs/>
          <w:noProof/>
          <w:sz w:val="24"/>
          <w:szCs w:val="24"/>
          <w:lang w:val="ro-RO"/>
        </w:rPr>
        <w:t>eori</w:t>
      </w:r>
      <w:r w:rsidRPr="00E21CB9">
        <w:rPr>
          <w:rStyle w:val="markedcontent"/>
          <w:rFonts w:ascii="Times New Roman" w:hAnsi="Times New Roman"/>
          <w:b/>
          <w:bCs/>
          <w:noProof/>
          <w:sz w:val="24"/>
          <w:szCs w:val="24"/>
          <w:lang w:val="ro-RO"/>
        </w:rPr>
        <w:t>a</w:t>
      </w:r>
      <w:r w:rsidR="00595D67" w:rsidRPr="00E21CB9">
        <w:rPr>
          <w:rStyle w:val="markedcontent"/>
          <w:rFonts w:ascii="Times New Roman" w:hAnsi="Times New Roman"/>
          <w:b/>
          <w:bCs/>
          <w:noProof/>
          <w:sz w:val="24"/>
          <w:szCs w:val="24"/>
          <w:lang w:val="ro-RO"/>
        </w:rPr>
        <w:t xml:space="preserve"> nivelului uniform al protecției</w:t>
      </w:r>
      <w:r w:rsidRPr="00E21CB9">
        <w:rPr>
          <w:rStyle w:val="markedcontent"/>
          <w:rFonts w:ascii="Times New Roman" w:hAnsi="Times New Roman"/>
          <w:b/>
          <w:bCs/>
          <w:noProof/>
          <w:sz w:val="24"/>
          <w:szCs w:val="24"/>
          <w:lang w:val="ro-RO"/>
        </w:rPr>
        <w:t xml:space="preserve"> și neajunsurile acesteia</w:t>
      </w:r>
    </w:p>
    <w:p w14:paraId="655E7D85" w14:textId="31D8C315" w:rsidR="00653E80" w:rsidRPr="00E21CB9" w:rsidRDefault="008600B7" w:rsidP="00F10A47">
      <w:pPr>
        <w:spacing w:after="200" w:line="276" w:lineRule="auto"/>
        <w:jc w:val="both"/>
        <w:rPr>
          <w:rFonts w:ascii="Times New Roman" w:hAnsi="Times New Roman"/>
          <w:noProof/>
          <w:sz w:val="24"/>
          <w:szCs w:val="24"/>
          <w:lang w:val="ro-RO"/>
        </w:rPr>
      </w:pPr>
      <w:r w:rsidRPr="00E21CB9">
        <w:rPr>
          <w:rStyle w:val="markedcontent"/>
          <w:rFonts w:ascii="Times New Roman" w:hAnsi="Times New Roman"/>
          <w:noProof/>
          <w:sz w:val="24"/>
          <w:szCs w:val="24"/>
          <w:lang w:val="ro-RO"/>
        </w:rPr>
        <w:t>Atenția C</w:t>
      </w:r>
      <w:r w:rsidR="00D7088F" w:rsidRPr="00E21CB9">
        <w:rPr>
          <w:rStyle w:val="markedcontent"/>
          <w:rFonts w:ascii="Times New Roman" w:hAnsi="Times New Roman"/>
          <w:noProof/>
          <w:sz w:val="24"/>
          <w:szCs w:val="24"/>
          <w:lang w:val="ro-RO"/>
        </w:rPr>
        <w:t>t</w:t>
      </w:r>
      <w:r w:rsidRPr="00E21CB9">
        <w:rPr>
          <w:rStyle w:val="markedcontent"/>
          <w:rFonts w:ascii="Times New Roman" w:hAnsi="Times New Roman"/>
          <w:noProof/>
          <w:sz w:val="24"/>
          <w:szCs w:val="24"/>
          <w:lang w:val="ro-RO"/>
        </w:rPr>
        <w:t xml:space="preserve">EDO pare justificată. </w:t>
      </w:r>
      <w:r w:rsidR="00AB58E6" w:rsidRPr="00E21CB9">
        <w:rPr>
          <w:rFonts w:ascii="Times New Roman" w:hAnsi="Times New Roman"/>
          <w:noProof/>
          <w:sz w:val="24"/>
          <w:szCs w:val="24"/>
          <w:lang w:val="ro-RO"/>
        </w:rPr>
        <w:t xml:space="preserve">În cauza C-73/16 </w:t>
      </w:r>
      <w:r w:rsidR="00AB58E6" w:rsidRPr="00E21CB9">
        <w:rPr>
          <w:rFonts w:ascii="Times New Roman" w:hAnsi="Times New Roman"/>
          <w:i/>
          <w:iCs/>
          <w:noProof/>
          <w:sz w:val="24"/>
          <w:szCs w:val="24"/>
          <w:lang w:val="ro-RO"/>
        </w:rPr>
        <w:t>Peter Puškár împotriva Finančné riaditeľstvo Slovenskej republiky și Kriminálny úrad finančnej správy</w:t>
      </w:r>
      <w:r w:rsidR="00AB58E6" w:rsidRPr="00E21CB9">
        <w:rPr>
          <w:rFonts w:ascii="Times New Roman" w:hAnsi="Times New Roman"/>
          <w:noProof/>
          <w:sz w:val="24"/>
          <w:szCs w:val="24"/>
          <w:lang w:val="ro-RO"/>
        </w:rPr>
        <w:t xml:space="preserve">, avocatul general J. Kokott a răspuns prin concluziile sale unei </w:t>
      </w:r>
      <w:r w:rsidR="00653E80" w:rsidRPr="00E21CB9">
        <w:rPr>
          <w:rFonts w:ascii="Times New Roman" w:hAnsi="Times New Roman"/>
          <w:noProof/>
          <w:sz w:val="24"/>
          <w:szCs w:val="24"/>
          <w:lang w:val="ro-RO"/>
        </w:rPr>
        <w:t>întrebări menit</w:t>
      </w:r>
      <w:r w:rsidR="00D7088F" w:rsidRPr="00E21CB9">
        <w:rPr>
          <w:rFonts w:ascii="Times New Roman" w:hAnsi="Times New Roman"/>
          <w:noProof/>
          <w:sz w:val="24"/>
          <w:szCs w:val="24"/>
          <w:lang w:val="ro-RO"/>
        </w:rPr>
        <w:t>e</w:t>
      </w:r>
      <w:r w:rsidR="00653E80" w:rsidRPr="00E21CB9">
        <w:rPr>
          <w:rFonts w:ascii="Times New Roman" w:hAnsi="Times New Roman"/>
          <w:noProof/>
          <w:sz w:val="24"/>
          <w:szCs w:val="24"/>
          <w:lang w:val="ro-RO"/>
        </w:rPr>
        <w:t xml:space="preserve"> să lămurească  dacă o instanță națională poate să aibă în vedere jurisprudența Curții de Justiție în cazul în care aceasta contrazice jurisprudența Curții Europene a Drepturilor Omului, precizând </w:t>
      </w:r>
      <w:r w:rsidR="00653E80" w:rsidRPr="00E21CB9">
        <w:rPr>
          <w:rFonts w:ascii="Times New Roman" w:hAnsi="Times New Roman"/>
          <w:i/>
          <w:iCs/>
          <w:noProof/>
          <w:sz w:val="24"/>
          <w:szCs w:val="24"/>
          <w:lang w:val="ro-RO"/>
        </w:rPr>
        <w:t xml:space="preserve">că în ceea ce privește întrebarea preliminară reformulată, articolul 52 alineatul (3) prima teză din cartă prevede că, în măsura în care carta conține drepturi ce corespund unor drepturi garantate prin CEDO, înțelesul și întinderea lor sunt aceleași ca și cele prevăzute de convenția menționată. Potrivit explicațiilor referitoare la această dispoziție, înțelesul și întinderea drepturilor garantate sunt determinate nu numai de textul CEDO, ci printre altele și de jurisprudența </w:t>
      </w:r>
      <w:r w:rsidR="00653E80" w:rsidRPr="00E21CB9">
        <w:rPr>
          <w:rFonts w:ascii="Times New Roman" w:hAnsi="Times New Roman"/>
          <w:i/>
          <w:iCs/>
          <w:noProof/>
          <w:sz w:val="24"/>
          <w:szCs w:val="24"/>
          <w:lang w:val="ro-RO"/>
        </w:rPr>
        <w:lastRenderedPageBreak/>
        <w:t>Curții Europene a Drepturilor Omului. Articolul 52 alineatul (3) a doua teză permite totuși ca dreptul Uniunii să ofere o protecție mai largă</w:t>
      </w:r>
      <w:r w:rsidR="00653E80" w:rsidRPr="00E21CB9">
        <w:rPr>
          <w:rFonts w:ascii="Times New Roman" w:hAnsi="Times New Roman"/>
          <w:noProof/>
          <w:sz w:val="24"/>
          <w:szCs w:val="24"/>
          <w:lang w:val="ro-RO"/>
        </w:rPr>
        <w:t>.</w:t>
      </w:r>
      <w:r w:rsidR="00564165" w:rsidRPr="00E21CB9">
        <w:rPr>
          <w:rStyle w:val="FootnoteReference"/>
          <w:rFonts w:ascii="Times New Roman" w:hAnsi="Times New Roman"/>
          <w:noProof/>
          <w:sz w:val="24"/>
          <w:szCs w:val="24"/>
          <w:lang w:val="ro-RO"/>
        </w:rPr>
        <w:footnoteReference w:id="10"/>
      </w:r>
      <w:r w:rsidR="00653E80" w:rsidRPr="00E21CB9">
        <w:rPr>
          <w:rFonts w:ascii="Times New Roman" w:hAnsi="Times New Roman"/>
          <w:noProof/>
          <w:sz w:val="24"/>
          <w:szCs w:val="24"/>
          <w:lang w:val="ro-RO"/>
        </w:rPr>
        <w:t xml:space="preserve"> </w:t>
      </w:r>
    </w:p>
    <w:p w14:paraId="0467FC59" w14:textId="1F4316CE" w:rsidR="00653E80" w:rsidRPr="00E21CB9" w:rsidRDefault="00CB2AC4" w:rsidP="00F10A47">
      <w:pPr>
        <w:pStyle w:val="Normal1"/>
        <w:spacing w:line="276" w:lineRule="auto"/>
        <w:jc w:val="both"/>
        <w:rPr>
          <w:rStyle w:val="markedcontent"/>
          <w:rFonts w:eastAsia="Calibri"/>
          <w:noProof/>
          <w:lang w:val="ro-RO"/>
        </w:rPr>
      </w:pPr>
      <w:r w:rsidRPr="00E21CB9">
        <w:rPr>
          <w:rStyle w:val="markedcontent"/>
          <w:rFonts w:eastAsia="Calibri"/>
          <w:noProof/>
          <w:lang w:val="ro-RO"/>
        </w:rPr>
        <w:t xml:space="preserve">De asemenea, </w:t>
      </w:r>
      <w:r w:rsidR="00F50494" w:rsidRPr="00E21CB9">
        <w:rPr>
          <w:noProof/>
          <w:lang w:val="ro-RO"/>
        </w:rPr>
        <w:t>a</w:t>
      </w:r>
      <w:r w:rsidR="00A66CC8" w:rsidRPr="00E21CB9">
        <w:rPr>
          <w:noProof/>
          <w:lang w:val="ro-RO"/>
        </w:rPr>
        <w:t xml:space="preserve">vocatul </w:t>
      </w:r>
      <w:r w:rsidR="00F50494" w:rsidRPr="00E21CB9">
        <w:rPr>
          <w:noProof/>
          <w:lang w:val="ro-RO"/>
        </w:rPr>
        <w:t>g</w:t>
      </w:r>
      <w:r w:rsidR="00A66CC8" w:rsidRPr="00E21CB9">
        <w:rPr>
          <w:noProof/>
          <w:lang w:val="ro-RO"/>
        </w:rPr>
        <w:t>eneral a</w:t>
      </w:r>
      <w:r w:rsidRPr="00E21CB9">
        <w:rPr>
          <w:noProof/>
          <w:lang w:val="ro-RO"/>
        </w:rPr>
        <w:t xml:space="preserve"> menționat că </w:t>
      </w:r>
      <w:r w:rsidRPr="00E21CB9">
        <w:rPr>
          <w:i/>
          <w:iCs/>
          <w:noProof/>
          <w:lang w:val="ro-RO"/>
        </w:rPr>
        <w:t>dreptul Uniunii permite Curții să deroge de la jurisprudența Curții Europene a Drepturilor Omului numai în măsura în care prima recunoaște anumitor drepturi fundamentale o protecție mai largă decât cea de a doua. Însăși această derogare este permisă doar dacă astfel nu se diminuează protecția unui alt drept fundamental prevăzut de cartă, care corespunde unui drept prevăzut de CEDO, stabilit prin jurisprudența Curții Europene a Drepturilor Omului. De exemplu, în acele cazuri în care trebuie să se realizeze un echilibru între anumite drepturi fundamentale.</w:t>
      </w:r>
      <w:r w:rsidR="00564165" w:rsidRPr="00E21CB9">
        <w:rPr>
          <w:rStyle w:val="FootnoteReference"/>
          <w:i/>
          <w:iCs/>
          <w:noProof/>
          <w:lang w:val="ro-RO"/>
        </w:rPr>
        <w:footnoteReference w:id="11"/>
      </w:r>
    </w:p>
    <w:p w14:paraId="13885BD6" w14:textId="77777777" w:rsidR="00AB58E6" w:rsidRPr="00E21CB9" w:rsidRDefault="00AB58E6" w:rsidP="00F10A47">
      <w:pPr>
        <w:jc w:val="both"/>
        <w:rPr>
          <w:rFonts w:ascii="Times New Roman" w:hAnsi="Times New Roman"/>
          <w:noProof/>
          <w:vanish/>
          <w:lang w:val="ro-RO"/>
        </w:rPr>
      </w:pPr>
    </w:p>
    <w:p w14:paraId="1821821A" w14:textId="511262AE" w:rsidR="00F739F3" w:rsidRPr="00E21CB9" w:rsidRDefault="00CB2AC4"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 xml:space="preserve">Referindu-se la aceste concluzii, </w:t>
      </w:r>
      <w:r w:rsidR="00A66CC8" w:rsidRPr="00E21CB9">
        <w:rPr>
          <w:rFonts w:ascii="Times New Roman" w:hAnsi="Times New Roman"/>
          <w:noProof/>
          <w:sz w:val="24"/>
          <w:szCs w:val="24"/>
          <w:lang w:val="ro-RO"/>
        </w:rPr>
        <w:t>Președintele Curții de Justiție</w:t>
      </w:r>
      <w:r w:rsidRPr="00E21CB9">
        <w:rPr>
          <w:rFonts w:ascii="Times New Roman" w:hAnsi="Times New Roman"/>
          <w:noProof/>
          <w:sz w:val="24"/>
          <w:szCs w:val="24"/>
          <w:lang w:val="ro-RO"/>
        </w:rPr>
        <w:t xml:space="preserve"> </w:t>
      </w:r>
      <w:r w:rsidR="00F739F3" w:rsidRPr="00E21CB9">
        <w:rPr>
          <w:rFonts w:ascii="Times New Roman" w:hAnsi="Times New Roman"/>
          <w:noProof/>
          <w:sz w:val="24"/>
          <w:szCs w:val="24"/>
          <w:lang w:val="ro-RO"/>
        </w:rPr>
        <w:t>le critică întrucât</w:t>
      </w:r>
      <w:r w:rsidR="00564165" w:rsidRPr="00E21CB9">
        <w:rPr>
          <w:rFonts w:ascii="Times New Roman" w:hAnsi="Times New Roman"/>
          <w:noProof/>
          <w:sz w:val="24"/>
          <w:szCs w:val="24"/>
          <w:lang w:val="ro-RO"/>
        </w:rPr>
        <w:t xml:space="preserve"> </w:t>
      </w:r>
      <w:r w:rsidR="00195AFB" w:rsidRPr="00E21CB9">
        <w:rPr>
          <w:rFonts w:ascii="Times New Roman" w:hAnsi="Times New Roman"/>
          <w:i/>
          <w:iCs/>
          <w:noProof/>
          <w:sz w:val="24"/>
          <w:szCs w:val="24"/>
          <w:lang w:val="ro-RO"/>
        </w:rPr>
        <w:t>ar sugera că dezvoltarea autonomă a cartei nu este întotdeauna posibilă</w:t>
      </w:r>
      <w:r w:rsidR="00F739F3" w:rsidRPr="00E21CB9">
        <w:rPr>
          <w:rFonts w:ascii="Times New Roman" w:hAnsi="Times New Roman"/>
          <w:i/>
          <w:iCs/>
          <w:noProof/>
          <w:sz w:val="24"/>
          <w:szCs w:val="24"/>
          <w:lang w:val="ro-RO"/>
        </w:rPr>
        <w:t xml:space="preserve">, </w:t>
      </w:r>
      <w:r w:rsidR="00F739F3" w:rsidRPr="00E21CB9">
        <w:rPr>
          <w:rFonts w:ascii="Times New Roman" w:hAnsi="Times New Roman"/>
          <w:noProof/>
          <w:sz w:val="24"/>
          <w:szCs w:val="24"/>
          <w:lang w:val="ro-RO"/>
        </w:rPr>
        <w:t>arătând că</w:t>
      </w:r>
      <w:r w:rsidR="00195AFB" w:rsidRPr="00E21CB9">
        <w:rPr>
          <w:rFonts w:ascii="Times New Roman" w:hAnsi="Times New Roman"/>
          <w:noProof/>
          <w:sz w:val="24"/>
          <w:szCs w:val="24"/>
          <w:lang w:val="ro-RO"/>
        </w:rPr>
        <w:t xml:space="preserve"> legiuitorul UE poate impune un nivel uniform al protecţiei </w:t>
      </w:r>
      <w:r w:rsidR="00F739F3" w:rsidRPr="00E21CB9">
        <w:rPr>
          <w:rFonts w:ascii="Times New Roman" w:hAnsi="Times New Roman"/>
          <w:noProof/>
          <w:sz w:val="24"/>
          <w:szCs w:val="24"/>
          <w:lang w:val="ro-RO"/>
        </w:rPr>
        <w:t xml:space="preserve"> </w:t>
      </w:r>
      <w:r w:rsidR="00195AFB" w:rsidRPr="00E21CB9">
        <w:rPr>
          <w:rFonts w:ascii="Times New Roman" w:hAnsi="Times New Roman"/>
          <w:noProof/>
          <w:sz w:val="24"/>
          <w:szCs w:val="24"/>
          <w:lang w:val="ro-RO"/>
        </w:rPr>
        <w:t>drepturilor fundamentale, cu condiţia să nu încalce nivelul protecţiei garantat prin cartă</w:t>
      </w:r>
      <w:r w:rsidR="00F739F3" w:rsidRPr="00E21CB9">
        <w:rPr>
          <w:rFonts w:ascii="Times New Roman" w:hAnsi="Times New Roman"/>
          <w:noProof/>
          <w:sz w:val="24"/>
          <w:szCs w:val="24"/>
          <w:lang w:val="ro-RO"/>
        </w:rPr>
        <w:t>, nivel care ar</w:t>
      </w:r>
      <w:r w:rsidR="00195AFB" w:rsidRPr="00E21CB9">
        <w:rPr>
          <w:rFonts w:ascii="Times New Roman" w:hAnsi="Times New Roman"/>
          <w:i/>
          <w:iCs/>
          <w:noProof/>
          <w:sz w:val="24"/>
          <w:szCs w:val="24"/>
          <w:lang w:val="ro-RO"/>
        </w:rPr>
        <w:t xml:space="preserve"> exclude diversitatea, el opunându-se aplicării unor niveluri mai ridicate de protecţie, dispuse prin dreptul naţional</w:t>
      </w:r>
      <w:r w:rsidR="00564165" w:rsidRPr="00E21CB9">
        <w:rPr>
          <w:rStyle w:val="FootnoteReference"/>
          <w:rFonts w:ascii="Times New Roman" w:hAnsi="Times New Roman"/>
          <w:i/>
          <w:iCs/>
          <w:noProof/>
          <w:sz w:val="24"/>
          <w:szCs w:val="24"/>
          <w:lang w:val="ro-RO"/>
        </w:rPr>
        <w:footnoteReference w:id="12"/>
      </w:r>
      <w:r w:rsidR="00195AFB" w:rsidRPr="00E21CB9">
        <w:rPr>
          <w:rFonts w:ascii="Times New Roman" w:hAnsi="Times New Roman"/>
          <w:noProof/>
          <w:sz w:val="24"/>
          <w:szCs w:val="24"/>
          <w:lang w:val="ro-RO"/>
        </w:rPr>
        <w:t xml:space="preserve">. </w:t>
      </w:r>
      <w:r w:rsidR="00F739F3" w:rsidRPr="00E21CB9">
        <w:rPr>
          <w:rFonts w:ascii="Times New Roman" w:hAnsi="Times New Roman"/>
          <w:noProof/>
          <w:sz w:val="24"/>
          <w:szCs w:val="24"/>
          <w:lang w:val="ro-RO"/>
        </w:rPr>
        <w:t xml:space="preserve">Concluzia este aceea că </w:t>
      </w:r>
      <w:r w:rsidR="00195AFB" w:rsidRPr="00E21CB9">
        <w:rPr>
          <w:rFonts w:ascii="Times New Roman" w:hAnsi="Times New Roman"/>
          <w:i/>
          <w:iCs/>
          <w:noProof/>
          <w:sz w:val="24"/>
          <w:szCs w:val="24"/>
          <w:lang w:val="ro-RO"/>
        </w:rPr>
        <w:t>atunci când legiuitorul UE nu a precizat un nivel uniform de protecţie, este loc pentru diversitatea naţională.</w:t>
      </w:r>
      <w:r w:rsidR="00195AFB" w:rsidRPr="00E21CB9">
        <w:rPr>
          <w:rFonts w:ascii="Times New Roman" w:hAnsi="Times New Roman"/>
          <w:noProof/>
          <w:sz w:val="24"/>
          <w:szCs w:val="24"/>
          <w:lang w:val="ro-RO"/>
        </w:rPr>
        <w:t xml:space="preserve"> Respectiva diversitate nu este însă absolută, de vreme ce ea trebuie să respecte, în primul rând, nivelul protecţiei garantat prin cartă, iar în al doilea rând, </w:t>
      </w:r>
      <w:r w:rsidR="00195AFB" w:rsidRPr="00E21CB9">
        <w:rPr>
          <w:rFonts w:ascii="Times New Roman" w:hAnsi="Times New Roman"/>
          <w:i/>
          <w:iCs/>
          <w:noProof/>
          <w:sz w:val="24"/>
          <w:szCs w:val="24"/>
          <w:lang w:val="ro-RO"/>
        </w:rPr>
        <w:t>supremaţia, unitatea şi efectivitatea dreptului UE</w:t>
      </w:r>
      <w:r w:rsidR="00195AFB" w:rsidRPr="00E21CB9">
        <w:rPr>
          <w:rFonts w:ascii="Times New Roman" w:hAnsi="Times New Roman"/>
          <w:noProof/>
          <w:sz w:val="24"/>
          <w:szCs w:val="24"/>
          <w:lang w:val="ro-RO"/>
        </w:rPr>
        <w:t xml:space="preserve">. </w:t>
      </w:r>
      <w:r w:rsidR="00195AFB" w:rsidRPr="00E21CB9">
        <w:rPr>
          <w:rFonts w:ascii="Times New Roman" w:hAnsi="Times New Roman"/>
          <w:i/>
          <w:iCs/>
          <w:noProof/>
          <w:sz w:val="24"/>
          <w:szCs w:val="24"/>
          <w:lang w:val="ro-RO"/>
        </w:rPr>
        <w:t>Rezultă că, cu condiţia respectării cartei şi a altor dispoziţii ale dreptului primar al UE, alegerea între unitatea europeană şi diversitatea naţională este o chestiune de ordin politic, care este adoptată la nivelul UE în temeiul principiului democraţiei reprezentative</w:t>
      </w:r>
      <w:r w:rsidR="00195AFB" w:rsidRPr="00E21CB9">
        <w:rPr>
          <w:rFonts w:ascii="Times New Roman" w:hAnsi="Times New Roman"/>
          <w:noProof/>
          <w:sz w:val="24"/>
          <w:szCs w:val="24"/>
          <w:lang w:val="ro-RO"/>
        </w:rPr>
        <w:t>.</w:t>
      </w:r>
    </w:p>
    <w:p w14:paraId="64FE4A51" w14:textId="63C0DD10" w:rsidR="00F739F3" w:rsidRPr="00E21CB9" w:rsidRDefault="00F739F3"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Încercând să simplificăm cele de mai sus, ar rezuta că atunci când legiuitorul UE a precizat un nivel uniform de protecție, care nu este, neapărat, cel mai ridicat, nu mai au nicio relevanță standardele C</w:t>
      </w:r>
      <w:r w:rsidR="00D7088F" w:rsidRPr="00E21CB9">
        <w:rPr>
          <w:rFonts w:ascii="Times New Roman" w:hAnsi="Times New Roman"/>
          <w:noProof/>
          <w:sz w:val="24"/>
          <w:szCs w:val="24"/>
          <w:lang w:val="ro-RO"/>
        </w:rPr>
        <w:t>t</w:t>
      </w:r>
      <w:r w:rsidRPr="00E21CB9">
        <w:rPr>
          <w:rFonts w:ascii="Times New Roman" w:hAnsi="Times New Roman"/>
          <w:noProof/>
          <w:sz w:val="24"/>
          <w:szCs w:val="24"/>
          <w:lang w:val="ro-RO"/>
        </w:rPr>
        <w:t xml:space="preserve">EDO și constituțiile naționale, acestea din urmă fiind, totodată, irelevante și </w:t>
      </w:r>
      <w:r w:rsidR="007048A4" w:rsidRPr="00E21CB9">
        <w:rPr>
          <w:rFonts w:ascii="Times New Roman" w:hAnsi="Times New Roman"/>
          <w:noProof/>
          <w:sz w:val="24"/>
          <w:szCs w:val="24"/>
          <w:lang w:val="ro-RO"/>
        </w:rPr>
        <w:t>atunci când</w:t>
      </w:r>
      <w:r w:rsidRPr="00E21CB9">
        <w:rPr>
          <w:rFonts w:ascii="Times New Roman" w:hAnsi="Times New Roman"/>
          <w:noProof/>
          <w:sz w:val="24"/>
          <w:szCs w:val="24"/>
          <w:lang w:val="ro-RO"/>
        </w:rPr>
        <w:t xml:space="preserve"> aplicarea lor ar pune în discuție supremația, unitatea și efectivitatea dreptului UE.</w:t>
      </w:r>
    </w:p>
    <w:p w14:paraId="72418FE5" w14:textId="670B2BAA" w:rsidR="007048A4" w:rsidRPr="00E21CB9" w:rsidRDefault="00D76E51"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Or, nicio dispoziție a cartei nu cuprinde astfel de limitări</w:t>
      </w:r>
      <w:r w:rsidR="004C2D3E" w:rsidRPr="00E21CB9">
        <w:rPr>
          <w:rFonts w:ascii="Times New Roman" w:hAnsi="Times New Roman"/>
          <w:noProof/>
          <w:sz w:val="24"/>
          <w:szCs w:val="24"/>
          <w:lang w:val="ro-RO"/>
        </w:rPr>
        <w:t xml:space="preserve"> sau de rezerve sub care s-ar putea dezvolta jurisprudențial excepții de la standardul minim.</w:t>
      </w:r>
    </w:p>
    <w:p w14:paraId="7BD84A3A" w14:textId="1FE5FA12" w:rsidR="00F739F3" w:rsidRPr="00E21CB9" w:rsidRDefault="00D76E51"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Pe de altă parte, dispozițiile CDFUE sunt aplicabile</w:t>
      </w:r>
      <w:r w:rsidR="00F50494" w:rsidRPr="00E21CB9">
        <w:rPr>
          <w:rFonts w:ascii="Times New Roman" w:hAnsi="Times New Roman"/>
          <w:noProof/>
          <w:sz w:val="24"/>
          <w:szCs w:val="24"/>
          <w:lang w:val="ro-RO"/>
        </w:rPr>
        <w:t>, prin ipoteză,</w:t>
      </w:r>
      <w:r w:rsidRPr="00E21CB9">
        <w:rPr>
          <w:rFonts w:ascii="Times New Roman" w:hAnsi="Times New Roman"/>
          <w:noProof/>
          <w:sz w:val="24"/>
          <w:szCs w:val="24"/>
          <w:lang w:val="ro-RO"/>
        </w:rPr>
        <w:t xml:space="preserve"> atunci când statele membre pun în aplicare dreptul UE și</w:t>
      </w:r>
      <w:r w:rsidR="00F50494" w:rsidRPr="00E21CB9">
        <w:rPr>
          <w:rFonts w:ascii="Times New Roman" w:hAnsi="Times New Roman"/>
          <w:noProof/>
          <w:sz w:val="24"/>
          <w:szCs w:val="24"/>
          <w:lang w:val="ro-RO"/>
        </w:rPr>
        <w:t>,</w:t>
      </w:r>
      <w:r w:rsidRPr="00E21CB9">
        <w:rPr>
          <w:rFonts w:ascii="Times New Roman" w:hAnsi="Times New Roman"/>
          <w:noProof/>
          <w:sz w:val="24"/>
          <w:szCs w:val="24"/>
          <w:lang w:val="ro-RO"/>
        </w:rPr>
        <w:t xml:space="preserve"> deci, supremația, unitatea și efectivitatea acestuia. Mai mult, și tot prin ipoteză, supremația normelor UE ce garantează protecția drepturilor fundamentale este limitată de chiar dreptul UE, prin re</w:t>
      </w:r>
      <w:r w:rsidR="007F7A9D" w:rsidRPr="00E21CB9">
        <w:rPr>
          <w:rFonts w:ascii="Times New Roman" w:hAnsi="Times New Roman"/>
          <w:noProof/>
          <w:sz w:val="24"/>
          <w:szCs w:val="24"/>
          <w:lang w:val="ro-RO"/>
        </w:rPr>
        <w:t>c</w:t>
      </w:r>
      <w:r w:rsidRPr="00E21CB9">
        <w:rPr>
          <w:rFonts w:ascii="Times New Roman" w:hAnsi="Times New Roman"/>
          <w:noProof/>
          <w:sz w:val="24"/>
          <w:szCs w:val="24"/>
          <w:lang w:val="ro-RO"/>
        </w:rPr>
        <w:t>unoașterea priorității Convenției și constituțiilor statelor membre</w:t>
      </w:r>
      <w:r w:rsidR="00A046D9" w:rsidRPr="00E21CB9">
        <w:rPr>
          <w:rFonts w:ascii="Times New Roman" w:hAnsi="Times New Roman"/>
          <w:noProof/>
          <w:sz w:val="24"/>
          <w:szCs w:val="24"/>
          <w:lang w:val="ro-RO"/>
        </w:rPr>
        <w:t>, dacă nivelul de protecție al drepturilor pe care îl asigură este mai ridicat.</w:t>
      </w:r>
    </w:p>
    <w:p w14:paraId="28B4378D" w14:textId="582167B8" w:rsidR="00D76E51" w:rsidRPr="00E21CB9" w:rsidRDefault="000D5C01"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lastRenderedPageBreak/>
        <w:t>P</w:t>
      </w:r>
      <w:r w:rsidR="00D76E51" w:rsidRPr="00E21CB9">
        <w:rPr>
          <w:rFonts w:ascii="Times New Roman" w:hAnsi="Times New Roman"/>
          <w:noProof/>
          <w:sz w:val="24"/>
          <w:szCs w:val="24"/>
          <w:lang w:val="ro-RO"/>
        </w:rPr>
        <w:t>rincipiu democrației reprezentative a stat la baza adoptării CDFUE în forma în vigoare, așa încât respectivul principiu nu ar putea servi ignorării constituțiilor naționale</w:t>
      </w:r>
      <w:r w:rsidR="0050338A" w:rsidRPr="00E21CB9">
        <w:rPr>
          <w:rFonts w:ascii="Times New Roman" w:hAnsi="Times New Roman"/>
          <w:noProof/>
          <w:sz w:val="24"/>
          <w:szCs w:val="24"/>
          <w:lang w:val="ro-RO"/>
        </w:rPr>
        <w:t xml:space="preserve"> după ce adoptarea tratatului s-a realizat sub condiția respectării </w:t>
      </w:r>
      <w:r w:rsidR="00A046D9" w:rsidRPr="00E21CB9">
        <w:rPr>
          <w:rFonts w:ascii="Times New Roman" w:hAnsi="Times New Roman"/>
          <w:noProof/>
          <w:sz w:val="24"/>
          <w:szCs w:val="24"/>
          <w:lang w:val="ro-RO"/>
        </w:rPr>
        <w:t>Convenției și a tradițiilor constituționale ale statelor membre</w:t>
      </w:r>
      <w:r w:rsidR="0050338A" w:rsidRPr="00E21CB9">
        <w:rPr>
          <w:rFonts w:ascii="Times New Roman" w:hAnsi="Times New Roman"/>
          <w:noProof/>
          <w:sz w:val="24"/>
          <w:szCs w:val="24"/>
          <w:lang w:val="ro-RO"/>
        </w:rPr>
        <w:t>.</w:t>
      </w:r>
    </w:p>
    <w:p w14:paraId="48A8C5EA" w14:textId="4B435806" w:rsidR="008C6CDA" w:rsidRPr="00E21CB9" w:rsidRDefault="0050338A"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În sfârșit, teoria nivelului uniform al protecției</w:t>
      </w:r>
      <w:r w:rsidR="00F50494" w:rsidRPr="00E21CB9">
        <w:rPr>
          <w:rFonts w:ascii="Times New Roman" w:hAnsi="Times New Roman"/>
          <w:noProof/>
          <w:sz w:val="24"/>
          <w:szCs w:val="24"/>
          <w:lang w:val="ro-RO"/>
        </w:rPr>
        <w:t>,</w:t>
      </w:r>
      <w:r w:rsidRPr="00E21CB9">
        <w:rPr>
          <w:rFonts w:ascii="Times New Roman" w:hAnsi="Times New Roman"/>
          <w:noProof/>
          <w:sz w:val="24"/>
          <w:szCs w:val="24"/>
          <w:lang w:val="ro-RO"/>
        </w:rPr>
        <w:t xml:space="preserve"> potrivit </w:t>
      </w:r>
      <w:r w:rsidR="00F50494" w:rsidRPr="00E21CB9">
        <w:rPr>
          <w:rFonts w:ascii="Times New Roman" w:hAnsi="Times New Roman"/>
          <w:noProof/>
          <w:sz w:val="24"/>
          <w:szCs w:val="24"/>
          <w:lang w:val="ro-RO"/>
        </w:rPr>
        <w:t>căreia</w:t>
      </w:r>
      <w:r w:rsidRPr="00E21CB9">
        <w:rPr>
          <w:rFonts w:ascii="Times New Roman" w:hAnsi="Times New Roman"/>
          <w:noProof/>
          <w:sz w:val="24"/>
          <w:szCs w:val="24"/>
          <w:lang w:val="ro-RO"/>
        </w:rPr>
        <w:t xml:space="preserve"> diversitatea ar fi exclusă, iar uniformitatea ar ține loc de standard, nu este convingătoare, atâta timp cât statele membre nu au delegat Uniunii protecția drepturilor fundamentale ale cetățenilor lor la un nivel mai redus decât este asigurată la nivel intern</w:t>
      </w:r>
      <w:r w:rsidR="003017B1" w:rsidRPr="00E21CB9">
        <w:rPr>
          <w:rFonts w:ascii="Times New Roman" w:hAnsi="Times New Roman"/>
          <w:noProof/>
          <w:sz w:val="24"/>
          <w:szCs w:val="24"/>
          <w:lang w:val="ro-RO"/>
        </w:rPr>
        <w:t>, în nicio situație.</w:t>
      </w:r>
    </w:p>
    <w:p w14:paraId="48D8A950" w14:textId="6FA11DCA" w:rsidR="004C2D3E" w:rsidRPr="00E21CB9" w:rsidRDefault="004C2D3E"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 xml:space="preserve">În lucrarea </w:t>
      </w:r>
      <w:r w:rsidRPr="00E21CB9">
        <w:rPr>
          <w:rFonts w:ascii="Times New Roman" w:hAnsi="Times New Roman"/>
          <w:i/>
          <w:iCs/>
          <w:noProof/>
          <w:sz w:val="24"/>
          <w:szCs w:val="24"/>
          <w:lang w:val="ro-RO"/>
        </w:rPr>
        <w:t>Considerații asupra raportului dintre ordinea de drept națională română și ordinea de drept a UE</w:t>
      </w:r>
      <w:r w:rsidRPr="00E21CB9">
        <w:rPr>
          <w:rStyle w:val="FootnoteReference"/>
          <w:rFonts w:ascii="Times New Roman" w:hAnsi="Times New Roman"/>
          <w:i/>
          <w:iCs/>
          <w:noProof/>
          <w:sz w:val="24"/>
          <w:szCs w:val="24"/>
          <w:lang w:val="ro-RO"/>
        </w:rPr>
        <w:footnoteReference w:id="13"/>
      </w:r>
      <w:r w:rsidRPr="00E21CB9">
        <w:rPr>
          <w:rFonts w:ascii="Times New Roman" w:hAnsi="Times New Roman"/>
          <w:i/>
          <w:iCs/>
          <w:noProof/>
          <w:sz w:val="24"/>
          <w:szCs w:val="24"/>
          <w:lang w:val="ro-RO"/>
        </w:rPr>
        <w:t xml:space="preserve"> </w:t>
      </w:r>
      <w:r w:rsidRPr="00E21CB9">
        <w:rPr>
          <w:rFonts w:ascii="Times New Roman" w:hAnsi="Times New Roman"/>
          <w:noProof/>
          <w:sz w:val="24"/>
          <w:szCs w:val="24"/>
          <w:lang w:val="ro-RO"/>
        </w:rPr>
        <w:t>autorii au făcut o analiză în detaliu a raportului dintre Constituție și dreptul unional</w:t>
      </w:r>
      <w:r w:rsidR="00F50494" w:rsidRPr="00E21CB9">
        <w:rPr>
          <w:rFonts w:ascii="Times New Roman" w:hAnsi="Times New Roman"/>
          <w:noProof/>
          <w:sz w:val="24"/>
          <w:szCs w:val="24"/>
          <w:lang w:val="ro-RO"/>
        </w:rPr>
        <w:t>.</w:t>
      </w:r>
      <w:r w:rsidR="00351F9A" w:rsidRPr="00E21CB9">
        <w:rPr>
          <w:rFonts w:ascii="Times New Roman" w:hAnsi="Times New Roman"/>
          <w:noProof/>
          <w:sz w:val="24"/>
          <w:szCs w:val="24"/>
          <w:lang w:val="ro-RO"/>
        </w:rPr>
        <w:t xml:space="preserve"> Fără a relua aici argumentația vastă a prevalenței dreptului constituțional intern față de normele de drept UE, reținem mai jos câteva repere.</w:t>
      </w:r>
    </w:p>
    <w:p w14:paraId="3248C235" w14:textId="202D6BD0" w:rsidR="003017B1" w:rsidRPr="00E21CB9" w:rsidRDefault="003017B1"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Constituția României</w:t>
      </w:r>
      <w:r w:rsidRPr="00E21CB9">
        <w:rPr>
          <w:rFonts w:ascii="Times New Roman" w:hAnsi="Times New Roman"/>
          <w:b/>
          <w:bCs/>
          <w:noProof/>
          <w:sz w:val="24"/>
          <w:szCs w:val="24"/>
          <w:lang w:val="ro-RO"/>
        </w:rPr>
        <w:t xml:space="preserve"> </w:t>
      </w:r>
      <w:r w:rsidRPr="00E21CB9">
        <w:rPr>
          <w:rFonts w:ascii="Times New Roman" w:hAnsi="Times New Roman"/>
          <w:noProof/>
          <w:sz w:val="24"/>
          <w:szCs w:val="24"/>
          <w:lang w:val="ro-RO"/>
        </w:rPr>
        <w:t xml:space="preserve">reglementează într-un articol distinct, 148 – </w:t>
      </w:r>
      <w:r w:rsidRPr="00E21CB9">
        <w:rPr>
          <w:rFonts w:ascii="Times New Roman" w:hAnsi="Times New Roman"/>
          <w:i/>
          <w:iCs/>
          <w:noProof/>
          <w:sz w:val="24"/>
          <w:szCs w:val="24"/>
          <w:lang w:val="ro-RO"/>
        </w:rPr>
        <w:t>Integrarea în Uniunea Europeană</w:t>
      </w:r>
      <w:r w:rsidRPr="00E21CB9">
        <w:rPr>
          <w:rFonts w:ascii="Times New Roman" w:hAnsi="Times New Roman"/>
          <w:noProof/>
          <w:sz w:val="24"/>
          <w:szCs w:val="24"/>
          <w:lang w:val="ro-RO"/>
        </w:rPr>
        <w:t xml:space="preserve">, raporturile cu UE, stabilind, în alin. (2), că </w:t>
      </w:r>
      <w:r w:rsidRPr="00E21CB9">
        <w:rPr>
          <w:rFonts w:ascii="Times New Roman" w:hAnsi="Times New Roman"/>
          <w:i/>
          <w:iCs/>
          <w:noProof/>
          <w:sz w:val="24"/>
          <w:szCs w:val="24"/>
          <w:lang w:val="ro-RO"/>
        </w:rPr>
        <w:t>prevederile tratatelor constitutive ale Uniunii Europene, precum și celelalte reglementări comunitare cu caracter obligatoriu, au prioritate față de dispozițiile contrare din legile interne, cu respectarea prevederilor actului de aderare</w:t>
      </w:r>
      <w:r w:rsidR="007048A4" w:rsidRPr="00E21CB9">
        <w:rPr>
          <w:rFonts w:ascii="Times New Roman" w:hAnsi="Times New Roman"/>
          <w:i/>
          <w:iCs/>
          <w:noProof/>
          <w:sz w:val="24"/>
          <w:szCs w:val="24"/>
          <w:lang w:val="ro-RO"/>
        </w:rPr>
        <w:t xml:space="preserve">, </w:t>
      </w:r>
      <w:r w:rsidR="007048A4" w:rsidRPr="00E21CB9">
        <w:rPr>
          <w:rFonts w:ascii="Times New Roman" w:hAnsi="Times New Roman"/>
          <w:noProof/>
          <w:sz w:val="24"/>
          <w:szCs w:val="24"/>
          <w:lang w:val="ro-RO"/>
        </w:rPr>
        <w:t>iar</w:t>
      </w:r>
      <w:r w:rsidRPr="00E21CB9">
        <w:rPr>
          <w:rFonts w:ascii="Times New Roman" w:hAnsi="Times New Roman"/>
          <w:noProof/>
          <w:sz w:val="24"/>
          <w:szCs w:val="24"/>
          <w:lang w:val="ro-RO"/>
        </w:rPr>
        <w:t xml:space="preserve"> art</w:t>
      </w:r>
      <w:r w:rsidR="00173DB2" w:rsidRPr="00E21CB9">
        <w:rPr>
          <w:rFonts w:ascii="Times New Roman" w:hAnsi="Times New Roman"/>
          <w:noProof/>
          <w:sz w:val="24"/>
          <w:szCs w:val="24"/>
          <w:lang w:val="ro-RO"/>
        </w:rPr>
        <w:t>icolul</w:t>
      </w:r>
      <w:r w:rsidRPr="00E21CB9">
        <w:rPr>
          <w:rFonts w:ascii="Times New Roman" w:hAnsi="Times New Roman"/>
          <w:noProof/>
          <w:sz w:val="24"/>
          <w:szCs w:val="24"/>
          <w:lang w:val="ro-RO"/>
        </w:rPr>
        <w:t xml:space="preserve"> 11 din Constituție</w:t>
      </w:r>
      <w:r w:rsidR="007048A4" w:rsidRPr="00E21CB9">
        <w:rPr>
          <w:rFonts w:ascii="Times New Roman" w:hAnsi="Times New Roman"/>
          <w:noProof/>
          <w:sz w:val="24"/>
          <w:szCs w:val="24"/>
          <w:lang w:val="ro-RO"/>
        </w:rPr>
        <w:t xml:space="preserve"> dispune, în alin. (3)</w:t>
      </w:r>
      <w:r w:rsidR="00F50494" w:rsidRPr="00E21CB9">
        <w:rPr>
          <w:rFonts w:ascii="Times New Roman" w:hAnsi="Times New Roman"/>
          <w:noProof/>
          <w:sz w:val="24"/>
          <w:szCs w:val="24"/>
          <w:lang w:val="ro-RO"/>
        </w:rPr>
        <w:t>,</w:t>
      </w:r>
      <w:r w:rsidR="007048A4" w:rsidRPr="00E21CB9">
        <w:rPr>
          <w:rFonts w:ascii="Times New Roman" w:hAnsi="Times New Roman"/>
          <w:noProof/>
          <w:sz w:val="24"/>
          <w:szCs w:val="24"/>
          <w:lang w:val="ro-RO"/>
        </w:rPr>
        <w:t xml:space="preserve"> că </w:t>
      </w:r>
      <w:r w:rsidR="007048A4" w:rsidRPr="00E21CB9">
        <w:rPr>
          <w:rFonts w:ascii="Times New Roman" w:hAnsi="Times New Roman"/>
          <w:i/>
          <w:iCs/>
          <w:noProof/>
          <w:sz w:val="24"/>
          <w:szCs w:val="24"/>
          <w:lang w:val="ro-RO"/>
        </w:rPr>
        <w:t>în cazul în care un tratat la care România urmează să devină parte cuprinde dispoziţii contrare Constituţiei, ratificarea lui poate avea loc numai după revizuirea Constituţiei</w:t>
      </w:r>
      <w:r w:rsidR="007048A4" w:rsidRPr="00E21CB9">
        <w:rPr>
          <w:rFonts w:ascii="Times New Roman" w:hAnsi="Times New Roman"/>
          <w:noProof/>
          <w:sz w:val="24"/>
          <w:szCs w:val="24"/>
          <w:lang w:val="ro-RO"/>
        </w:rPr>
        <w:t>.</w:t>
      </w:r>
    </w:p>
    <w:p w14:paraId="2E1F9B6E" w14:textId="3E0F0590" w:rsidR="003017B1" w:rsidRPr="00E21CB9" w:rsidRDefault="003017B1"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Astfel, dreptul intern nu poate conține norme contrare Constituției, orice tratat ratificat de Parlament bucurându-se de prezumția relativă de a fi în acord cu Constituția</w:t>
      </w:r>
      <w:r w:rsidR="00A66CC8" w:rsidRPr="00E21CB9">
        <w:rPr>
          <w:rFonts w:ascii="Times New Roman" w:hAnsi="Times New Roman"/>
          <w:noProof/>
          <w:sz w:val="24"/>
          <w:szCs w:val="24"/>
          <w:lang w:val="ro-RO"/>
        </w:rPr>
        <w:t>.</w:t>
      </w:r>
    </w:p>
    <w:p w14:paraId="0D9A9871" w14:textId="6ABB2166" w:rsidR="003017B1" w:rsidRPr="00E21CB9" w:rsidRDefault="003017B1"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 xml:space="preserve">În jurisprudența </w:t>
      </w:r>
      <w:r w:rsidR="00F50494" w:rsidRPr="00E21CB9">
        <w:rPr>
          <w:rFonts w:ascii="Times New Roman" w:hAnsi="Times New Roman"/>
          <w:noProof/>
          <w:sz w:val="24"/>
          <w:szCs w:val="24"/>
          <w:lang w:val="ro-RO"/>
        </w:rPr>
        <w:t>CCR</w:t>
      </w:r>
      <w:r w:rsidR="005645AE" w:rsidRPr="00E21CB9">
        <w:rPr>
          <w:rFonts w:ascii="Times New Roman" w:hAnsi="Times New Roman"/>
          <w:noProof/>
          <w:sz w:val="24"/>
          <w:szCs w:val="24"/>
          <w:vertAlign w:val="superscript"/>
          <w:lang w:val="ro-RO"/>
        </w:rPr>
        <w:footnoteReference w:id="14"/>
      </w:r>
      <w:r w:rsidRPr="00E21CB9">
        <w:rPr>
          <w:rFonts w:ascii="Times New Roman" w:hAnsi="Times New Roman"/>
          <w:noProof/>
          <w:sz w:val="24"/>
          <w:szCs w:val="24"/>
          <w:lang w:val="ro-RO"/>
        </w:rPr>
        <w:t xml:space="preserve"> s-a reținut</w:t>
      </w:r>
      <w:r w:rsidR="00F50494" w:rsidRPr="00E21CB9">
        <w:rPr>
          <w:rFonts w:ascii="Times New Roman" w:hAnsi="Times New Roman"/>
          <w:noProof/>
          <w:sz w:val="24"/>
          <w:szCs w:val="24"/>
          <w:lang w:val="ro-RO"/>
        </w:rPr>
        <w:t>,</w:t>
      </w:r>
      <w:r w:rsidRPr="00E21CB9">
        <w:rPr>
          <w:rFonts w:ascii="Times New Roman" w:hAnsi="Times New Roman"/>
          <w:noProof/>
          <w:sz w:val="24"/>
          <w:szCs w:val="24"/>
          <w:lang w:val="ro-RO"/>
        </w:rPr>
        <w:t xml:space="preserve"> cu privire la raportul de norme între art</w:t>
      </w:r>
      <w:r w:rsidR="00173DB2" w:rsidRPr="00E21CB9">
        <w:rPr>
          <w:rFonts w:ascii="Times New Roman" w:hAnsi="Times New Roman"/>
          <w:noProof/>
          <w:sz w:val="24"/>
          <w:szCs w:val="24"/>
          <w:lang w:val="ro-RO"/>
        </w:rPr>
        <w:t>icolu</w:t>
      </w:r>
      <w:r w:rsidR="00046907" w:rsidRPr="00E21CB9">
        <w:rPr>
          <w:rFonts w:ascii="Times New Roman" w:hAnsi="Times New Roman"/>
          <w:noProof/>
          <w:sz w:val="24"/>
          <w:szCs w:val="24"/>
          <w:lang w:val="ro-RO"/>
        </w:rPr>
        <w:t>l</w:t>
      </w:r>
      <w:r w:rsidRPr="00E21CB9">
        <w:rPr>
          <w:rFonts w:ascii="Times New Roman" w:hAnsi="Times New Roman"/>
          <w:noProof/>
          <w:sz w:val="24"/>
          <w:szCs w:val="24"/>
          <w:lang w:val="ro-RO"/>
        </w:rPr>
        <w:t xml:space="preserve"> 11 alin. (2) și art</w:t>
      </w:r>
      <w:r w:rsidR="00046907" w:rsidRPr="00E21CB9">
        <w:rPr>
          <w:rFonts w:ascii="Times New Roman" w:hAnsi="Times New Roman"/>
          <w:noProof/>
          <w:sz w:val="24"/>
          <w:szCs w:val="24"/>
          <w:lang w:val="ro-RO"/>
        </w:rPr>
        <w:t>icolul</w:t>
      </w:r>
      <w:r w:rsidRPr="00E21CB9">
        <w:rPr>
          <w:rFonts w:ascii="Times New Roman" w:hAnsi="Times New Roman"/>
          <w:noProof/>
          <w:sz w:val="24"/>
          <w:szCs w:val="24"/>
          <w:lang w:val="ro-RO"/>
        </w:rPr>
        <w:t xml:space="preserve"> 148</w:t>
      </w:r>
      <w:r w:rsidR="00F50494" w:rsidRPr="00E21CB9">
        <w:rPr>
          <w:rFonts w:ascii="Times New Roman" w:hAnsi="Times New Roman"/>
          <w:noProof/>
          <w:sz w:val="24"/>
          <w:szCs w:val="24"/>
          <w:lang w:val="ro-RO"/>
        </w:rPr>
        <w:t>,</w:t>
      </w:r>
      <w:r w:rsidRPr="00E21CB9">
        <w:rPr>
          <w:rFonts w:ascii="Times New Roman" w:hAnsi="Times New Roman"/>
          <w:noProof/>
          <w:sz w:val="24"/>
          <w:szCs w:val="24"/>
          <w:lang w:val="ro-RO"/>
        </w:rPr>
        <w:t xml:space="preserve"> că acestea din urmă reprezintă o aplicație particulară a dispozițiilor art</w:t>
      </w:r>
      <w:r w:rsidR="00046907" w:rsidRPr="00E21CB9">
        <w:rPr>
          <w:rFonts w:ascii="Times New Roman" w:hAnsi="Times New Roman"/>
          <w:noProof/>
          <w:sz w:val="24"/>
          <w:szCs w:val="24"/>
          <w:lang w:val="ro-RO"/>
        </w:rPr>
        <w:t>icolului</w:t>
      </w:r>
      <w:r w:rsidRPr="00E21CB9">
        <w:rPr>
          <w:rFonts w:ascii="Times New Roman" w:hAnsi="Times New Roman"/>
          <w:noProof/>
          <w:sz w:val="24"/>
          <w:szCs w:val="24"/>
          <w:lang w:val="ro-RO"/>
        </w:rPr>
        <w:t xml:space="preserve"> 11 alin. (2) din Constituție</w:t>
      </w:r>
      <w:r w:rsidR="00F50494" w:rsidRPr="00E21CB9">
        <w:rPr>
          <w:rFonts w:ascii="Times New Roman" w:hAnsi="Times New Roman"/>
          <w:noProof/>
          <w:sz w:val="24"/>
          <w:szCs w:val="24"/>
          <w:lang w:val="ro-RO"/>
        </w:rPr>
        <w:t xml:space="preserve">, </w:t>
      </w:r>
      <w:r w:rsidRPr="00E21CB9">
        <w:rPr>
          <w:rFonts w:ascii="Times New Roman" w:hAnsi="Times New Roman"/>
          <w:noProof/>
          <w:sz w:val="24"/>
          <w:szCs w:val="24"/>
          <w:lang w:val="ro-RO"/>
        </w:rPr>
        <w:t xml:space="preserve">dar, așa cum CCR a statuat într-o jurisprudență constantă, începând cu Decizia nr. 148/2003, prin sintagma </w:t>
      </w:r>
      <w:r w:rsidRPr="00E21CB9">
        <w:rPr>
          <w:rFonts w:ascii="Times New Roman" w:hAnsi="Times New Roman"/>
          <w:i/>
          <w:iCs/>
          <w:noProof/>
          <w:sz w:val="24"/>
          <w:szCs w:val="24"/>
          <w:lang w:val="ro-RO"/>
        </w:rPr>
        <w:t>legile interne</w:t>
      </w:r>
      <w:r w:rsidRPr="00E21CB9">
        <w:rPr>
          <w:rFonts w:ascii="Times New Roman" w:hAnsi="Times New Roman"/>
          <w:noProof/>
          <w:sz w:val="24"/>
          <w:szCs w:val="24"/>
          <w:lang w:val="ro-RO"/>
        </w:rPr>
        <w:t xml:space="preserve"> din conținutul art</w:t>
      </w:r>
      <w:r w:rsidR="00046907" w:rsidRPr="00E21CB9">
        <w:rPr>
          <w:rFonts w:ascii="Times New Roman" w:hAnsi="Times New Roman"/>
          <w:noProof/>
          <w:sz w:val="24"/>
          <w:szCs w:val="24"/>
          <w:lang w:val="ro-RO"/>
        </w:rPr>
        <w:t>icolului</w:t>
      </w:r>
      <w:r w:rsidRPr="00E21CB9">
        <w:rPr>
          <w:rFonts w:ascii="Times New Roman" w:hAnsi="Times New Roman"/>
          <w:noProof/>
          <w:sz w:val="24"/>
          <w:szCs w:val="24"/>
          <w:lang w:val="ro-RO"/>
        </w:rPr>
        <w:t xml:space="preserve"> 148 se înțeleg celelalte reglementări din sistemul normativ național, iar nu însăși Constituția, concluzie ce se bazează deopotrivă pe interpretarea sistematică și logică a dispozițiilor constituționale. </w:t>
      </w:r>
    </w:p>
    <w:p w14:paraId="7ED6D37B" w14:textId="4BDD58FC" w:rsidR="003017B1" w:rsidRPr="00E21CB9" w:rsidRDefault="00CB751F"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 xml:space="preserve">Prin urmare, în cazul unei </w:t>
      </w:r>
      <w:r w:rsidR="003017B1" w:rsidRPr="00E21CB9">
        <w:rPr>
          <w:rFonts w:ascii="Times New Roman" w:hAnsi="Times New Roman"/>
          <w:noProof/>
          <w:sz w:val="24"/>
          <w:szCs w:val="24"/>
          <w:lang w:val="ro-RO"/>
        </w:rPr>
        <w:t>coliziun</w:t>
      </w:r>
      <w:r w:rsidRPr="00E21CB9">
        <w:rPr>
          <w:rFonts w:ascii="Times New Roman" w:hAnsi="Times New Roman"/>
          <w:noProof/>
          <w:sz w:val="24"/>
          <w:szCs w:val="24"/>
          <w:lang w:val="ro-RO"/>
        </w:rPr>
        <w:t>i</w:t>
      </w:r>
      <w:r w:rsidR="003017B1" w:rsidRPr="00E21CB9">
        <w:rPr>
          <w:rFonts w:ascii="Times New Roman" w:hAnsi="Times New Roman"/>
          <w:noProof/>
          <w:sz w:val="24"/>
          <w:szCs w:val="24"/>
          <w:lang w:val="ro-RO"/>
        </w:rPr>
        <w:t xml:space="preserve"> a unui tratat cu însăși Constituția, inclusiv în sfera raporturilor la nivelul UE, revenim la regulile generale stabilite de art</w:t>
      </w:r>
      <w:r w:rsidR="00046907" w:rsidRPr="00E21CB9">
        <w:rPr>
          <w:rFonts w:ascii="Times New Roman" w:hAnsi="Times New Roman"/>
          <w:noProof/>
          <w:sz w:val="24"/>
          <w:szCs w:val="24"/>
          <w:lang w:val="ro-RO"/>
        </w:rPr>
        <w:t>icolul</w:t>
      </w:r>
      <w:r w:rsidR="003017B1" w:rsidRPr="00E21CB9">
        <w:rPr>
          <w:rFonts w:ascii="Times New Roman" w:hAnsi="Times New Roman"/>
          <w:noProof/>
          <w:sz w:val="24"/>
          <w:szCs w:val="24"/>
          <w:lang w:val="ro-RO"/>
        </w:rPr>
        <w:t xml:space="preserve"> 11, în sensul punerii în discuție a revizuirii Constituției, procedură fără de care este imposibil ca tratatul să fie aplicabil în România.</w:t>
      </w:r>
    </w:p>
    <w:p w14:paraId="127C0AE0" w14:textId="0AA4552F" w:rsidR="003017B1" w:rsidRPr="00E21CB9" w:rsidRDefault="003017B1"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lastRenderedPageBreak/>
        <w:t>Ca o consecință, se poate deduce că, prin ipoteză, orice tratat este aplicabil în sistemul intern doar atâta timp cât respectă dispozițiile constituționale.</w:t>
      </w:r>
    </w:p>
    <w:p w14:paraId="5D64A65E" w14:textId="765F9E2A" w:rsidR="00351F9A" w:rsidRPr="00E21CB9" w:rsidRDefault="00351F9A"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În plus, la rândul său</w:t>
      </w:r>
      <w:r w:rsidR="00F50494" w:rsidRPr="00E21CB9">
        <w:rPr>
          <w:rFonts w:ascii="Times New Roman" w:hAnsi="Times New Roman"/>
          <w:noProof/>
          <w:sz w:val="24"/>
          <w:szCs w:val="24"/>
          <w:lang w:val="ro-RO"/>
        </w:rPr>
        <w:t>,</w:t>
      </w:r>
      <w:r w:rsidRPr="00E21CB9">
        <w:rPr>
          <w:rFonts w:ascii="Times New Roman" w:hAnsi="Times New Roman"/>
          <w:noProof/>
          <w:sz w:val="24"/>
          <w:szCs w:val="24"/>
          <w:lang w:val="ro-RO"/>
        </w:rPr>
        <w:t xml:space="preserve"> legea fundamentală își proclamă supremația în materia drepturilor fundamentale, atunci când protectia oferită este mai largă: </w:t>
      </w:r>
      <w:r w:rsidRPr="00E21CB9">
        <w:rPr>
          <w:rFonts w:ascii="Times New Roman" w:hAnsi="Times New Roman"/>
          <w:i/>
          <w:iCs/>
          <w:noProof/>
          <w:sz w:val="24"/>
          <w:szCs w:val="24"/>
          <w:lang w:val="ro-RO"/>
        </w:rPr>
        <w:t>Dac</w:t>
      </w:r>
      <w:r w:rsidR="00F50494"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xml:space="preserve"> exist</w:t>
      </w:r>
      <w:r w:rsidR="00F50494" w:rsidRPr="00E21CB9">
        <w:rPr>
          <w:rFonts w:ascii="Times New Roman" w:hAnsi="Times New Roman"/>
          <w:i/>
          <w:iCs/>
          <w:noProof/>
          <w:sz w:val="24"/>
          <w:szCs w:val="24"/>
          <w:lang w:val="ro-RO"/>
        </w:rPr>
        <w:t>ă</w:t>
      </w:r>
      <w:r w:rsidRPr="00E21CB9">
        <w:rPr>
          <w:rFonts w:ascii="Times New Roman" w:hAnsi="Times New Roman"/>
          <w:i/>
          <w:iCs/>
          <w:noProof/>
          <w:sz w:val="24"/>
          <w:szCs w:val="24"/>
          <w:lang w:val="ro-RO"/>
        </w:rPr>
        <w:t xml:space="preserve"> neconcordan</w:t>
      </w:r>
      <w:r w:rsidR="00F50494" w:rsidRPr="00E21CB9">
        <w:rPr>
          <w:rFonts w:ascii="Times New Roman" w:hAnsi="Times New Roman"/>
          <w:i/>
          <w:iCs/>
          <w:noProof/>
          <w:sz w:val="24"/>
          <w:szCs w:val="24"/>
          <w:lang w:val="ro-RO"/>
        </w:rPr>
        <w:t>ț</w:t>
      </w:r>
      <w:r w:rsidRPr="00E21CB9">
        <w:rPr>
          <w:rFonts w:ascii="Times New Roman" w:hAnsi="Times New Roman"/>
          <w:i/>
          <w:iCs/>
          <w:noProof/>
          <w:sz w:val="24"/>
          <w:szCs w:val="24"/>
          <w:lang w:val="ro-RO"/>
        </w:rPr>
        <w:t xml:space="preserve">e </w:t>
      </w:r>
      <w:r w:rsidR="00F50494" w:rsidRPr="00E21CB9">
        <w:rPr>
          <w:rFonts w:ascii="Times New Roman" w:hAnsi="Times New Roman"/>
          <w:i/>
          <w:iCs/>
          <w:noProof/>
          <w:sz w:val="24"/>
          <w:szCs w:val="24"/>
          <w:lang w:val="ro-RO"/>
        </w:rPr>
        <w:t>î</w:t>
      </w:r>
      <w:r w:rsidRPr="00E21CB9">
        <w:rPr>
          <w:rFonts w:ascii="Times New Roman" w:hAnsi="Times New Roman"/>
          <w:i/>
          <w:iCs/>
          <w:noProof/>
          <w:sz w:val="24"/>
          <w:szCs w:val="24"/>
          <w:lang w:val="ro-RO"/>
        </w:rPr>
        <w:t xml:space="preserve">ntre pactele </w:t>
      </w:r>
      <w:r w:rsidR="00F50494" w:rsidRPr="00E21CB9">
        <w:rPr>
          <w:rFonts w:ascii="Times New Roman" w:hAnsi="Times New Roman"/>
          <w:i/>
          <w:iCs/>
          <w:noProof/>
          <w:sz w:val="24"/>
          <w:szCs w:val="24"/>
          <w:lang w:val="ro-RO"/>
        </w:rPr>
        <w:t>ș</w:t>
      </w:r>
      <w:r w:rsidRPr="00E21CB9">
        <w:rPr>
          <w:rFonts w:ascii="Times New Roman" w:hAnsi="Times New Roman"/>
          <w:i/>
          <w:iCs/>
          <w:noProof/>
          <w:sz w:val="24"/>
          <w:szCs w:val="24"/>
          <w:lang w:val="ro-RO"/>
        </w:rPr>
        <w:t>i tratatele privitoare la drepturile fundamentale ale omului, la care Rom</w:t>
      </w:r>
      <w:r w:rsidR="00F50494" w:rsidRPr="00E21CB9">
        <w:rPr>
          <w:rFonts w:ascii="Times New Roman" w:hAnsi="Times New Roman"/>
          <w:i/>
          <w:iCs/>
          <w:noProof/>
          <w:sz w:val="24"/>
          <w:szCs w:val="24"/>
          <w:lang w:val="ro-RO"/>
        </w:rPr>
        <w:t>â</w:t>
      </w:r>
      <w:r w:rsidRPr="00E21CB9">
        <w:rPr>
          <w:rFonts w:ascii="Times New Roman" w:hAnsi="Times New Roman"/>
          <w:i/>
          <w:iCs/>
          <w:noProof/>
          <w:sz w:val="24"/>
          <w:szCs w:val="24"/>
          <w:lang w:val="ro-RO"/>
        </w:rPr>
        <w:t xml:space="preserve">nia este parte, </w:t>
      </w:r>
      <w:r w:rsidR="00F50494" w:rsidRPr="00E21CB9">
        <w:rPr>
          <w:rFonts w:ascii="Times New Roman" w:hAnsi="Times New Roman"/>
          <w:i/>
          <w:iCs/>
          <w:noProof/>
          <w:sz w:val="24"/>
          <w:szCs w:val="24"/>
          <w:lang w:val="ro-RO"/>
        </w:rPr>
        <w:t>ș</w:t>
      </w:r>
      <w:r w:rsidRPr="00E21CB9">
        <w:rPr>
          <w:rFonts w:ascii="Times New Roman" w:hAnsi="Times New Roman"/>
          <w:i/>
          <w:iCs/>
          <w:noProof/>
          <w:sz w:val="24"/>
          <w:szCs w:val="24"/>
          <w:lang w:val="ro-RO"/>
        </w:rPr>
        <w:t>i legile interne, au prioritate reglementarile internationale, cu exceptia cazului in care Constitutia sau legile interne contin dispozitii mai favorabile</w:t>
      </w:r>
      <w:r w:rsidR="002807D8" w:rsidRPr="00E21CB9">
        <w:rPr>
          <w:rFonts w:ascii="Times New Roman" w:hAnsi="Times New Roman"/>
          <w:noProof/>
          <w:sz w:val="24"/>
          <w:szCs w:val="24"/>
          <w:lang w:val="ro-RO"/>
        </w:rPr>
        <w:t xml:space="preserve"> </w:t>
      </w:r>
      <w:r w:rsidR="00F50494" w:rsidRPr="00E21CB9">
        <w:rPr>
          <w:rFonts w:ascii="Times New Roman" w:hAnsi="Times New Roman"/>
          <w:noProof/>
          <w:sz w:val="24"/>
          <w:szCs w:val="24"/>
          <w:lang w:val="en-GB"/>
        </w:rPr>
        <w:t>[</w:t>
      </w:r>
      <w:r w:rsidRPr="00E21CB9">
        <w:rPr>
          <w:rFonts w:ascii="Times New Roman" w:hAnsi="Times New Roman"/>
          <w:noProof/>
          <w:sz w:val="24"/>
          <w:szCs w:val="24"/>
          <w:lang w:val="ro-RO"/>
        </w:rPr>
        <w:t>art</w:t>
      </w:r>
      <w:r w:rsidR="00046907" w:rsidRPr="00E21CB9">
        <w:rPr>
          <w:rFonts w:ascii="Times New Roman" w:hAnsi="Times New Roman"/>
          <w:noProof/>
          <w:sz w:val="24"/>
          <w:szCs w:val="24"/>
          <w:lang w:val="ro-RO"/>
        </w:rPr>
        <w:t xml:space="preserve">icolul </w:t>
      </w:r>
      <w:r w:rsidRPr="00E21CB9">
        <w:rPr>
          <w:rFonts w:ascii="Times New Roman" w:hAnsi="Times New Roman"/>
          <w:noProof/>
          <w:sz w:val="24"/>
          <w:szCs w:val="24"/>
          <w:lang w:val="ro-RO"/>
        </w:rPr>
        <w:t>20 alin. (2) din Consti</w:t>
      </w:r>
      <w:r w:rsidR="00F50494" w:rsidRPr="00E21CB9">
        <w:rPr>
          <w:rFonts w:ascii="Times New Roman" w:hAnsi="Times New Roman"/>
          <w:noProof/>
          <w:sz w:val="24"/>
          <w:szCs w:val="24"/>
          <w:lang w:val="ro-RO"/>
        </w:rPr>
        <w:t>ț</w:t>
      </w:r>
      <w:r w:rsidRPr="00E21CB9">
        <w:rPr>
          <w:rFonts w:ascii="Times New Roman" w:hAnsi="Times New Roman"/>
          <w:noProof/>
          <w:sz w:val="24"/>
          <w:szCs w:val="24"/>
          <w:lang w:val="ro-RO"/>
        </w:rPr>
        <w:t>utia României</w:t>
      </w:r>
      <w:r w:rsidR="00F50494" w:rsidRPr="00E21CB9">
        <w:rPr>
          <w:rFonts w:ascii="Times New Roman" w:hAnsi="Times New Roman"/>
          <w:noProof/>
          <w:sz w:val="24"/>
          <w:szCs w:val="24"/>
          <w:lang w:val="en-GB"/>
        </w:rPr>
        <w:t>]</w:t>
      </w:r>
      <w:r w:rsidRPr="00E21CB9">
        <w:rPr>
          <w:rFonts w:ascii="Times New Roman" w:hAnsi="Times New Roman"/>
          <w:noProof/>
          <w:sz w:val="24"/>
          <w:szCs w:val="24"/>
          <w:lang w:val="ro-RO"/>
        </w:rPr>
        <w:t>.</w:t>
      </w:r>
    </w:p>
    <w:p w14:paraId="3BB9EA26" w14:textId="028AFFA3" w:rsidR="003017B1" w:rsidRPr="00E21CB9" w:rsidRDefault="00351F9A"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În atare coordonate, o</w:t>
      </w:r>
      <w:r w:rsidR="00CB751F" w:rsidRPr="00E21CB9">
        <w:rPr>
          <w:rFonts w:ascii="Times New Roman" w:hAnsi="Times New Roman"/>
          <w:noProof/>
          <w:sz w:val="24"/>
          <w:szCs w:val="24"/>
          <w:lang w:val="ro-RO"/>
        </w:rPr>
        <w:t>rice</w:t>
      </w:r>
      <w:r w:rsidR="003017B1" w:rsidRPr="00E21CB9">
        <w:rPr>
          <w:rFonts w:ascii="Times New Roman" w:hAnsi="Times New Roman"/>
          <w:noProof/>
          <w:sz w:val="24"/>
          <w:szCs w:val="24"/>
          <w:lang w:val="ro-RO"/>
        </w:rPr>
        <w:t xml:space="preserve"> procedură care </w:t>
      </w:r>
      <w:r w:rsidR="00CB751F" w:rsidRPr="00E21CB9">
        <w:rPr>
          <w:rFonts w:ascii="Times New Roman" w:hAnsi="Times New Roman"/>
          <w:noProof/>
          <w:sz w:val="24"/>
          <w:szCs w:val="24"/>
          <w:lang w:val="ro-RO"/>
        </w:rPr>
        <w:t xml:space="preserve">ar </w:t>
      </w:r>
      <w:r w:rsidR="003017B1" w:rsidRPr="00E21CB9">
        <w:rPr>
          <w:rFonts w:ascii="Times New Roman" w:hAnsi="Times New Roman"/>
          <w:noProof/>
          <w:sz w:val="24"/>
          <w:szCs w:val="24"/>
          <w:lang w:val="ro-RO"/>
        </w:rPr>
        <w:t xml:space="preserve">tinde la a înlătura supremația Constituției este inadmisibilă raportat la condiția negativă intrinsecă, dirimantă, ca </w:t>
      </w:r>
      <w:r w:rsidR="00CB751F" w:rsidRPr="00E21CB9">
        <w:rPr>
          <w:rFonts w:ascii="Times New Roman" w:hAnsi="Times New Roman"/>
          <w:noProof/>
          <w:sz w:val="24"/>
          <w:szCs w:val="24"/>
          <w:lang w:val="ro-RO"/>
        </w:rPr>
        <w:t>aceasta</w:t>
      </w:r>
      <w:r w:rsidR="003017B1" w:rsidRPr="00E21CB9">
        <w:rPr>
          <w:rFonts w:ascii="Times New Roman" w:hAnsi="Times New Roman"/>
          <w:noProof/>
          <w:sz w:val="24"/>
          <w:szCs w:val="24"/>
          <w:lang w:val="ro-RO"/>
        </w:rPr>
        <w:t xml:space="preserve"> să nu ducă la schimbarea raportului de norme între Constituție și tratate sau actele derivate, astfel cum acest raport este consacrat prin legea fundamentală.</w:t>
      </w:r>
    </w:p>
    <w:p w14:paraId="5AE9D3DA" w14:textId="7AFD8574" w:rsidR="00942026" w:rsidRPr="00E21CB9" w:rsidRDefault="007048A4"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Suntem, așadar, în aceeași situație, sub aspectul raportului Constituție - drept UE</w:t>
      </w:r>
      <w:r w:rsidR="00F50494" w:rsidRPr="00E21CB9">
        <w:rPr>
          <w:rFonts w:ascii="Times New Roman" w:hAnsi="Times New Roman"/>
          <w:noProof/>
          <w:sz w:val="24"/>
          <w:szCs w:val="24"/>
          <w:lang w:val="ro-RO"/>
        </w:rPr>
        <w:t>,</w:t>
      </w:r>
      <w:r w:rsidRPr="00E21CB9">
        <w:rPr>
          <w:rFonts w:ascii="Times New Roman" w:hAnsi="Times New Roman"/>
          <w:noProof/>
          <w:sz w:val="24"/>
          <w:szCs w:val="24"/>
          <w:lang w:val="ro-RO"/>
        </w:rPr>
        <w:t xml:space="preserve"> ca alte state membre, precum Franța, Polonia sau Republica Cehă</w:t>
      </w:r>
      <w:r w:rsidR="00617FA7" w:rsidRPr="00E21CB9">
        <w:rPr>
          <w:rFonts w:ascii="Times New Roman" w:hAnsi="Times New Roman"/>
          <w:noProof/>
          <w:sz w:val="24"/>
          <w:szCs w:val="24"/>
          <w:lang w:val="ro-RO"/>
        </w:rPr>
        <w:t>,</w:t>
      </w:r>
      <w:r w:rsidRPr="00E21CB9">
        <w:rPr>
          <w:rFonts w:ascii="Times New Roman" w:hAnsi="Times New Roman"/>
          <w:noProof/>
          <w:sz w:val="24"/>
          <w:szCs w:val="24"/>
          <w:lang w:val="ro-RO"/>
        </w:rPr>
        <w:t xml:space="preserve"> din perspectiva temeiului de ordin constituțional al limitelor supremației</w:t>
      </w:r>
      <w:r w:rsidR="00617FA7" w:rsidRPr="00E21CB9">
        <w:rPr>
          <w:rFonts w:ascii="Times New Roman" w:hAnsi="Times New Roman"/>
          <w:noProof/>
          <w:sz w:val="24"/>
          <w:szCs w:val="24"/>
          <w:lang w:val="ro-RO"/>
        </w:rPr>
        <w:t xml:space="preserve"> și într-una favorabilă prevalenței normelor ce garantează protec</w:t>
      </w:r>
      <w:r w:rsidR="00F50494" w:rsidRPr="00E21CB9">
        <w:rPr>
          <w:rFonts w:ascii="Times New Roman" w:hAnsi="Times New Roman"/>
          <w:noProof/>
          <w:sz w:val="24"/>
          <w:szCs w:val="24"/>
          <w:lang w:val="ro-RO"/>
        </w:rPr>
        <w:t>ț</w:t>
      </w:r>
      <w:r w:rsidR="00617FA7" w:rsidRPr="00E21CB9">
        <w:rPr>
          <w:rFonts w:ascii="Times New Roman" w:hAnsi="Times New Roman"/>
          <w:noProof/>
          <w:sz w:val="24"/>
          <w:szCs w:val="24"/>
          <w:lang w:val="ro-RO"/>
        </w:rPr>
        <w:t>ia superioară a drepturilor fundamentale, indiferent de sediul acestora.</w:t>
      </w:r>
    </w:p>
    <w:p w14:paraId="01799D8F" w14:textId="3C35A751" w:rsidR="00205946" w:rsidRPr="00E21CB9" w:rsidRDefault="00205946" w:rsidP="00F10A47">
      <w:pPr>
        <w:spacing w:after="200" w:line="276" w:lineRule="auto"/>
        <w:jc w:val="both"/>
        <w:rPr>
          <w:rFonts w:ascii="Times New Roman" w:hAnsi="Times New Roman"/>
          <w:b/>
          <w:bCs/>
          <w:noProof/>
          <w:sz w:val="24"/>
          <w:szCs w:val="24"/>
          <w:lang w:val="ro-RO"/>
        </w:rPr>
      </w:pPr>
      <w:r w:rsidRPr="00E21CB9">
        <w:rPr>
          <w:rFonts w:ascii="Times New Roman" w:hAnsi="Times New Roman"/>
          <w:b/>
          <w:bCs/>
          <w:noProof/>
          <w:sz w:val="24"/>
          <w:szCs w:val="24"/>
          <w:lang w:val="ro-RO"/>
        </w:rPr>
        <w:t>Procedura contralimitelor ca remediu pentru restabilirea ordinii juridice constituționale</w:t>
      </w:r>
    </w:p>
    <w:p w14:paraId="55999AA6" w14:textId="26ADE726" w:rsidR="00CF0489" w:rsidRPr="00E21CB9" w:rsidRDefault="00205946"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Știm cu toții că cine s-a fript cu ciorbă suflă și-n iaurt.</w:t>
      </w:r>
    </w:p>
    <w:p w14:paraId="71692A55" w14:textId="145DE12C" w:rsidR="007622D8" w:rsidRPr="00E21CB9" w:rsidRDefault="00205946"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 xml:space="preserve">În situația în care CJUE va renunța la abordarea din </w:t>
      </w:r>
      <w:r w:rsidRPr="00E21CB9">
        <w:rPr>
          <w:rFonts w:ascii="Times New Roman" w:hAnsi="Times New Roman"/>
          <w:i/>
          <w:iCs/>
          <w:noProof/>
          <w:sz w:val="24"/>
          <w:szCs w:val="24"/>
          <w:lang w:val="ro-RO"/>
        </w:rPr>
        <w:t>Taricco II</w:t>
      </w:r>
      <w:r w:rsidRPr="00E21CB9">
        <w:rPr>
          <w:rFonts w:ascii="Times New Roman" w:hAnsi="Times New Roman"/>
          <w:noProof/>
          <w:sz w:val="24"/>
          <w:szCs w:val="24"/>
          <w:lang w:val="ro-RO"/>
        </w:rPr>
        <w:t xml:space="preserve"> </w:t>
      </w:r>
      <w:r w:rsidR="00C16BC2" w:rsidRPr="00E21CB9">
        <w:rPr>
          <w:rFonts w:ascii="Times New Roman" w:hAnsi="Times New Roman"/>
          <w:noProof/>
          <w:sz w:val="24"/>
          <w:szCs w:val="24"/>
          <w:lang w:val="ro-RO"/>
        </w:rPr>
        <w:t xml:space="preserve">în cadrul unui reviriment jurisprudențial ce nu ar valorifica nici nivelul </w:t>
      </w:r>
      <w:r w:rsidR="000D5C01" w:rsidRPr="00E21CB9">
        <w:rPr>
          <w:rFonts w:ascii="Times New Roman" w:hAnsi="Times New Roman"/>
          <w:noProof/>
          <w:sz w:val="24"/>
          <w:szCs w:val="24"/>
          <w:lang w:val="ro-RO"/>
        </w:rPr>
        <w:t xml:space="preserve">stabilit prin deciziile CCR și nici pe </w:t>
      </w:r>
      <w:r w:rsidR="002260E5" w:rsidRPr="00E21CB9">
        <w:rPr>
          <w:rFonts w:ascii="Times New Roman" w:hAnsi="Times New Roman"/>
          <w:noProof/>
          <w:sz w:val="24"/>
          <w:szCs w:val="24"/>
          <w:lang w:val="ro-RO"/>
        </w:rPr>
        <w:t>c</w:t>
      </w:r>
      <w:r w:rsidR="000D5C01" w:rsidRPr="00E21CB9">
        <w:rPr>
          <w:rFonts w:ascii="Times New Roman" w:hAnsi="Times New Roman"/>
          <w:noProof/>
          <w:sz w:val="24"/>
          <w:szCs w:val="24"/>
          <w:lang w:val="ro-RO"/>
        </w:rPr>
        <w:t xml:space="preserve">el </w:t>
      </w:r>
      <w:r w:rsidR="00C16BC2" w:rsidRPr="00E21CB9">
        <w:rPr>
          <w:rFonts w:ascii="Times New Roman" w:hAnsi="Times New Roman"/>
          <w:noProof/>
          <w:sz w:val="24"/>
          <w:szCs w:val="24"/>
          <w:lang w:val="ro-RO"/>
        </w:rPr>
        <w:t xml:space="preserve">uniform superior </w:t>
      </w:r>
      <w:r w:rsidR="00F2769D" w:rsidRPr="00E21CB9">
        <w:rPr>
          <w:rFonts w:ascii="Times New Roman" w:hAnsi="Times New Roman"/>
          <w:noProof/>
          <w:sz w:val="24"/>
          <w:szCs w:val="24"/>
          <w:lang w:val="ro-RO"/>
        </w:rPr>
        <w:t xml:space="preserve">celui național </w:t>
      </w:r>
      <w:r w:rsidR="00C16BC2" w:rsidRPr="00E21CB9">
        <w:rPr>
          <w:rFonts w:ascii="Times New Roman" w:hAnsi="Times New Roman"/>
          <w:noProof/>
          <w:sz w:val="24"/>
          <w:szCs w:val="24"/>
          <w:lang w:val="ro-RO"/>
        </w:rPr>
        <w:t xml:space="preserve">instituit de </w:t>
      </w:r>
      <w:r w:rsidR="00C156F2" w:rsidRPr="00E21CB9">
        <w:rPr>
          <w:rFonts w:ascii="Times New Roman" w:hAnsi="Times New Roman"/>
          <w:noProof/>
          <w:sz w:val="24"/>
          <w:szCs w:val="24"/>
          <w:lang w:val="ro-RO"/>
        </w:rPr>
        <w:t>Directiva PIF</w:t>
      </w:r>
      <w:r w:rsidR="00C16BC2" w:rsidRPr="00E21CB9">
        <w:rPr>
          <w:rFonts w:ascii="Times New Roman" w:hAnsi="Times New Roman"/>
          <w:noProof/>
          <w:sz w:val="24"/>
          <w:szCs w:val="24"/>
          <w:lang w:val="ro-RO"/>
        </w:rPr>
        <w:t>,</w:t>
      </w:r>
      <w:r w:rsidRPr="00E21CB9">
        <w:rPr>
          <w:rFonts w:ascii="Times New Roman" w:hAnsi="Times New Roman"/>
          <w:noProof/>
          <w:sz w:val="24"/>
          <w:szCs w:val="24"/>
          <w:lang w:val="ro-RO"/>
        </w:rPr>
        <w:t xml:space="preserve"> </w:t>
      </w:r>
      <w:r w:rsidR="00C16BC2" w:rsidRPr="00E21CB9">
        <w:rPr>
          <w:rFonts w:ascii="Times New Roman" w:hAnsi="Times New Roman"/>
          <w:noProof/>
          <w:sz w:val="24"/>
          <w:szCs w:val="24"/>
          <w:lang w:val="ro-RO"/>
        </w:rPr>
        <w:t>pare</w:t>
      </w:r>
      <w:r w:rsidRPr="00E21CB9">
        <w:rPr>
          <w:rFonts w:ascii="Times New Roman" w:hAnsi="Times New Roman"/>
          <w:noProof/>
          <w:sz w:val="24"/>
          <w:szCs w:val="24"/>
          <w:lang w:val="ro-RO"/>
        </w:rPr>
        <w:t xml:space="preserve"> </w:t>
      </w:r>
      <w:r w:rsidR="00C16BC2" w:rsidRPr="00E21CB9">
        <w:rPr>
          <w:rFonts w:ascii="Times New Roman" w:hAnsi="Times New Roman"/>
          <w:noProof/>
          <w:sz w:val="24"/>
          <w:szCs w:val="24"/>
          <w:lang w:val="ro-RO"/>
        </w:rPr>
        <w:t xml:space="preserve">că singurul </w:t>
      </w:r>
      <w:r w:rsidRPr="00E21CB9">
        <w:rPr>
          <w:rFonts w:ascii="Times New Roman" w:hAnsi="Times New Roman"/>
          <w:noProof/>
          <w:sz w:val="24"/>
          <w:szCs w:val="24"/>
          <w:lang w:val="ro-RO"/>
        </w:rPr>
        <w:t>remediu adecvat este s</w:t>
      </w:r>
      <w:r w:rsidR="007622D8" w:rsidRPr="00E21CB9">
        <w:rPr>
          <w:rFonts w:ascii="Times New Roman" w:hAnsi="Times New Roman"/>
          <w:noProof/>
          <w:sz w:val="24"/>
          <w:szCs w:val="24"/>
          <w:lang w:val="ro-RO"/>
        </w:rPr>
        <w:t xml:space="preserve">esizarea Curții Constituționale a României cu excepția de neconstituționalitate a Legii nr. 13/2008 pentru ratificarea Tratatului de la Lisabona de modificare a Tratatului privind Uniunea Europeană şi a Tratatului de instituire a </w:t>
      </w:r>
      <w:r w:rsidR="00C334B4" w:rsidRPr="00E21CB9">
        <w:rPr>
          <w:rFonts w:ascii="Times New Roman" w:hAnsi="Times New Roman"/>
          <w:noProof/>
          <w:sz w:val="24"/>
          <w:szCs w:val="24"/>
          <w:lang w:val="ro-RO"/>
        </w:rPr>
        <w:t>Comunității</w:t>
      </w:r>
      <w:r w:rsidR="007622D8" w:rsidRPr="00E21CB9">
        <w:rPr>
          <w:rFonts w:ascii="Times New Roman" w:hAnsi="Times New Roman"/>
          <w:noProof/>
          <w:sz w:val="24"/>
          <w:szCs w:val="24"/>
          <w:lang w:val="ro-RO"/>
        </w:rPr>
        <w:t xml:space="preserve"> Europene, semnat la Lisabona la 13 decembrie 2007, publicat în Monitorul Oficial nr. 107/2008, precum și a Tratatului care face corp comun cu aceasta, în ceea ce privește art</w:t>
      </w:r>
      <w:r w:rsidR="00046907" w:rsidRPr="00E21CB9">
        <w:rPr>
          <w:rFonts w:ascii="Times New Roman" w:hAnsi="Times New Roman"/>
          <w:noProof/>
          <w:sz w:val="24"/>
          <w:szCs w:val="24"/>
          <w:lang w:val="ro-RO"/>
        </w:rPr>
        <w:t xml:space="preserve">icolele </w:t>
      </w:r>
      <w:r w:rsidR="007622D8" w:rsidRPr="00E21CB9">
        <w:rPr>
          <w:rFonts w:ascii="Times New Roman" w:hAnsi="Times New Roman"/>
          <w:noProof/>
          <w:sz w:val="24"/>
          <w:szCs w:val="24"/>
          <w:lang w:val="ro-RO"/>
        </w:rPr>
        <w:t>2 TUE,  4 TUE, 19 alin. 1 par. 2 TUE și 325 TFUE</w:t>
      </w:r>
      <w:r w:rsidR="00C334B4" w:rsidRPr="00E21CB9">
        <w:rPr>
          <w:rFonts w:ascii="Times New Roman" w:hAnsi="Times New Roman"/>
          <w:noProof/>
          <w:sz w:val="24"/>
          <w:szCs w:val="24"/>
          <w:lang w:val="ro-RO"/>
        </w:rPr>
        <w:t>,</w:t>
      </w:r>
      <w:r w:rsidR="007622D8" w:rsidRPr="00E21CB9">
        <w:rPr>
          <w:rFonts w:ascii="Times New Roman" w:hAnsi="Times New Roman"/>
          <w:noProof/>
          <w:sz w:val="24"/>
          <w:szCs w:val="24"/>
          <w:lang w:val="ro-RO"/>
        </w:rPr>
        <w:t xml:space="preserve"> pentru încălcarea ar</w:t>
      </w:r>
      <w:r w:rsidR="00046907" w:rsidRPr="00E21CB9">
        <w:rPr>
          <w:rFonts w:ascii="Times New Roman" w:hAnsi="Times New Roman"/>
          <w:noProof/>
          <w:sz w:val="24"/>
          <w:szCs w:val="24"/>
          <w:lang w:val="ro-RO"/>
        </w:rPr>
        <w:t xml:space="preserve">ticolelor </w:t>
      </w:r>
      <w:r w:rsidR="007622D8" w:rsidRPr="00E21CB9">
        <w:rPr>
          <w:rFonts w:ascii="Times New Roman" w:hAnsi="Times New Roman"/>
          <w:noProof/>
          <w:sz w:val="24"/>
          <w:szCs w:val="24"/>
          <w:lang w:val="ro-RO"/>
        </w:rPr>
        <w:t>1 alin. 3-5,  2,  11, 20</w:t>
      </w:r>
      <w:r w:rsidR="006A0BE8" w:rsidRPr="00E21CB9">
        <w:rPr>
          <w:rFonts w:ascii="Times New Roman" w:hAnsi="Times New Roman"/>
          <w:noProof/>
          <w:sz w:val="24"/>
          <w:szCs w:val="24"/>
          <w:lang w:val="ro-RO"/>
        </w:rPr>
        <w:t xml:space="preserve"> </w:t>
      </w:r>
      <w:r w:rsidR="000467CE" w:rsidRPr="00E21CB9">
        <w:rPr>
          <w:rFonts w:ascii="Times New Roman" w:hAnsi="Times New Roman"/>
          <w:noProof/>
          <w:sz w:val="24"/>
          <w:szCs w:val="24"/>
          <w:lang w:val="ro-RO"/>
        </w:rPr>
        <w:t>și 23 alin. 12</w:t>
      </w:r>
      <w:r w:rsidR="00046907" w:rsidRPr="00E21CB9">
        <w:rPr>
          <w:rFonts w:ascii="Times New Roman" w:hAnsi="Times New Roman"/>
          <w:noProof/>
          <w:sz w:val="24"/>
          <w:szCs w:val="24"/>
          <w:lang w:val="ro-RO"/>
        </w:rPr>
        <w:t xml:space="preserve"> </w:t>
      </w:r>
      <w:r w:rsidR="00C16BC2" w:rsidRPr="00E21CB9">
        <w:rPr>
          <w:rFonts w:ascii="Times New Roman" w:hAnsi="Times New Roman"/>
          <w:noProof/>
          <w:sz w:val="24"/>
          <w:szCs w:val="24"/>
          <w:lang w:val="ro-RO"/>
        </w:rPr>
        <w:t>și</w:t>
      </w:r>
      <w:r w:rsidR="00044D56" w:rsidRPr="00E21CB9">
        <w:rPr>
          <w:rFonts w:ascii="Times New Roman" w:hAnsi="Times New Roman"/>
          <w:noProof/>
          <w:sz w:val="24"/>
          <w:szCs w:val="24"/>
          <w:lang w:val="ro-RO"/>
        </w:rPr>
        <w:t xml:space="preserve"> 147 alin. 4</w:t>
      </w:r>
      <w:r w:rsidR="000467CE" w:rsidRPr="00E21CB9">
        <w:rPr>
          <w:rFonts w:ascii="Times New Roman" w:hAnsi="Times New Roman"/>
          <w:noProof/>
          <w:sz w:val="24"/>
          <w:szCs w:val="24"/>
          <w:lang w:val="ro-RO"/>
        </w:rPr>
        <w:t xml:space="preserve"> </w:t>
      </w:r>
      <w:r w:rsidR="007622D8" w:rsidRPr="00E21CB9">
        <w:rPr>
          <w:rFonts w:ascii="Times New Roman" w:hAnsi="Times New Roman"/>
          <w:noProof/>
          <w:sz w:val="24"/>
          <w:szCs w:val="24"/>
          <w:lang w:val="ro-RO"/>
        </w:rPr>
        <w:t>din Constituția României</w:t>
      </w:r>
      <w:r w:rsidR="00C2385D" w:rsidRPr="00E21CB9">
        <w:rPr>
          <w:rFonts w:ascii="Times New Roman" w:hAnsi="Times New Roman"/>
          <w:noProof/>
          <w:sz w:val="24"/>
          <w:szCs w:val="24"/>
          <w:lang w:val="ro-RO"/>
        </w:rPr>
        <w:t>.</w:t>
      </w:r>
    </w:p>
    <w:p w14:paraId="42E85FB6" w14:textId="2B8C7A56" w:rsidR="00761B69" w:rsidRPr="00E21CB9" w:rsidRDefault="00C16BC2" w:rsidP="00F10A47">
      <w:pPr>
        <w:snapToGrid w:val="0"/>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 xml:space="preserve">Ori de câte ori </w:t>
      </w:r>
      <w:r w:rsidR="00761B69" w:rsidRPr="00E21CB9">
        <w:rPr>
          <w:rFonts w:ascii="Times New Roman" w:hAnsi="Times New Roman"/>
          <w:noProof/>
          <w:sz w:val="24"/>
          <w:szCs w:val="24"/>
          <w:lang w:val="ro-RO"/>
        </w:rPr>
        <w:t xml:space="preserve">Ministerul Public </w:t>
      </w:r>
      <w:r w:rsidRPr="00E21CB9">
        <w:rPr>
          <w:rFonts w:ascii="Times New Roman" w:hAnsi="Times New Roman"/>
          <w:noProof/>
          <w:sz w:val="24"/>
          <w:szCs w:val="24"/>
          <w:lang w:val="ro-RO"/>
        </w:rPr>
        <w:t xml:space="preserve">sau instanțele naționale, din oficiu, </w:t>
      </w:r>
      <w:r w:rsidR="00761B69" w:rsidRPr="00E21CB9">
        <w:rPr>
          <w:rFonts w:ascii="Times New Roman" w:hAnsi="Times New Roman"/>
          <w:noProof/>
          <w:sz w:val="24"/>
          <w:szCs w:val="24"/>
          <w:lang w:val="ro-RO"/>
        </w:rPr>
        <w:t>a</w:t>
      </w:r>
      <w:r w:rsidRPr="00E21CB9">
        <w:rPr>
          <w:rFonts w:ascii="Times New Roman" w:hAnsi="Times New Roman"/>
          <w:noProof/>
          <w:sz w:val="24"/>
          <w:szCs w:val="24"/>
          <w:lang w:val="ro-RO"/>
        </w:rPr>
        <w:t>r</w:t>
      </w:r>
      <w:r w:rsidR="00761B69" w:rsidRPr="00E21CB9">
        <w:rPr>
          <w:rFonts w:ascii="Times New Roman" w:hAnsi="Times New Roman"/>
          <w:noProof/>
          <w:sz w:val="24"/>
          <w:szCs w:val="24"/>
          <w:lang w:val="ro-RO"/>
        </w:rPr>
        <w:t xml:space="preserve"> invoca </w:t>
      </w:r>
      <w:r w:rsidRPr="00E21CB9">
        <w:rPr>
          <w:rFonts w:ascii="Times New Roman" w:hAnsi="Times New Roman"/>
          <w:noProof/>
          <w:sz w:val="24"/>
          <w:szCs w:val="24"/>
          <w:lang w:val="ro-RO"/>
        </w:rPr>
        <w:t>ina</w:t>
      </w:r>
      <w:r w:rsidR="00761B69" w:rsidRPr="00E21CB9">
        <w:rPr>
          <w:rFonts w:ascii="Times New Roman" w:hAnsi="Times New Roman"/>
          <w:noProof/>
          <w:sz w:val="24"/>
          <w:szCs w:val="24"/>
          <w:lang w:val="ro-RO"/>
        </w:rPr>
        <w:t>plicabilitatea Deciziei CCR nr. 297/2018 în lumina Deciziei CCR nr. 358/2022</w:t>
      </w:r>
      <w:r w:rsidR="00617FA7" w:rsidRPr="00E21CB9">
        <w:rPr>
          <w:rFonts w:ascii="Times New Roman" w:hAnsi="Times New Roman"/>
          <w:noProof/>
          <w:sz w:val="24"/>
          <w:szCs w:val="24"/>
          <w:lang w:val="ro-RO"/>
        </w:rPr>
        <w:t xml:space="preserve"> și a deciziei ÎCCJ nr. 67/2022</w:t>
      </w:r>
      <w:r w:rsidR="00761B69" w:rsidRPr="00E21CB9">
        <w:rPr>
          <w:rFonts w:ascii="Times New Roman" w:hAnsi="Times New Roman"/>
          <w:noProof/>
          <w:sz w:val="24"/>
          <w:szCs w:val="24"/>
          <w:lang w:val="ro-RO"/>
        </w:rPr>
        <w:t>, solicitând sesizarea CJUE cu întrebări preliminare în interpretarea art</w:t>
      </w:r>
      <w:r w:rsidR="00046907" w:rsidRPr="00E21CB9">
        <w:rPr>
          <w:rFonts w:ascii="Times New Roman" w:hAnsi="Times New Roman"/>
          <w:noProof/>
          <w:sz w:val="24"/>
          <w:szCs w:val="24"/>
          <w:lang w:val="ro-RO"/>
        </w:rPr>
        <w:t>icolului</w:t>
      </w:r>
      <w:r w:rsidR="00761B69" w:rsidRPr="00E21CB9">
        <w:rPr>
          <w:rFonts w:ascii="Times New Roman" w:hAnsi="Times New Roman"/>
          <w:noProof/>
          <w:sz w:val="24"/>
          <w:szCs w:val="24"/>
          <w:lang w:val="ro-RO"/>
        </w:rPr>
        <w:t xml:space="preserve"> 325 alin. 1 TFUE, a Deciziei 2006/928/CE a Comisiei din 13 decembrie 2006 de stabilire a unui mecanism de cooperare și de verificare a progresului realizat de România în vederea atingerii anumitor obiective de referință specifice în domeniul reformei sistemului judiciar și al luptei împotriva corupției</w:t>
      </w:r>
      <w:r w:rsidR="00761B69" w:rsidRPr="00E21CB9">
        <w:rPr>
          <w:rFonts w:ascii="Times New Roman" w:hAnsi="Times New Roman"/>
          <w:b/>
          <w:bCs/>
          <w:noProof/>
          <w:sz w:val="24"/>
          <w:szCs w:val="24"/>
          <w:lang w:val="ro-RO"/>
        </w:rPr>
        <w:t xml:space="preserve"> </w:t>
      </w:r>
      <w:r w:rsidRPr="00E21CB9">
        <w:rPr>
          <w:rFonts w:ascii="Times New Roman" w:hAnsi="Times New Roman"/>
          <w:b/>
          <w:bCs/>
          <w:noProof/>
          <w:sz w:val="24"/>
          <w:szCs w:val="24"/>
          <w:lang w:val="ro-RO"/>
        </w:rPr>
        <w:t>(</w:t>
      </w:r>
      <w:r w:rsidR="00761B69" w:rsidRPr="00E21CB9">
        <w:rPr>
          <w:rFonts w:ascii="Times New Roman" w:hAnsi="Times New Roman"/>
          <w:noProof/>
          <w:sz w:val="24"/>
          <w:szCs w:val="24"/>
          <w:lang w:val="ro-RO"/>
        </w:rPr>
        <w:t>„Decizia MCV”),</w:t>
      </w:r>
      <w:r w:rsidR="00C2385D" w:rsidRPr="00E21CB9">
        <w:rPr>
          <w:rFonts w:ascii="Times New Roman" w:hAnsi="Times New Roman"/>
          <w:noProof/>
          <w:sz w:val="24"/>
          <w:szCs w:val="24"/>
          <w:lang w:val="ro-RO"/>
        </w:rPr>
        <w:t xml:space="preserve"> a Directivei PIF,</w:t>
      </w:r>
      <w:r w:rsidR="00761B69" w:rsidRPr="00E21CB9">
        <w:rPr>
          <w:rFonts w:ascii="Times New Roman" w:hAnsi="Times New Roman"/>
          <w:noProof/>
          <w:sz w:val="24"/>
          <w:szCs w:val="24"/>
          <w:lang w:val="ro-RO"/>
        </w:rPr>
        <w:t xml:space="preserve"> precum și a art</w:t>
      </w:r>
      <w:r w:rsidR="00046907" w:rsidRPr="00E21CB9">
        <w:rPr>
          <w:rFonts w:ascii="Times New Roman" w:hAnsi="Times New Roman"/>
          <w:noProof/>
          <w:sz w:val="24"/>
          <w:szCs w:val="24"/>
          <w:lang w:val="ro-RO"/>
        </w:rPr>
        <w:t>icolului</w:t>
      </w:r>
      <w:r w:rsidR="00761B69" w:rsidRPr="00E21CB9">
        <w:rPr>
          <w:rFonts w:ascii="Times New Roman" w:hAnsi="Times New Roman"/>
          <w:noProof/>
          <w:sz w:val="24"/>
          <w:szCs w:val="24"/>
          <w:lang w:val="ro-RO"/>
        </w:rPr>
        <w:t xml:space="preserve"> 4</w:t>
      </w:r>
      <w:r w:rsidR="000467CE" w:rsidRPr="00E21CB9">
        <w:rPr>
          <w:rFonts w:ascii="Times New Roman" w:hAnsi="Times New Roman"/>
          <w:noProof/>
          <w:sz w:val="24"/>
          <w:szCs w:val="24"/>
          <w:lang w:val="ro-RO"/>
        </w:rPr>
        <w:t>9</w:t>
      </w:r>
      <w:r w:rsidR="00761B69" w:rsidRPr="00E21CB9">
        <w:rPr>
          <w:rFonts w:ascii="Times New Roman" w:hAnsi="Times New Roman"/>
          <w:noProof/>
          <w:sz w:val="24"/>
          <w:szCs w:val="24"/>
          <w:lang w:val="ro-RO"/>
        </w:rPr>
        <w:t xml:space="preserve"> din CDFUE</w:t>
      </w:r>
      <w:r w:rsidRPr="00E21CB9">
        <w:rPr>
          <w:rFonts w:ascii="Times New Roman" w:hAnsi="Times New Roman"/>
          <w:noProof/>
          <w:sz w:val="24"/>
          <w:szCs w:val="24"/>
          <w:lang w:val="ro-RO"/>
        </w:rPr>
        <w:t xml:space="preserve">, Curtea Constituțională ar </w:t>
      </w:r>
      <w:r w:rsidR="00173DB2" w:rsidRPr="00E21CB9">
        <w:rPr>
          <w:rFonts w:ascii="Times New Roman" w:hAnsi="Times New Roman"/>
          <w:noProof/>
          <w:sz w:val="24"/>
          <w:szCs w:val="24"/>
          <w:lang w:val="ro-RO"/>
        </w:rPr>
        <w:t>putea</w:t>
      </w:r>
      <w:r w:rsidRPr="00E21CB9">
        <w:rPr>
          <w:rFonts w:ascii="Times New Roman" w:hAnsi="Times New Roman"/>
          <w:noProof/>
          <w:sz w:val="24"/>
          <w:szCs w:val="24"/>
          <w:lang w:val="ro-RO"/>
        </w:rPr>
        <w:t xml:space="preserve"> să fie, de asemenea, sesizată, d</w:t>
      </w:r>
      <w:r w:rsidR="00173DB2" w:rsidRPr="00E21CB9">
        <w:rPr>
          <w:rFonts w:ascii="Times New Roman" w:hAnsi="Times New Roman"/>
          <w:noProof/>
          <w:sz w:val="24"/>
          <w:szCs w:val="24"/>
          <w:lang w:val="ro-RO"/>
        </w:rPr>
        <w:t>eclanșându-se</w:t>
      </w:r>
      <w:r w:rsidRPr="00E21CB9">
        <w:rPr>
          <w:rFonts w:ascii="Times New Roman" w:hAnsi="Times New Roman"/>
          <w:noProof/>
          <w:sz w:val="24"/>
          <w:szCs w:val="24"/>
          <w:lang w:val="ro-RO"/>
        </w:rPr>
        <w:t xml:space="preserve"> procedura contralimitelor, una </w:t>
      </w:r>
      <w:r w:rsidR="00C2385D" w:rsidRPr="00E21CB9">
        <w:rPr>
          <w:rFonts w:ascii="Times New Roman" w:hAnsi="Times New Roman"/>
          <w:noProof/>
          <w:sz w:val="24"/>
          <w:szCs w:val="24"/>
          <w:lang w:val="ro-RO"/>
        </w:rPr>
        <w:t>prin</w:t>
      </w:r>
      <w:r w:rsidRPr="00E21CB9">
        <w:rPr>
          <w:rFonts w:ascii="Times New Roman" w:hAnsi="Times New Roman"/>
          <w:noProof/>
          <w:sz w:val="24"/>
          <w:szCs w:val="24"/>
          <w:lang w:val="ro-RO"/>
        </w:rPr>
        <w:t xml:space="preserve"> care instanța de contencios </w:t>
      </w:r>
      <w:r w:rsidRPr="00E21CB9">
        <w:rPr>
          <w:rFonts w:ascii="Times New Roman" w:hAnsi="Times New Roman"/>
          <w:noProof/>
          <w:sz w:val="24"/>
          <w:szCs w:val="24"/>
          <w:lang w:val="ro-RO"/>
        </w:rPr>
        <w:lastRenderedPageBreak/>
        <w:t>constituțional să poată libera instanțele naționale de obligațiile derivate din hotărâri CJUE ce ar afecta valorile și principiile constituționale.</w:t>
      </w:r>
    </w:p>
    <w:p w14:paraId="0400FB8E" w14:textId="2CC3A1CA" w:rsidR="00761B69" w:rsidRPr="00E21CB9" w:rsidRDefault="00C16BC2" w:rsidP="00F10A47">
      <w:pPr>
        <w:snapToGrid w:val="0"/>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 xml:space="preserve">O astfel de excepție de neconstituționalitate ar putea fi, de asemenea, invocată și ulterior </w:t>
      </w:r>
      <w:r w:rsidR="00674C49" w:rsidRPr="00E21CB9">
        <w:rPr>
          <w:rFonts w:ascii="Times New Roman" w:hAnsi="Times New Roman"/>
          <w:noProof/>
          <w:sz w:val="24"/>
          <w:szCs w:val="24"/>
          <w:lang w:val="ro-RO"/>
        </w:rPr>
        <w:t xml:space="preserve">pronunțării CJUE, în procesele în care respectiva hotărâre ar </w:t>
      </w:r>
      <w:r w:rsidR="00E264E6" w:rsidRPr="00E21CB9">
        <w:rPr>
          <w:rFonts w:ascii="Times New Roman" w:hAnsi="Times New Roman"/>
          <w:noProof/>
          <w:sz w:val="24"/>
          <w:szCs w:val="24"/>
          <w:lang w:val="ro-RO"/>
        </w:rPr>
        <w:t>putea fi incidentă</w:t>
      </w:r>
      <w:r w:rsidR="00C2385D" w:rsidRPr="00E21CB9">
        <w:rPr>
          <w:rFonts w:ascii="Times New Roman" w:hAnsi="Times New Roman"/>
          <w:noProof/>
          <w:sz w:val="24"/>
          <w:szCs w:val="24"/>
          <w:lang w:val="ro-RO"/>
        </w:rPr>
        <w:t>,</w:t>
      </w:r>
      <w:r w:rsidR="00341BA0" w:rsidRPr="00E21CB9">
        <w:rPr>
          <w:rFonts w:ascii="Times New Roman" w:hAnsi="Times New Roman"/>
          <w:noProof/>
          <w:sz w:val="24"/>
          <w:szCs w:val="24"/>
          <w:lang w:val="ro-RO"/>
        </w:rPr>
        <w:t xml:space="preserve"> </w:t>
      </w:r>
      <w:r w:rsidR="00761B69" w:rsidRPr="00E21CB9">
        <w:rPr>
          <w:rFonts w:ascii="Times New Roman" w:hAnsi="Times New Roman"/>
          <w:noProof/>
          <w:sz w:val="24"/>
          <w:szCs w:val="24"/>
          <w:lang w:val="ro-RO"/>
        </w:rPr>
        <w:t>viz</w:t>
      </w:r>
      <w:r w:rsidR="00F2769D" w:rsidRPr="00E21CB9">
        <w:rPr>
          <w:rFonts w:ascii="Times New Roman" w:hAnsi="Times New Roman"/>
          <w:noProof/>
          <w:sz w:val="24"/>
          <w:szCs w:val="24"/>
          <w:lang w:val="ro-RO"/>
        </w:rPr>
        <w:t>ând</w:t>
      </w:r>
      <w:r w:rsidR="00761B69" w:rsidRPr="00E21CB9">
        <w:rPr>
          <w:rFonts w:ascii="Times New Roman" w:hAnsi="Times New Roman"/>
          <w:noProof/>
          <w:sz w:val="24"/>
          <w:szCs w:val="24"/>
          <w:lang w:val="ro-RO"/>
        </w:rPr>
        <w:t xml:space="preserve"> tocmai aplicabilitatea </w:t>
      </w:r>
      <w:r w:rsidR="000467CE" w:rsidRPr="00E21CB9">
        <w:rPr>
          <w:rFonts w:ascii="Times New Roman" w:hAnsi="Times New Roman"/>
          <w:noProof/>
          <w:sz w:val="24"/>
          <w:szCs w:val="24"/>
          <w:lang w:val="ro-RO"/>
        </w:rPr>
        <w:t xml:space="preserve">Constituției în interpretarea </w:t>
      </w:r>
      <w:r w:rsidR="00761B69" w:rsidRPr="00E21CB9">
        <w:rPr>
          <w:rFonts w:ascii="Times New Roman" w:hAnsi="Times New Roman"/>
          <w:noProof/>
          <w:sz w:val="24"/>
          <w:szCs w:val="24"/>
          <w:lang w:val="ro-RO"/>
        </w:rPr>
        <w:t>deciziilor CCR</w:t>
      </w:r>
      <w:r w:rsidR="00B25383" w:rsidRPr="00E21CB9">
        <w:rPr>
          <w:rFonts w:ascii="Times New Roman" w:hAnsi="Times New Roman"/>
          <w:noProof/>
          <w:sz w:val="24"/>
          <w:szCs w:val="24"/>
          <w:lang w:val="ro-RO"/>
        </w:rPr>
        <w:t xml:space="preserve"> și ICCJ</w:t>
      </w:r>
      <w:r w:rsidR="00761B69" w:rsidRPr="00E21CB9">
        <w:rPr>
          <w:rFonts w:ascii="Times New Roman" w:hAnsi="Times New Roman"/>
          <w:noProof/>
          <w:sz w:val="24"/>
          <w:szCs w:val="24"/>
          <w:lang w:val="ro-RO"/>
        </w:rPr>
        <w:t xml:space="preserve"> , respectiv obligativitatea </w:t>
      </w:r>
      <w:r w:rsidR="00761B69" w:rsidRPr="00E21CB9">
        <w:rPr>
          <w:rFonts w:ascii="Times New Roman" w:hAnsi="Times New Roman"/>
          <w:i/>
          <w:iCs/>
          <w:noProof/>
          <w:sz w:val="24"/>
          <w:szCs w:val="24"/>
          <w:lang w:val="ro-RO"/>
        </w:rPr>
        <w:t>erga omnes</w:t>
      </w:r>
      <w:r w:rsidR="00761B69" w:rsidRPr="00E21CB9">
        <w:rPr>
          <w:rFonts w:ascii="Times New Roman" w:hAnsi="Times New Roman"/>
          <w:noProof/>
          <w:sz w:val="24"/>
          <w:szCs w:val="24"/>
          <w:lang w:val="ro-RO"/>
        </w:rPr>
        <w:t xml:space="preserve"> a acestora, iar nu circumstanțiată</w:t>
      </w:r>
      <w:r w:rsidR="00F2769D" w:rsidRPr="00E21CB9">
        <w:rPr>
          <w:rFonts w:ascii="Times New Roman" w:hAnsi="Times New Roman"/>
          <w:noProof/>
          <w:sz w:val="24"/>
          <w:szCs w:val="24"/>
          <w:lang w:val="ro-RO"/>
        </w:rPr>
        <w:t>.</w:t>
      </w:r>
    </w:p>
    <w:p w14:paraId="7667131F" w14:textId="5B005E24" w:rsidR="00677AD2" w:rsidRPr="00E21CB9" w:rsidRDefault="00677AD2" w:rsidP="00F10A47">
      <w:pPr>
        <w:spacing w:before="200" w:after="200" w:line="276" w:lineRule="auto"/>
        <w:jc w:val="both"/>
        <w:rPr>
          <w:rFonts w:ascii="Times New Roman" w:hAnsi="Times New Roman"/>
          <w:b/>
          <w:bCs/>
          <w:noProof/>
          <w:sz w:val="24"/>
          <w:szCs w:val="24"/>
          <w:lang w:val="ro-RO"/>
        </w:rPr>
      </w:pPr>
      <w:r w:rsidRPr="00E21CB9">
        <w:rPr>
          <w:rFonts w:ascii="Times New Roman" w:hAnsi="Times New Roman"/>
          <w:noProof/>
          <w:sz w:val="24"/>
          <w:szCs w:val="24"/>
          <w:lang w:val="ro-RO"/>
        </w:rPr>
        <w:t>Conform art</w:t>
      </w:r>
      <w:r w:rsidR="00046907" w:rsidRPr="00E21CB9">
        <w:rPr>
          <w:rFonts w:ascii="Times New Roman" w:hAnsi="Times New Roman"/>
          <w:noProof/>
          <w:sz w:val="24"/>
          <w:szCs w:val="24"/>
          <w:lang w:val="ro-RO"/>
        </w:rPr>
        <w:t>icolului</w:t>
      </w:r>
      <w:r w:rsidRPr="00E21CB9">
        <w:rPr>
          <w:rFonts w:ascii="Times New Roman" w:hAnsi="Times New Roman"/>
          <w:noProof/>
          <w:sz w:val="24"/>
          <w:szCs w:val="24"/>
          <w:lang w:val="ro-RO"/>
        </w:rPr>
        <w:t xml:space="preserve"> 147 alin. 3 din Constituția României și art</w:t>
      </w:r>
      <w:r w:rsidR="00046907" w:rsidRPr="00E21CB9">
        <w:rPr>
          <w:rFonts w:ascii="Times New Roman" w:hAnsi="Times New Roman"/>
          <w:noProof/>
          <w:sz w:val="24"/>
          <w:szCs w:val="24"/>
          <w:lang w:val="ro-RO"/>
        </w:rPr>
        <w:t>icolului</w:t>
      </w:r>
      <w:r w:rsidRPr="00E21CB9">
        <w:rPr>
          <w:rFonts w:ascii="Times New Roman" w:hAnsi="Times New Roman"/>
          <w:noProof/>
          <w:sz w:val="24"/>
          <w:szCs w:val="24"/>
          <w:lang w:val="ro-RO"/>
        </w:rPr>
        <w:t xml:space="preserve"> 26 alin. 3 din Legea nr. 47/1992 privind organizarea și funcționarea Curții Constituționale, numai tratatele internaționale </w:t>
      </w:r>
      <w:r w:rsidR="0065224A" w:rsidRPr="00E21CB9">
        <w:rPr>
          <w:rFonts w:ascii="Times New Roman" w:hAnsi="Times New Roman"/>
          <w:noProof/>
          <w:sz w:val="24"/>
          <w:szCs w:val="24"/>
          <w:lang w:val="ro-RO"/>
        </w:rPr>
        <w:t xml:space="preserve">cu privire la </w:t>
      </w:r>
      <w:r w:rsidRPr="00E21CB9">
        <w:rPr>
          <w:rFonts w:ascii="Times New Roman" w:hAnsi="Times New Roman"/>
          <w:noProof/>
          <w:sz w:val="24"/>
          <w:szCs w:val="24"/>
          <w:lang w:val="ro-RO"/>
        </w:rPr>
        <w:t>care CCR s-a pronunțat anterior în procedura reglementată de disp</w:t>
      </w:r>
      <w:r w:rsidR="00046907" w:rsidRPr="00E21CB9">
        <w:rPr>
          <w:rFonts w:ascii="Times New Roman" w:hAnsi="Times New Roman"/>
          <w:noProof/>
          <w:sz w:val="24"/>
          <w:szCs w:val="24"/>
          <w:lang w:val="ro-RO"/>
        </w:rPr>
        <w:t>ozițiile articolului</w:t>
      </w:r>
      <w:r w:rsidRPr="00E21CB9">
        <w:rPr>
          <w:rFonts w:ascii="Times New Roman" w:hAnsi="Times New Roman"/>
          <w:noProof/>
          <w:sz w:val="24"/>
          <w:szCs w:val="24"/>
          <w:lang w:val="ro-RO"/>
        </w:rPr>
        <w:t xml:space="preserve"> 146 lit. b) din Constituția României în sensul declarării lor ca fiind constituționale nu pot face obiectul unei excepții de neconstituționalitate. </w:t>
      </w:r>
    </w:p>
    <w:p w14:paraId="52C239AC" w14:textId="66DA21DE" w:rsidR="00341BA0" w:rsidRPr="00E21CB9" w:rsidRDefault="00677AD2" w:rsidP="00F10A47">
      <w:pPr>
        <w:spacing w:before="200" w:after="200" w:line="276" w:lineRule="auto"/>
        <w:jc w:val="both"/>
        <w:rPr>
          <w:rFonts w:ascii="Times New Roman" w:hAnsi="Times New Roman"/>
          <w:noProof/>
          <w:sz w:val="24"/>
          <w:szCs w:val="24"/>
          <w:lang w:val="ro-RO"/>
        </w:rPr>
      </w:pPr>
      <w:r w:rsidRPr="00E21CB9">
        <w:rPr>
          <w:rFonts w:ascii="Times New Roman" w:hAnsi="Times New Roman"/>
          <w:i/>
          <w:iCs/>
          <w:noProof/>
          <w:sz w:val="24"/>
          <w:szCs w:val="24"/>
          <w:lang w:val="ro-RO"/>
        </w:rPr>
        <w:t>Per a contrario</w:t>
      </w:r>
      <w:r w:rsidRPr="00E21CB9">
        <w:rPr>
          <w:rFonts w:ascii="Times New Roman" w:hAnsi="Times New Roman"/>
          <w:noProof/>
          <w:sz w:val="24"/>
          <w:szCs w:val="24"/>
          <w:lang w:val="ro-RO"/>
        </w:rPr>
        <w:t>, tratatele internaționale nesupuse controlului de neconstituționalitate anterior ratificării lor pot face obiectul unei excepții de neconstituționalitate</w:t>
      </w:r>
      <w:r w:rsidR="00E264E6" w:rsidRPr="00E21CB9">
        <w:rPr>
          <w:rFonts w:ascii="Times New Roman" w:hAnsi="Times New Roman"/>
          <w:b/>
          <w:bCs/>
          <w:noProof/>
          <w:sz w:val="24"/>
          <w:szCs w:val="24"/>
          <w:lang w:val="ro-RO"/>
        </w:rPr>
        <w:t xml:space="preserve"> </w:t>
      </w:r>
      <w:r w:rsidR="00E264E6" w:rsidRPr="00E21CB9">
        <w:rPr>
          <w:rFonts w:ascii="Times New Roman" w:hAnsi="Times New Roman"/>
          <w:noProof/>
          <w:sz w:val="24"/>
          <w:szCs w:val="24"/>
          <w:lang w:val="ro-RO"/>
        </w:rPr>
        <w:t>în</w:t>
      </w:r>
      <w:r w:rsidR="00E264E6" w:rsidRPr="00E21CB9">
        <w:rPr>
          <w:rFonts w:ascii="Times New Roman" w:hAnsi="Times New Roman"/>
          <w:b/>
          <w:bCs/>
          <w:noProof/>
          <w:sz w:val="24"/>
          <w:szCs w:val="24"/>
          <w:lang w:val="ro-RO"/>
        </w:rPr>
        <w:t xml:space="preserve"> </w:t>
      </w:r>
      <w:r w:rsidRPr="00E21CB9">
        <w:rPr>
          <w:rFonts w:ascii="Times New Roman" w:hAnsi="Times New Roman"/>
          <w:noProof/>
          <w:sz w:val="24"/>
          <w:szCs w:val="24"/>
          <w:lang w:val="ro-RO"/>
        </w:rPr>
        <w:t>controlul posterior de constituționalitate p</w:t>
      </w:r>
      <w:r w:rsidR="00E264E6" w:rsidRPr="00E21CB9">
        <w:rPr>
          <w:rFonts w:ascii="Times New Roman" w:hAnsi="Times New Roman"/>
          <w:noProof/>
          <w:sz w:val="24"/>
          <w:szCs w:val="24"/>
          <w:lang w:val="ro-RO"/>
        </w:rPr>
        <w:t>e calea</w:t>
      </w:r>
      <w:r w:rsidRPr="00E21CB9">
        <w:rPr>
          <w:rFonts w:ascii="Times New Roman" w:hAnsi="Times New Roman"/>
          <w:noProof/>
          <w:sz w:val="24"/>
          <w:szCs w:val="24"/>
          <w:lang w:val="ro-RO"/>
        </w:rPr>
        <w:t xml:space="preserve"> excepți</w:t>
      </w:r>
      <w:r w:rsidR="00E264E6" w:rsidRPr="00E21CB9">
        <w:rPr>
          <w:rFonts w:ascii="Times New Roman" w:hAnsi="Times New Roman"/>
          <w:noProof/>
          <w:sz w:val="24"/>
          <w:szCs w:val="24"/>
          <w:lang w:val="ro-RO"/>
        </w:rPr>
        <w:t>ei</w:t>
      </w:r>
      <w:r w:rsidRPr="00E21CB9">
        <w:rPr>
          <w:rFonts w:ascii="Times New Roman" w:hAnsi="Times New Roman"/>
          <w:noProof/>
          <w:sz w:val="24"/>
          <w:szCs w:val="24"/>
          <w:lang w:val="ro-RO"/>
        </w:rPr>
        <w:t xml:space="preserve"> de neconstituționalitate față de legea prin care acestea au fost ratificate</w:t>
      </w:r>
      <w:r w:rsidR="00E264E6" w:rsidRPr="00E21CB9">
        <w:rPr>
          <w:rFonts w:ascii="Times New Roman" w:hAnsi="Times New Roman"/>
          <w:noProof/>
          <w:sz w:val="24"/>
          <w:szCs w:val="24"/>
          <w:lang w:val="ro-RO"/>
        </w:rPr>
        <w:t xml:space="preserve"> și care face</w:t>
      </w:r>
      <w:r w:rsidRPr="00E21CB9">
        <w:rPr>
          <w:rFonts w:ascii="Times New Roman" w:hAnsi="Times New Roman"/>
          <w:noProof/>
          <w:sz w:val="24"/>
          <w:szCs w:val="24"/>
          <w:lang w:val="ro-RO"/>
        </w:rPr>
        <w:t xml:space="preserve"> corp comun cu însuși tratatul la care se referă</w:t>
      </w:r>
      <w:r w:rsidR="00341BA0" w:rsidRPr="00E21CB9">
        <w:rPr>
          <w:rFonts w:ascii="Times New Roman" w:hAnsi="Times New Roman"/>
          <w:noProof/>
          <w:sz w:val="24"/>
          <w:szCs w:val="24"/>
          <w:lang w:val="ro-RO"/>
        </w:rPr>
        <w:t>.</w:t>
      </w:r>
    </w:p>
    <w:p w14:paraId="191D35F2" w14:textId="7FF0BD8F" w:rsidR="00E92F13" w:rsidRPr="00E21CB9" w:rsidRDefault="00341BA0" w:rsidP="00F10A47">
      <w:pPr>
        <w:spacing w:before="200"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C</w:t>
      </w:r>
      <w:r w:rsidR="00677AD2" w:rsidRPr="00E21CB9">
        <w:rPr>
          <w:rFonts w:ascii="Times New Roman" w:hAnsi="Times New Roman"/>
          <w:noProof/>
          <w:sz w:val="24"/>
          <w:szCs w:val="24"/>
          <w:lang w:val="ro-RO"/>
        </w:rPr>
        <w:t xml:space="preserve">oncluzii </w:t>
      </w:r>
      <w:r w:rsidRPr="00E21CB9">
        <w:rPr>
          <w:rFonts w:ascii="Times New Roman" w:hAnsi="Times New Roman"/>
          <w:noProof/>
          <w:sz w:val="24"/>
          <w:szCs w:val="24"/>
          <w:lang w:val="ro-RO"/>
        </w:rPr>
        <w:t xml:space="preserve">identice </w:t>
      </w:r>
      <w:r w:rsidR="00677AD2" w:rsidRPr="00E21CB9">
        <w:rPr>
          <w:rFonts w:ascii="Times New Roman" w:hAnsi="Times New Roman"/>
          <w:noProof/>
          <w:sz w:val="24"/>
          <w:szCs w:val="24"/>
          <w:lang w:val="ro-RO"/>
        </w:rPr>
        <w:t>se desprind și din a</w:t>
      </w:r>
      <w:r w:rsidR="00046907" w:rsidRPr="00E21CB9">
        <w:rPr>
          <w:rFonts w:ascii="Times New Roman" w:hAnsi="Times New Roman"/>
          <w:noProof/>
          <w:sz w:val="24"/>
          <w:szCs w:val="24"/>
          <w:lang w:val="ro-RO"/>
        </w:rPr>
        <w:t>rticolul</w:t>
      </w:r>
      <w:r w:rsidR="00677AD2" w:rsidRPr="00E21CB9">
        <w:rPr>
          <w:rFonts w:ascii="Times New Roman" w:hAnsi="Times New Roman"/>
          <w:noProof/>
          <w:sz w:val="24"/>
          <w:szCs w:val="24"/>
          <w:lang w:val="ro-RO"/>
        </w:rPr>
        <w:t xml:space="preserve"> 40</w:t>
      </w:r>
      <w:r w:rsidR="00046907" w:rsidRPr="00E21CB9">
        <w:rPr>
          <w:rFonts w:ascii="Times New Roman" w:hAnsi="Times New Roman"/>
          <w:noProof/>
          <w:sz w:val="24"/>
          <w:szCs w:val="24"/>
          <w:lang w:val="ro-RO"/>
        </w:rPr>
        <w:t xml:space="preserve"> din</w:t>
      </w:r>
      <w:r w:rsidR="00677AD2" w:rsidRPr="00E21CB9">
        <w:rPr>
          <w:rFonts w:ascii="Times New Roman" w:hAnsi="Times New Roman"/>
          <w:noProof/>
          <w:sz w:val="24"/>
          <w:szCs w:val="24"/>
          <w:lang w:val="ro-RO"/>
        </w:rPr>
        <w:t xml:space="preserve"> Legea nr. 590/2003 privind tratatele care </w:t>
      </w:r>
      <w:r w:rsidRPr="00E21CB9">
        <w:rPr>
          <w:rFonts w:ascii="Times New Roman" w:hAnsi="Times New Roman"/>
          <w:noProof/>
          <w:sz w:val="24"/>
          <w:szCs w:val="24"/>
          <w:lang w:val="ro-RO"/>
        </w:rPr>
        <w:t>reglementează</w:t>
      </w:r>
      <w:r w:rsidR="00677AD2" w:rsidRPr="00E21CB9">
        <w:rPr>
          <w:rFonts w:ascii="Times New Roman" w:hAnsi="Times New Roman"/>
          <w:noProof/>
          <w:sz w:val="24"/>
          <w:szCs w:val="24"/>
          <w:lang w:val="ro-RO"/>
        </w:rPr>
        <w:t xml:space="preserve"> în primele 3 alineate controlul anterior de constituționalitate prevăzut de art</w:t>
      </w:r>
      <w:r w:rsidR="00046907" w:rsidRPr="00E21CB9">
        <w:rPr>
          <w:rFonts w:ascii="Times New Roman" w:hAnsi="Times New Roman"/>
          <w:noProof/>
          <w:sz w:val="24"/>
          <w:szCs w:val="24"/>
          <w:lang w:val="ro-RO"/>
        </w:rPr>
        <w:t>icolul</w:t>
      </w:r>
      <w:r w:rsidR="00677AD2" w:rsidRPr="00E21CB9">
        <w:rPr>
          <w:rFonts w:ascii="Times New Roman" w:hAnsi="Times New Roman"/>
          <w:noProof/>
          <w:sz w:val="24"/>
          <w:szCs w:val="24"/>
          <w:lang w:val="ro-RO"/>
        </w:rPr>
        <w:t xml:space="preserve"> 146 lit. b) din Constituția României, iar în alin. 4 </w:t>
      </w:r>
      <w:r w:rsidRPr="00E21CB9">
        <w:rPr>
          <w:rFonts w:ascii="Times New Roman" w:hAnsi="Times New Roman"/>
          <w:noProof/>
          <w:sz w:val="24"/>
          <w:szCs w:val="24"/>
          <w:lang w:val="ro-RO"/>
        </w:rPr>
        <w:t>dispune</w:t>
      </w:r>
      <w:r w:rsidR="00E264E6" w:rsidRPr="00E21CB9">
        <w:rPr>
          <w:rFonts w:ascii="Times New Roman" w:hAnsi="Times New Roman"/>
          <w:noProof/>
          <w:sz w:val="24"/>
          <w:szCs w:val="24"/>
          <w:lang w:val="ro-RO"/>
        </w:rPr>
        <w:t xml:space="preserve"> că </w:t>
      </w:r>
      <w:r w:rsidR="00677AD2" w:rsidRPr="00E21CB9">
        <w:rPr>
          <w:rFonts w:ascii="Times New Roman" w:hAnsi="Times New Roman"/>
          <w:i/>
          <w:iCs/>
          <w:noProof/>
          <w:sz w:val="24"/>
          <w:szCs w:val="24"/>
          <w:lang w:val="ro-RO"/>
        </w:rPr>
        <w:t>prevederile prezentului articol nu aduc atingere procedurilor de control al constituţionalităţii legilor şi ordonanţelor Guvernului, prevăzute de legea privind organizarea şi funcţionarea Curţii Constituţionale. În cazul în care, în exercitarea atribuţiilor sale de control al constituţionalităţii, Curtea Constituţională decide că dispoziţiile unui tratat aflat în vigoare pentru România sunt neconstituţionale, Ministerul Afacerilor Externe, împreună cu ministerul sau instituţia în competenţele căruia/căreia se află domeniul principal reglementat prin tratat, va face demersuri, în termen de 30 de zile, pentru iniţierea procedurilor necesare în vederea renegocierii tratatului sau încetării valabilităţii acestuia pentru partea română ori, după caz, în vederea revizuirii Constituţiei</w:t>
      </w:r>
      <w:r w:rsidR="00677AD2" w:rsidRPr="00E21CB9">
        <w:rPr>
          <w:rFonts w:ascii="Times New Roman" w:hAnsi="Times New Roman"/>
          <w:noProof/>
          <w:sz w:val="24"/>
          <w:szCs w:val="24"/>
          <w:lang w:val="ro-RO"/>
        </w:rPr>
        <w:t>.”</w:t>
      </w:r>
    </w:p>
    <w:p w14:paraId="6E3350DA" w14:textId="07D59580" w:rsidR="001B5B9D" w:rsidRPr="00E21CB9" w:rsidRDefault="00E264E6" w:rsidP="00E264E6">
      <w:pPr>
        <w:spacing w:before="200"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 xml:space="preserve">Nici </w:t>
      </w:r>
      <w:r w:rsidR="00677AD2" w:rsidRPr="00E21CB9">
        <w:rPr>
          <w:rFonts w:ascii="Times New Roman" w:hAnsi="Times New Roman"/>
          <w:noProof/>
          <w:sz w:val="24"/>
          <w:szCs w:val="24"/>
          <w:lang w:val="ro-RO"/>
        </w:rPr>
        <w:t>Tratatul de la Lisabona</w:t>
      </w:r>
      <w:r w:rsidRPr="00E21CB9">
        <w:rPr>
          <w:rFonts w:ascii="Times New Roman" w:hAnsi="Times New Roman"/>
          <w:noProof/>
          <w:sz w:val="24"/>
          <w:szCs w:val="24"/>
          <w:lang w:val="ro-RO"/>
        </w:rPr>
        <w:t xml:space="preserve"> și nici legea de ratificare a acestuia</w:t>
      </w:r>
      <w:r w:rsidR="00677AD2" w:rsidRPr="00E21CB9">
        <w:rPr>
          <w:rFonts w:ascii="Times New Roman" w:hAnsi="Times New Roman"/>
          <w:noProof/>
          <w:sz w:val="24"/>
          <w:szCs w:val="24"/>
          <w:lang w:val="ro-RO"/>
        </w:rPr>
        <w:t xml:space="preserve"> nu a</w:t>
      </w:r>
      <w:r w:rsidRPr="00E21CB9">
        <w:rPr>
          <w:rFonts w:ascii="Times New Roman" w:hAnsi="Times New Roman"/>
          <w:noProof/>
          <w:sz w:val="24"/>
          <w:szCs w:val="24"/>
          <w:lang w:val="ro-RO"/>
        </w:rPr>
        <w:t>u</w:t>
      </w:r>
      <w:r w:rsidR="00677AD2" w:rsidRPr="00E21CB9">
        <w:rPr>
          <w:rFonts w:ascii="Times New Roman" w:hAnsi="Times New Roman"/>
          <w:noProof/>
          <w:sz w:val="24"/>
          <w:szCs w:val="24"/>
          <w:lang w:val="ro-RO"/>
        </w:rPr>
        <w:t xml:space="preserve"> fost supus</w:t>
      </w:r>
      <w:r w:rsidRPr="00E21CB9">
        <w:rPr>
          <w:rFonts w:ascii="Times New Roman" w:hAnsi="Times New Roman"/>
          <w:noProof/>
          <w:sz w:val="24"/>
          <w:szCs w:val="24"/>
          <w:lang w:val="ro-RO"/>
        </w:rPr>
        <w:t>e</w:t>
      </w:r>
      <w:r w:rsidR="00677AD2" w:rsidRPr="00E21CB9">
        <w:rPr>
          <w:rFonts w:ascii="Times New Roman" w:hAnsi="Times New Roman"/>
          <w:noProof/>
          <w:sz w:val="24"/>
          <w:szCs w:val="24"/>
          <w:lang w:val="ro-RO"/>
        </w:rPr>
        <w:t xml:space="preserve"> controlului de constituționalitate</w:t>
      </w:r>
      <w:r w:rsidR="006718B5" w:rsidRPr="00E21CB9">
        <w:rPr>
          <w:rFonts w:ascii="Times New Roman" w:hAnsi="Times New Roman"/>
          <w:noProof/>
          <w:sz w:val="24"/>
          <w:szCs w:val="24"/>
          <w:lang w:val="ro-RO"/>
        </w:rPr>
        <w:t xml:space="preserve"> în România</w:t>
      </w:r>
      <w:r w:rsidRPr="00E21CB9">
        <w:rPr>
          <w:rFonts w:ascii="Times New Roman" w:hAnsi="Times New Roman"/>
          <w:noProof/>
          <w:sz w:val="24"/>
          <w:szCs w:val="24"/>
          <w:lang w:val="ro-RO"/>
        </w:rPr>
        <w:t>.</w:t>
      </w:r>
    </w:p>
    <w:p w14:paraId="5E8C22DA" w14:textId="2E0161EA" w:rsidR="001B5B9D" w:rsidRPr="00E21CB9" w:rsidRDefault="001B5B9D"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Art</w:t>
      </w:r>
      <w:r w:rsidR="00046907" w:rsidRPr="00E21CB9">
        <w:rPr>
          <w:rFonts w:ascii="Times New Roman" w:hAnsi="Times New Roman"/>
          <w:noProof/>
          <w:sz w:val="24"/>
          <w:szCs w:val="24"/>
          <w:lang w:val="ro-RO"/>
        </w:rPr>
        <w:t xml:space="preserve">icolul </w:t>
      </w:r>
      <w:r w:rsidRPr="00E21CB9">
        <w:rPr>
          <w:rFonts w:ascii="Times New Roman" w:hAnsi="Times New Roman"/>
          <w:noProof/>
          <w:sz w:val="24"/>
          <w:szCs w:val="24"/>
          <w:lang w:val="ro-RO"/>
        </w:rPr>
        <w:t xml:space="preserve">1 alin. 5 din Constituția României prevede faptul că </w:t>
      </w:r>
      <w:r w:rsidRPr="00E21CB9">
        <w:rPr>
          <w:rFonts w:ascii="Times New Roman" w:hAnsi="Times New Roman"/>
          <w:i/>
          <w:iCs/>
          <w:noProof/>
          <w:sz w:val="24"/>
          <w:szCs w:val="24"/>
          <w:lang w:val="ro-RO"/>
        </w:rPr>
        <w:t>în România, respectarea Constituţiei, a supremaţiei sale şi a legilor este obligatorie</w:t>
      </w:r>
      <w:r w:rsidRPr="00E21CB9">
        <w:rPr>
          <w:rFonts w:ascii="Times New Roman" w:hAnsi="Times New Roman"/>
          <w:noProof/>
          <w:sz w:val="24"/>
          <w:szCs w:val="24"/>
          <w:lang w:val="ro-RO"/>
        </w:rPr>
        <w:t xml:space="preserve">. </w:t>
      </w:r>
      <w:r w:rsidR="00341BA0" w:rsidRPr="00E21CB9">
        <w:rPr>
          <w:rFonts w:ascii="Times New Roman" w:hAnsi="Times New Roman"/>
          <w:noProof/>
          <w:sz w:val="24"/>
          <w:szCs w:val="24"/>
          <w:lang w:val="ro-RO"/>
        </w:rPr>
        <w:t>C</w:t>
      </w:r>
      <w:r w:rsidRPr="00E21CB9">
        <w:rPr>
          <w:rFonts w:ascii="Times New Roman" w:hAnsi="Times New Roman"/>
          <w:noProof/>
          <w:sz w:val="24"/>
          <w:szCs w:val="24"/>
          <w:lang w:val="ro-RO"/>
        </w:rPr>
        <w:t>onform arhitecturii constituționale actuale, o instanță judecătorească nu este îndreptățită să lase neaplicată o decizie general obligatorie a CCR.</w:t>
      </w:r>
      <w:r w:rsidR="00341BA0" w:rsidRPr="00E21CB9">
        <w:rPr>
          <w:rFonts w:ascii="Times New Roman" w:hAnsi="Times New Roman"/>
          <w:noProof/>
          <w:sz w:val="24"/>
          <w:szCs w:val="24"/>
          <w:lang w:val="ro-RO"/>
        </w:rPr>
        <w:t xml:space="preserve"> </w:t>
      </w:r>
      <w:r w:rsidRPr="00E21CB9">
        <w:rPr>
          <w:rFonts w:ascii="Times New Roman" w:hAnsi="Times New Roman"/>
          <w:noProof/>
          <w:sz w:val="24"/>
          <w:szCs w:val="24"/>
          <w:lang w:val="ro-RO"/>
        </w:rPr>
        <w:t>Forța juridică obligatorie a deciziilor CCR pentru instanțele judecătorești naționale derivă din art</w:t>
      </w:r>
      <w:r w:rsidR="00046907" w:rsidRPr="00E21CB9">
        <w:rPr>
          <w:rFonts w:ascii="Times New Roman" w:hAnsi="Times New Roman"/>
          <w:noProof/>
          <w:sz w:val="24"/>
          <w:szCs w:val="24"/>
          <w:lang w:val="ro-RO"/>
        </w:rPr>
        <w:t>icolul</w:t>
      </w:r>
      <w:r w:rsidRPr="00E21CB9">
        <w:rPr>
          <w:rFonts w:ascii="Times New Roman" w:hAnsi="Times New Roman"/>
          <w:noProof/>
          <w:sz w:val="24"/>
          <w:szCs w:val="24"/>
          <w:lang w:val="ro-RO"/>
        </w:rPr>
        <w:t xml:space="preserve"> 147 </w:t>
      </w:r>
      <w:r w:rsidRPr="00E21CB9">
        <w:rPr>
          <w:rFonts w:ascii="Times New Roman" w:hAnsi="Times New Roman"/>
          <w:noProof/>
          <w:sz w:val="24"/>
          <w:szCs w:val="24"/>
          <w:lang w:val="ro-RO"/>
        </w:rPr>
        <w:lastRenderedPageBreak/>
        <w:t>alin. 4 Constituție</w:t>
      </w:r>
      <w:r w:rsidR="00F2769D" w:rsidRPr="00E21CB9">
        <w:rPr>
          <w:rFonts w:ascii="Times New Roman" w:hAnsi="Times New Roman"/>
          <w:noProof/>
          <w:sz w:val="24"/>
          <w:szCs w:val="24"/>
          <w:lang w:val="ro-RO"/>
        </w:rPr>
        <w:t xml:space="preserve">, </w:t>
      </w:r>
      <w:r w:rsidRPr="00E21CB9">
        <w:rPr>
          <w:rFonts w:ascii="Times New Roman" w:hAnsi="Times New Roman"/>
          <w:noProof/>
          <w:sz w:val="24"/>
          <w:szCs w:val="24"/>
          <w:lang w:val="ro-RO"/>
        </w:rPr>
        <w:t>afirmație valabilă atât în ceea ce privește soluția, cât și considerentele decizilor respective</w:t>
      </w:r>
      <w:r w:rsidR="00E264E6" w:rsidRPr="00E21CB9">
        <w:rPr>
          <w:rStyle w:val="FootnoteReference"/>
          <w:rFonts w:ascii="Times New Roman" w:hAnsi="Times New Roman"/>
          <w:noProof/>
          <w:sz w:val="24"/>
          <w:szCs w:val="24"/>
          <w:lang w:val="ro-RO"/>
        </w:rPr>
        <w:footnoteReference w:id="15"/>
      </w:r>
      <w:r w:rsidRPr="00E21CB9">
        <w:rPr>
          <w:rFonts w:ascii="Times New Roman" w:hAnsi="Times New Roman"/>
          <w:noProof/>
          <w:sz w:val="24"/>
          <w:szCs w:val="24"/>
          <w:lang w:val="ro-RO"/>
        </w:rPr>
        <w:t xml:space="preserve">. </w:t>
      </w:r>
    </w:p>
    <w:p w14:paraId="5B4A5CCD" w14:textId="7206CBB6" w:rsidR="001B5B9D" w:rsidRPr="00E21CB9" w:rsidRDefault="00E264E6"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Spre deosebire de alte state membre, cum ar fi Republica Cehă, CCR nu a fost sesizată anterior ratificării Tratatului de la Lisabona, în doctrină</w:t>
      </w:r>
      <w:r w:rsidRPr="00E21CB9">
        <w:rPr>
          <w:rStyle w:val="FootnoteReference"/>
          <w:rFonts w:ascii="Times New Roman" w:hAnsi="Times New Roman"/>
          <w:noProof/>
          <w:sz w:val="24"/>
          <w:szCs w:val="24"/>
          <w:lang w:val="ro-RO"/>
        </w:rPr>
        <w:footnoteReference w:id="16"/>
      </w:r>
      <w:r w:rsidRPr="00E21CB9">
        <w:rPr>
          <w:rFonts w:ascii="Times New Roman" w:hAnsi="Times New Roman"/>
          <w:noProof/>
          <w:sz w:val="24"/>
          <w:szCs w:val="24"/>
          <w:lang w:val="ro-RO"/>
        </w:rPr>
        <w:t xml:space="preserve"> exprimându-se opinia că </w:t>
      </w:r>
      <w:r w:rsidR="0075132B" w:rsidRPr="00E21CB9">
        <w:rPr>
          <w:rFonts w:ascii="Times New Roman" w:hAnsi="Times New Roman"/>
          <w:noProof/>
          <w:sz w:val="24"/>
          <w:szCs w:val="24"/>
          <w:lang w:val="ro-RO"/>
        </w:rPr>
        <w:t>într-o situație diferită</w:t>
      </w:r>
      <w:r w:rsidR="001B5B9D" w:rsidRPr="00E21CB9">
        <w:rPr>
          <w:rFonts w:ascii="Times New Roman" w:hAnsi="Times New Roman"/>
          <w:noProof/>
          <w:sz w:val="24"/>
          <w:szCs w:val="24"/>
          <w:lang w:val="ro-RO"/>
        </w:rPr>
        <w:t xml:space="preserve"> CCR</w:t>
      </w:r>
      <w:r w:rsidR="0075132B" w:rsidRPr="00E21CB9">
        <w:rPr>
          <w:rFonts w:ascii="Times New Roman" w:hAnsi="Times New Roman"/>
          <w:noProof/>
          <w:sz w:val="24"/>
          <w:szCs w:val="24"/>
          <w:lang w:val="ro-RO"/>
        </w:rPr>
        <w:t xml:space="preserve"> nu</w:t>
      </w:r>
      <w:r w:rsidR="001B5B9D" w:rsidRPr="00E21CB9">
        <w:rPr>
          <w:rFonts w:ascii="Times New Roman" w:hAnsi="Times New Roman"/>
          <w:noProof/>
          <w:sz w:val="24"/>
          <w:szCs w:val="24"/>
          <w:lang w:val="ro-RO"/>
        </w:rPr>
        <w:t xml:space="preserve"> s-ar fi pronunțat în sensul conformității lui cu Constituția României, dacă ar fi ajuns la concluzia că, într-o anumită interpretare, respectivul tratat neagă supremația leg</w:t>
      </w:r>
      <w:r w:rsidR="007D1AB7" w:rsidRPr="00E21CB9">
        <w:rPr>
          <w:rFonts w:ascii="Times New Roman" w:hAnsi="Times New Roman"/>
          <w:noProof/>
          <w:sz w:val="24"/>
          <w:szCs w:val="24"/>
          <w:lang w:val="ro-RO"/>
        </w:rPr>
        <w:t>ii noastre fundamentale</w:t>
      </w:r>
      <w:r w:rsidR="00761B69" w:rsidRPr="00E21CB9">
        <w:rPr>
          <w:rFonts w:ascii="Times New Roman" w:hAnsi="Times New Roman"/>
          <w:noProof/>
          <w:sz w:val="24"/>
          <w:szCs w:val="24"/>
          <w:lang w:val="ro-RO"/>
        </w:rPr>
        <w:t>.</w:t>
      </w:r>
      <w:r w:rsidR="0075132B" w:rsidRPr="00E21CB9">
        <w:rPr>
          <w:rFonts w:ascii="Times New Roman" w:hAnsi="Times New Roman"/>
          <w:noProof/>
          <w:sz w:val="24"/>
          <w:szCs w:val="24"/>
          <w:lang w:val="ro-RO"/>
        </w:rPr>
        <w:t xml:space="preserve"> Autorii concluzionează că</w:t>
      </w:r>
      <w:r w:rsidR="001B5B9D" w:rsidRPr="00E21CB9">
        <w:rPr>
          <w:rFonts w:ascii="Times New Roman" w:hAnsi="Times New Roman"/>
          <w:noProof/>
          <w:sz w:val="24"/>
          <w:szCs w:val="24"/>
          <w:lang w:val="ro-RO"/>
        </w:rPr>
        <w:t xml:space="preserve"> în conformitate cu Constituția României, ceea ce nu s-a făcut </w:t>
      </w:r>
      <w:r w:rsidR="001B5B9D" w:rsidRPr="00E21CB9">
        <w:rPr>
          <w:rFonts w:ascii="Times New Roman" w:hAnsi="Times New Roman"/>
          <w:i/>
          <w:iCs/>
          <w:noProof/>
          <w:sz w:val="24"/>
          <w:szCs w:val="24"/>
          <w:lang w:val="ro-RO"/>
        </w:rPr>
        <w:t>ex ante</w:t>
      </w:r>
      <w:r w:rsidR="001B5B9D" w:rsidRPr="00E21CB9">
        <w:rPr>
          <w:rFonts w:ascii="Times New Roman" w:hAnsi="Times New Roman"/>
          <w:noProof/>
          <w:sz w:val="24"/>
          <w:szCs w:val="24"/>
          <w:lang w:val="ro-RO"/>
        </w:rPr>
        <w:t xml:space="preserve">, se poate face </w:t>
      </w:r>
      <w:r w:rsidR="001B5B9D" w:rsidRPr="00E21CB9">
        <w:rPr>
          <w:rFonts w:ascii="Times New Roman" w:hAnsi="Times New Roman"/>
          <w:i/>
          <w:iCs/>
          <w:noProof/>
          <w:sz w:val="24"/>
          <w:szCs w:val="24"/>
          <w:lang w:val="ro-RO"/>
        </w:rPr>
        <w:t>ex post</w:t>
      </w:r>
      <w:r w:rsidR="001B5B9D" w:rsidRPr="00E21CB9">
        <w:rPr>
          <w:rFonts w:ascii="Times New Roman" w:hAnsi="Times New Roman"/>
          <w:noProof/>
          <w:sz w:val="24"/>
          <w:szCs w:val="24"/>
          <w:lang w:val="ro-RO"/>
        </w:rPr>
        <w:t>, căci o eventuală eroare de interpretare comisă de către cel care a ratificat tratatul (Parlamentul României), având consecințe atât de grave pe planul suveranității naționale, nu poate rămâne neîndreptată</w:t>
      </w:r>
      <w:r w:rsidR="0075132B" w:rsidRPr="00E21CB9">
        <w:rPr>
          <w:rFonts w:ascii="Times New Roman" w:hAnsi="Times New Roman"/>
          <w:noProof/>
          <w:sz w:val="24"/>
          <w:szCs w:val="24"/>
          <w:lang w:val="ro-RO"/>
        </w:rPr>
        <w:t>, l</w:t>
      </w:r>
      <w:r w:rsidR="001B5B9D" w:rsidRPr="00E21CB9">
        <w:rPr>
          <w:rFonts w:ascii="Times New Roman" w:hAnsi="Times New Roman"/>
          <w:noProof/>
          <w:sz w:val="24"/>
          <w:szCs w:val="24"/>
          <w:lang w:val="ro-RO"/>
        </w:rPr>
        <w:t xml:space="preserve">ocul Tratatului în ierarhia normelor sistemului de drept românesc </w:t>
      </w:r>
      <w:r w:rsidR="0075132B" w:rsidRPr="00E21CB9">
        <w:rPr>
          <w:rFonts w:ascii="Times New Roman" w:hAnsi="Times New Roman"/>
          <w:noProof/>
          <w:sz w:val="24"/>
          <w:szCs w:val="24"/>
          <w:lang w:val="ro-RO"/>
        </w:rPr>
        <w:t xml:space="preserve">fiind </w:t>
      </w:r>
      <w:r w:rsidR="001B5B9D" w:rsidRPr="00E21CB9">
        <w:rPr>
          <w:rFonts w:ascii="Times New Roman" w:hAnsi="Times New Roman"/>
          <w:noProof/>
          <w:sz w:val="24"/>
          <w:szCs w:val="24"/>
          <w:lang w:val="ro-RO"/>
        </w:rPr>
        <w:t>între Constituție și legile infraconstituționale</w:t>
      </w:r>
      <w:r w:rsidR="0054090A" w:rsidRPr="00E21CB9">
        <w:rPr>
          <w:rFonts w:ascii="Times New Roman" w:hAnsi="Times New Roman"/>
          <w:noProof/>
          <w:sz w:val="24"/>
          <w:szCs w:val="24"/>
          <w:lang w:val="ro-RO"/>
        </w:rPr>
        <w:t xml:space="preserve">, în sensul că are prioritate, cu anumite excepții, </w:t>
      </w:r>
      <w:r w:rsidR="009F3203" w:rsidRPr="00E21CB9">
        <w:rPr>
          <w:rFonts w:ascii="Times New Roman" w:hAnsi="Times New Roman"/>
          <w:noProof/>
          <w:sz w:val="24"/>
          <w:szCs w:val="24"/>
          <w:lang w:val="ro-RO"/>
        </w:rPr>
        <w:t xml:space="preserve">cum ar fi cea a drepturilor fundamentale, </w:t>
      </w:r>
      <w:r w:rsidR="0054090A" w:rsidRPr="00E21CB9">
        <w:rPr>
          <w:rFonts w:ascii="Times New Roman" w:hAnsi="Times New Roman"/>
          <w:noProof/>
          <w:sz w:val="24"/>
          <w:szCs w:val="24"/>
          <w:lang w:val="ro-RO"/>
        </w:rPr>
        <w:t xml:space="preserve">față de orice dispoziție de drept intern adoptată cu respectarea Constituției naționale, dar trebuie să fie, la rândul său, în conformitate deplină cu legea fundamentală. Când, însă, pentru aplicarea </w:t>
      </w:r>
      <w:r w:rsidR="00E21CB9">
        <w:rPr>
          <w:rFonts w:ascii="Times New Roman" w:hAnsi="Times New Roman"/>
          <w:noProof/>
          <w:sz w:val="24"/>
          <w:szCs w:val="24"/>
          <w:lang w:val="ro-RO"/>
        </w:rPr>
        <w:t>T</w:t>
      </w:r>
      <w:r w:rsidR="0054090A" w:rsidRPr="00E21CB9">
        <w:rPr>
          <w:rFonts w:ascii="Times New Roman" w:hAnsi="Times New Roman"/>
          <w:noProof/>
          <w:sz w:val="24"/>
          <w:szCs w:val="24"/>
          <w:lang w:val="ro-RO"/>
        </w:rPr>
        <w:t xml:space="preserve">ratatului, instanța Uniunii Europene simte nevoia înlăturării Constituției naționale, prezumția de conformitate este răsturnată de chiar instanța europeană. </w:t>
      </w:r>
    </w:p>
    <w:p w14:paraId="6589BDD9" w14:textId="1F9FC88D" w:rsidR="0075132B" w:rsidRPr="00E21CB9" w:rsidRDefault="0075132B" w:rsidP="00F10A47">
      <w:pPr>
        <w:spacing w:after="200" w:line="276" w:lineRule="auto"/>
        <w:jc w:val="both"/>
        <w:rPr>
          <w:rFonts w:ascii="Times New Roman" w:hAnsi="Times New Roman"/>
          <w:i/>
          <w:iCs/>
          <w:noProof/>
          <w:sz w:val="24"/>
          <w:szCs w:val="24"/>
          <w:lang w:val="ro-RO"/>
        </w:rPr>
      </w:pPr>
      <w:r w:rsidRPr="00E21CB9">
        <w:rPr>
          <w:rFonts w:ascii="Times New Roman" w:hAnsi="Times New Roman"/>
          <w:noProof/>
          <w:sz w:val="24"/>
          <w:szCs w:val="24"/>
          <w:lang w:val="ro-RO"/>
        </w:rPr>
        <w:t xml:space="preserve">Foarte importantă este observația </w:t>
      </w:r>
      <w:r w:rsidR="00EA4468" w:rsidRPr="00E21CB9">
        <w:rPr>
          <w:rFonts w:ascii="Times New Roman" w:hAnsi="Times New Roman"/>
          <w:noProof/>
          <w:sz w:val="24"/>
          <w:szCs w:val="24"/>
          <w:lang w:val="ro-RO"/>
        </w:rPr>
        <w:t>autorilor</w:t>
      </w:r>
      <w:r w:rsidR="005D0A02" w:rsidRPr="00E21CB9">
        <w:rPr>
          <w:rStyle w:val="FootnoteReference"/>
          <w:rFonts w:ascii="Times New Roman" w:hAnsi="Times New Roman"/>
          <w:noProof/>
          <w:sz w:val="24"/>
          <w:szCs w:val="24"/>
          <w:lang w:val="ro-RO"/>
        </w:rPr>
        <w:footnoteReference w:id="17"/>
      </w:r>
      <w:r w:rsidR="00EA4468" w:rsidRPr="00E21CB9">
        <w:rPr>
          <w:rFonts w:ascii="Times New Roman" w:hAnsi="Times New Roman"/>
          <w:noProof/>
          <w:sz w:val="24"/>
          <w:szCs w:val="24"/>
          <w:lang w:val="ro-RO"/>
        </w:rPr>
        <w:t xml:space="preserve"> </w:t>
      </w:r>
      <w:r w:rsidRPr="00E21CB9">
        <w:rPr>
          <w:rFonts w:ascii="Times New Roman" w:hAnsi="Times New Roman"/>
          <w:noProof/>
          <w:sz w:val="24"/>
          <w:szCs w:val="24"/>
          <w:lang w:val="ro-RO"/>
        </w:rPr>
        <w:t xml:space="preserve">că </w:t>
      </w:r>
      <w:r w:rsidRPr="00E21CB9">
        <w:rPr>
          <w:rFonts w:ascii="Times New Roman" w:hAnsi="Times New Roman"/>
          <w:i/>
          <w:iCs/>
          <w:noProof/>
          <w:sz w:val="24"/>
          <w:szCs w:val="24"/>
          <w:lang w:val="ro-RO"/>
        </w:rPr>
        <w:t xml:space="preserve">recurgerea la controlul ex post al constituționalității nu este neapărat consecința unei greșite evaluări prima faciae a tratatelor în discuție, ci a apariției unui conflict de interpretare între instanțele (nu doar judecătorești) naționale și cele străine, chemate a face aplicarea lor. Dacă în cadrul unui asemenea conflict apare riscul unei interpretări care să împingă tratatul internațional pe calea neconformității cu Constituția națională, cea care poate avea ultimul cuvânt este instanța națională de contencios constituțional. </w:t>
      </w:r>
    </w:p>
    <w:p w14:paraId="19362799" w14:textId="701E8A03" w:rsidR="00837A60" w:rsidRPr="00E21CB9" w:rsidRDefault="001F6B25"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 xml:space="preserve">Statusul actual al conflictului </w:t>
      </w:r>
      <w:r w:rsidR="006E604A" w:rsidRPr="00E21CB9">
        <w:rPr>
          <w:rFonts w:ascii="Times New Roman" w:hAnsi="Times New Roman"/>
          <w:noProof/>
          <w:sz w:val="24"/>
          <w:szCs w:val="24"/>
          <w:lang w:val="ro-RO"/>
        </w:rPr>
        <w:t>relevă că s-a</w:t>
      </w:r>
      <w:r w:rsidRPr="00E21CB9">
        <w:rPr>
          <w:rFonts w:ascii="Times New Roman" w:hAnsi="Times New Roman"/>
          <w:noProof/>
          <w:sz w:val="24"/>
          <w:szCs w:val="24"/>
          <w:lang w:val="ro-RO"/>
        </w:rPr>
        <w:t xml:space="preserve"> depășit etapa </w:t>
      </w:r>
      <w:r w:rsidRPr="00E21CB9">
        <w:rPr>
          <w:rFonts w:ascii="Times New Roman" w:hAnsi="Times New Roman"/>
          <w:i/>
          <w:iCs/>
          <w:noProof/>
          <w:sz w:val="24"/>
          <w:szCs w:val="24"/>
          <w:lang w:val="ro-RO"/>
        </w:rPr>
        <w:t>riscului</w:t>
      </w:r>
      <w:r w:rsidRPr="00E21CB9">
        <w:rPr>
          <w:rFonts w:ascii="Times New Roman" w:hAnsi="Times New Roman"/>
          <w:noProof/>
          <w:sz w:val="24"/>
          <w:szCs w:val="24"/>
          <w:lang w:val="ro-RO"/>
        </w:rPr>
        <w:t xml:space="preserve">, </w:t>
      </w:r>
      <w:r w:rsidR="006E604A" w:rsidRPr="00E21CB9">
        <w:rPr>
          <w:rFonts w:ascii="Times New Roman" w:hAnsi="Times New Roman"/>
          <w:noProof/>
          <w:sz w:val="24"/>
          <w:szCs w:val="24"/>
          <w:lang w:val="ro-RO"/>
        </w:rPr>
        <w:t>așa încât este necesară activarea</w:t>
      </w:r>
      <w:r w:rsidR="00837A60" w:rsidRPr="00E21CB9">
        <w:rPr>
          <w:rFonts w:ascii="Times New Roman" w:hAnsi="Times New Roman"/>
          <w:noProof/>
          <w:sz w:val="24"/>
          <w:szCs w:val="24"/>
          <w:lang w:val="ro-RO"/>
        </w:rPr>
        <w:t xml:space="preserve"> art</w:t>
      </w:r>
      <w:r w:rsidR="00046907" w:rsidRPr="00E21CB9">
        <w:rPr>
          <w:rFonts w:ascii="Times New Roman" w:hAnsi="Times New Roman"/>
          <w:noProof/>
          <w:sz w:val="24"/>
          <w:szCs w:val="24"/>
          <w:lang w:val="ro-RO"/>
        </w:rPr>
        <w:t>icolului</w:t>
      </w:r>
      <w:r w:rsidR="00837A60" w:rsidRPr="00E21CB9">
        <w:rPr>
          <w:rFonts w:ascii="Times New Roman" w:hAnsi="Times New Roman"/>
          <w:noProof/>
          <w:sz w:val="24"/>
          <w:szCs w:val="24"/>
          <w:lang w:val="ro-RO"/>
        </w:rPr>
        <w:t xml:space="preserve"> 11 </w:t>
      </w:r>
      <w:r w:rsidR="00741336" w:rsidRPr="00E21CB9">
        <w:rPr>
          <w:rFonts w:ascii="Times New Roman" w:hAnsi="Times New Roman"/>
          <w:noProof/>
          <w:sz w:val="24"/>
          <w:szCs w:val="24"/>
          <w:lang w:val="ro-RO"/>
        </w:rPr>
        <w:t xml:space="preserve">alin. </w:t>
      </w:r>
      <w:r w:rsidR="00837A60" w:rsidRPr="00E21CB9">
        <w:rPr>
          <w:rFonts w:ascii="Times New Roman" w:hAnsi="Times New Roman"/>
          <w:noProof/>
          <w:sz w:val="24"/>
          <w:szCs w:val="24"/>
          <w:lang w:val="ro-RO"/>
        </w:rPr>
        <w:t xml:space="preserve">3 din Constituție </w:t>
      </w:r>
      <w:r w:rsidR="006E604A" w:rsidRPr="00E21CB9">
        <w:rPr>
          <w:rFonts w:ascii="Times New Roman" w:hAnsi="Times New Roman"/>
          <w:noProof/>
          <w:sz w:val="24"/>
          <w:szCs w:val="24"/>
          <w:lang w:val="ro-RO"/>
        </w:rPr>
        <w:t xml:space="preserve">în interpretarea CJUE potrivit </w:t>
      </w:r>
      <w:r w:rsidR="00E21CB9">
        <w:rPr>
          <w:rFonts w:ascii="Times New Roman" w:hAnsi="Times New Roman"/>
          <w:noProof/>
          <w:sz w:val="24"/>
          <w:szCs w:val="24"/>
          <w:lang w:val="ro-RO"/>
        </w:rPr>
        <w:t>căreia</w:t>
      </w:r>
      <w:r w:rsidR="006E604A" w:rsidRPr="00E21CB9">
        <w:rPr>
          <w:rFonts w:ascii="Times New Roman" w:hAnsi="Times New Roman"/>
          <w:noProof/>
          <w:sz w:val="24"/>
          <w:szCs w:val="24"/>
          <w:lang w:val="ro-RO"/>
        </w:rPr>
        <w:t xml:space="preserve"> decizii ale CCR în materia drepturilor fundamentale trebuie ignorate în favoarea și în temeiul supremației dreptului UE. Dacă</w:t>
      </w:r>
      <w:r w:rsidR="00837A60" w:rsidRPr="00E21CB9">
        <w:rPr>
          <w:rFonts w:ascii="Times New Roman" w:hAnsi="Times New Roman"/>
          <w:i/>
          <w:iCs/>
          <w:noProof/>
          <w:sz w:val="24"/>
          <w:szCs w:val="24"/>
          <w:lang w:val="ro-RO"/>
        </w:rPr>
        <w:t xml:space="preserve"> un tratat la care România urmează să devină parte </w:t>
      </w:r>
      <w:r w:rsidR="006E604A" w:rsidRPr="00E21CB9">
        <w:rPr>
          <w:rFonts w:ascii="Times New Roman" w:hAnsi="Times New Roman"/>
          <w:noProof/>
          <w:sz w:val="24"/>
          <w:szCs w:val="24"/>
          <w:lang w:val="ro-RO"/>
        </w:rPr>
        <w:t xml:space="preserve">care </w:t>
      </w:r>
      <w:r w:rsidR="00837A60" w:rsidRPr="00E21CB9">
        <w:rPr>
          <w:rFonts w:ascii="Times New Roman" w:hAnsi="Times New Roman"/>
          <w:i/>
          <w:iCs/>
          <w:noProof/>
          <w:sz w:val="24"/>
          <w:szCs w:val="24"/>
          <w:lang w:val="ro-RO"/>
        </w:rPr>
        <w:t>cuprinde dispoziţii contrare Constituţie,</w:t>
      </w:r>
      <w:r w:rsidR="006E604A" w:rsidRPr="00E21CB9">
        <w:rPr>
          <w:rFonts w:ascii="Times New Roman" w:hAnsi="Times New Roman"/>
          <w:i/>
          <w:iCs/>
          <w:noProof/>
          <w:sz w:val="24"/>
          <w:szCs w:val="24"/>
          <w:lang w:val="ro-RO"/>
        </w:rPr>
        <w:t xml:space="preserve"> </w:t>
      </w:r>
      <w:r w:rsidR="006E604A" w:rsidRPr="00E21CB9">
        <w:rPr>
          <w:rFonts w:ascii="Times New Roman" w:hAnsi="Times New Roman"/>
          <w:noProof/>
          <w:sz w:val="24"/>
          <w:szCs w:val="24"/>
          <w:lang w:val="ro-RO"/>
        </w:rPr>
        <w:t>poate fi ratificat doar</w:t>
      </w:r>
      <w:r w:rsidR="00837A60" w:rsidRPr="00E21CB9">
        <w:rPr>
          <w:rFonts w:ascii="Times New Roman" w:hAnsi="Times New Roman"/>
          <w:i/>
          <w:iCs/>
          <w:noProof/>
          <w:sz w:val="24"/>
          <w:szCs w:val="24"/>
          <w:lang w:val="ro-RO"/>
        </w:rPr>
        <w:t xml:space="preserve"> după revizuirea Constituţiei</w:t>
      </w:r>
      <w:r w:rsidR="00E21CB9">
        <w:rPr>
          <w:rFonts w:ascii="Times New Roman" w:hAnsi="Times New Roman"/>
          <w:i/>
          <w:iCs/>
          <w:noProof/>
          <w:sz w:val="24"/>
          <w:szCs w:val="24"/>
          <w:lang w:val="ro-RO"/>
        </w:rPr>
        <w:t>,</w:t>
      </w:r>
      <w:r w:rsidR="006E604A" w:rsidRPr="00E21CB9">
        <w:rPr>
          <w:rFonts w:ascii="Times New Roman" w:hAnsi="Times New Roman"/>
          <w:i/>
          <w:iCs/>
          <w:noProof/>
          <w:sz w:val="24"/>
          <w:szCs w:val="24"/>
          <w:lang w:val="ro-RO"/>
        </w:rPr>
        <w:t xml:space="preserve"> a fortiori</w:t>
      </w:r>
      <w:r w:rsidR="00E21CB9">
        <w:rPr>
          <w:rFonts w:ascii="Times New Roman" w:hAnsi="Times New Roman"/>
          <w:i/>
          <w:iCs/>
          <w:noProof/>
          <w:sz w:val="24"/>
          <w:szCs w:val="24"/>
          <w:lang w:val="ro-RO"/>
        </w:rPr>
        <w:t>,</w:t>
      </w:r>
      <w:r w:rsidR="00837A60" w:rsidRPr="00E21CB9">
        <w:rPr>
          <w:rFonts w:ascii="Times New Roman" w:hAnsi="Times New Roman"/>
          <w:noProof/>
          <w:sz w:val="24"/>
          <w:szCs w:val="24"/>
          <w:lang w:val="ro-RO"/>
        </w:rPr>
        <w:t xml:space="preserve"> </w:t>
      </w:r>
      <w:r w:rsidR="006E604A" w:rsidRPr="00E21CB9">
        <w:rPr>
          <w:rFonts w:ascii="Times New Roman" w:hAnsi="Times New Roman"/>
          <w:noProof/>
          <w:sz w:val="24"/>
          <w:szCs w:val="24"/>
          <w:lang w:val="ro-RO"/>
        </w:rPr>
        <w:t>un tratat ratificat ce devine neconstitu</w:t>
      </w:r>
      <w:r w:rsidR="00E21CB9">
        <w:rPr>
          <w:rFonts w:ascii="Times New Roman" w:hAnsi="Times New Roman"/>
          <w:noProof/>
          <w:sz w:val="24"/>
          <w:szCs w:val="24"/>
          <w:lang w:val="ro-RO"/>
        </w:rPr>
        <w:t>ț</w:t>
      </w:r>
      <w:r w:rsidR="006E604A" w:rsidRPr="00E21CB9">
        <w:rPr>
          <w:rFonts w:ascii="Times New Roman" w:hAnsi="Times New Roman"/>
          <w:noProof/>
          <w:sz w:val="24"/>
          <w:szCs w:val="24"/>
          <w:lang w:val="ro-RO"/>
        </w:rPr>
        <w:t>ional prin interpretări progresive nesancționabile pe o altă cale trebuie supus controlului de constituționalitate de către</w:t>
      </w:r>
      <w:r w:rsidR="00837A60" w:rsidRPr="00E21CB9">
        <w:rPr>
          <w:rFonts w:ascii="Times New Roman" w:hAnsi="Times New Roman"/>
          <w:i/>
          <w:iCs/>
          <w:noProof/>
          <w:sz w:val="24"/>
          <w:szCs w:val="24"/>
          <w:lang w:val="ro-RO"/>
        </w:rPr>
        <w:t xml:space="preserve"> garantul supremaţiei Constituţiei</w:t>
      </w:r>
      <w:r w:rsidR="006E604A" w:rsidRPr="00E21CB9">
        <w:rPr>
          <w:rFonts w:ascii="Times New Roman" w:hAnsi="Times New Roman"/>
          <w:i/>
          <w:iCs/>
          <w:noProof/>
          <w:sz w:val="24"/>
          <w:szCs w:val="24"/>
          <w:lang w:val="ro-RO"/>
        </w:rPr>
        <w:t>.</w:t>
      </w:r>
      <w:r w:rsidR="00837A60" w:rsidRPr="00E21CB9">
        <w:rPr>
          <w:rFonts w:ascii="Times New Roman" w:hAnsi="Times New Roman"/>
          <w:noProof/>
          <w:sz w:val="24"/>
          <w:szCs w:val="24"/>
          <w:lang w:val="ro-RO"/>
        </w:rPr>
        <w:t xml:space="preserve"> </w:t>
      </w:r>
    </w:p>
    <w:p w14:paraId="59E8248E" w14:textId="38D19BF1" w:rsidR="00433E26" w:rsidRPr="00E21CB9" w:rsidRDefault="00C003EF"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 xml:space="preserve">Având în vedere </w:t>
      </w:r>
      <w:r w:rsidR="00F2769D" w:rsidRPr="00E21CB9">
        <w:rPr>
          <w:rFonts w:ascii="Times New Roman" w:hAnsi="Times New Roman"/>
          <w:noProof/>
          <w:sz w:val="24"/>
          <w:szCs w:val="24"/>
          <w:lang w:val="ro-RO"/>
        </w:rPr>
        <w:t>o posibilă</w:t>
      </w:r>
      <w:r w:rsidRPr="00E21CB9">
        <w:rPr>
          <w:rFonts w:ascii="Times New Roman" w:hAnsi="Times New Roman"/>
          <w:noProof/>
          <w:sz w:val="24"/>
          <w:szCs w:val="24"/>
          <w:lang w:val="ro-RO"/>
        </w:rPr>
        <w:t xml:space="preserve"> interpretare a tratatelor constitutive de către CJUE </w:t>
      </w:r>
      <w:r w:rsidR="00F2769D" w:rsidRPr="00E21CB9">
        <w:rPr>
          <w:rFonts w:ascii="Times New Roman" w:hAnsi="Times New Roman"/>
          <w:noProof/>
          <w:sz w:val="24"/>
          <w:szCs w:val="24"/>
          <w:lang w:val="ro-RO"/>
        </w:rPr>
        <w:t xml:space="preserve">similară celei date </w:t>
      </w:r>
      <w:r w:rsidRPr="00E21CB9">
        <w:rPr>
          <w:rFonts w:ascii="Times New Roman" w:hAnsi="Times New Roman"/>
          <w:noProof/>
          <w:sz w:val="24"/>
          <w:szCs w:val="24"/>
          <w:lang w:val="ro-RO"/>
        </w:rPr>
        <w:t xml:space="preserve">prin </w:t>
      </w:r>
      <w:r w:rsidR="00B33E51" w:rsidRPr="00E21CB9">
        <w:rPr>
          <w:rFonts w:ascii="Times New Roman" w:hAnsi="Times New Roman"/>
          <w:noProof/>
          <w:sz w:val="24"/>
          <w:szCs w:val="24"/>
          <w:lang w:val="ro-RO"/>
        </w:rPr>
        <w:t>h</w:t>
      </w:r>
      <w:r w:rsidRPr="00E21CB9">
        <w:rPr>
          <w:rFonts w:ascii="Times New Roman" w:hAnsi="Times New Roman"/>
          <w:noProof/>
          <w:sz w:val="24"/>
          <w:szCs w:val="24"/>
          <w:lang w:val="ro-RO"/>
        </w:rPr>
        <w:t xml:space="preserve">otărârea </w:t>
      </w:r>
      <w:r w:rsidR="006E604A" w:rsidRPr="00E21CB9">
        <w:rPr>
          <w:rFonts w:ascii="Times New Roman" w:hAnsi="Times New Roman"/>
          <w:i/>
          <w:iCs/>
          <w:noProof/>
          <w:sz w:val="24"/>
          <w:szCs w:val="24"/>
          <w:lang w:val="ro-RO"/>
        </w:rPr>
        <w:t>Euro Box</w:t>
      </w:r>
      <w:r w:rsidRPr="00E21CB9">
        <w:rPr>
          <w:rFonts w:ascii="Times New Roman" w:hAnsi="Times New Roman"/>
          <w:noProof/>
          <w:sz w:val="24"/>
          <w:szCs w:val="24"/>
          <w:lang w:val="ro-RO"/>
        </w:rPr>
        <w:t>,</w:t>
      </w:r>
      <w:r w:rsidR="00B33E51" w:rsidRPr="00E21CB9">
        <w:rPr>
          <w:rFonts w:ascii="Times New Roman" w:hAnsi="Times New Roman"/>
          <w:noProof/>
          <w:sz w:val="24"/>
          <w:szCs w:val="24"/>
          <w:lang w:val="ro-RO"/>
        </w:rPr>
        <w:t xml:space="preserve"> </w:t>
      </w:r>
      <w:r w:rsidR="00E21CB9">
        <w:rPr>
          <w:rFonts w:ascii="Times New Roman" w:hAnsi="Times New Roman"/>
          <w:noProof/>
          <w:sz w:val="24"/>
          <w:szCs w:val="24"/>
          <w:lang w:val="ro-RO"/>
        </w:rPr>
        <w:t>CCR</w:t>
      </w:r>
      <w:r w:rsidR="00B33E51" w:rsidRPr="00E21CB9">
        <w:rPr>
          <w:rFonts w:ascii="Times New Roman" w:hAnsi="Times New Roman"/>
          <w:noProof/>
          <w:sz w:val="24"/>
          <w:szCs w:val="24"/>
          <w:lang w:val="ro-RO"/>
        </w:rPr>
        <w:t xml:space="preserve"> trebuie să precizeze limitele impuse de legea fundamentală </w:t>
      </w:r>
      <w:r w:rsidR="006B3ADA">
        <w:rPr>
          <w:rFonts w:ascii="Times New Roman" w:hAnsi="Times New Roman"/>
          <w:noProof/>
          <w:sz w:val="24"/>
          <w:szCs w:val="24"/>
          <w:lang w:val="ro-RO"/>
        </w:rPr>
        <w:t>față de</w:t>
      </w:r>
      <w:r w:rsidR="00B33E51" w:rsidRPr="00E21CB9">
        <w:rPr>
          <w:rFonts w:ascii="Times New Roman" w:hAnsi="Times New Roman"/>
          <w:noProof/>
          <w:sz w:val="24"/>
          <w:szCs w:val="24"/>
          <w:lang w:val="ro-RO"/>
        </w:rPr>
        <w:t xml:space="preserve"> dreptul UE</w:t>
      </w:r>
      <w:r w:rsidR="005D0A02" w:rsidRPr="00E21CB9">
        <w:rPr>
          <w:rFonts w:ascii="Times New Roman" w:hAnsi="Times New Roman"/>
          <w:noProof/>
          <w:sz w:val="24"/>
          <w:szCs w:val="24"/>
          <w:lang w:val="ro-RO"/>
        </w:rPr>
        <w:t xml:space="preserve"> în raport cu principiul legalității infracțiunilor și pedepselor</w:t>
      </w:r>
      <w:r w:rsidR="00F2769D" w:rsidRPr="00E21CB9">
        <w:rPr>
          <w:rFonts w:ascii="Times New Roman" w:hAnsi="Times New Roman"/>
          <w:noProof/>
          <w:sz w:val="24"/>
          <w:szCs w:val="24"/>
          <w:lang w:val="ro-RO"/>
        </w:rPr>
        <w:t>.</w:t>
      </w:r>
      <w:r w:rsidR="00433E26" w:rsidRPr="00E21CB9">
        <w:rPr>
          <w:rFonts w:ascii="Times New Roman" w:hAnsi="Times New Roman"/>
          <w:noProof/>
          <w:sz w:val="24"/>
          <w:szCs w:val="24"/>
          <w:lang w:val="ro-RO"/>
        </w:rPr>
        <w:t xml:space="preserve"> Prin semnarea actului de aderare a României la UE și apoi, prin semnarea </w:t>
      </w:r>
      <w:r w:rsidR="006B3ADA">
        <w:rPr>
          <w:rFonts w:ascii="Times New Roman" w:hAnsi="Times New Roman"/>
          <w:noProof/>
          <w:sz w:val="24"/>
          <w:szCs w:val="24"/>
          <w:lang w:val="ro-RO"/>
        </w:rPr>
        <w:t>Tratatului</w:t>
      </w:r>
      <w:r w:rsidR="00433E26" w:rsidRPr="00E21CB9">
        <w:rPr>
          <w:rFonts w:ascii="Times New Roman" w:hAnsi="Times New Roman"/>
          <w:noProof/>
          <w:sz w:val="24"/>
          <w:szCs w:val="24"/>
          <w:lang w:val="ro-RO"/>
        </w:rPr>
        <w:t xml:space="preserve"> de la Lisabona, care a fost supus ratificării Parlamentului </w:t>
      </w:r>
      <w:r w:rsidR="006B3ADA">
        <w:rPr>
          <w:rFonts w:ascii="Times New Roman" w:hAnsi="Times New Roman"/>
          <w:noProof/>
          <w:sz w:val="24"/>
          <w:szCs w:val="24"/>
          <w:lang w:val="ro-RO"/>
        </w:rPr>
        <w:t>R</w:t>
      </w:r>
      <w:r w:rsidR="00433E26" w:rsidRPr="00E21CB9">
        <w:rPr>
          <w:rFonts w:ascii="Times New Roman" w:hAnsi="Times New Roman"/>
          <w:noProof/>
          <w:sz w:val="24"/>
          <w:szCs w:val="24"/>
          <w:lang w:val="ro-RO"/>
        </w:rPr>
        <w:t>omân</w:t>
      </w:r>
      <w:r w:rsidR="006B3ADA">
        <w:rPr>
          <w:rFonts w:ascii="Times New Roman" w:hAnsi="Times New Roman"/>
          <w:noProof/>
          <w:sz w:val="24"/>
          <w:szCs w:val="24"/>
          <w:lang w:val="ro-RO"/>
        </w:rPr>
        <w:t>iei</w:t>
      </w:r>
      <w:r w:rsidR="00433E26" w:rsidRPr="00E21CB9">
        <w:rPr>
          <w:rFonts w:ascii="Times New Roman" w:hAnsi="Times New Roman"/>
          <w:noProof/>
          <w:sz w:val="24"/>
          <w:szCs w:val="24"/>
          <w:lang w:val="ro-RO"/>
        </w:rPr>
        <w:t xml:space="preserve">, UE și statele membre au acceptat supremația Constituției României, iar </w:t>
      </w:r>
      <w:r w:rsidR="00433E26" w:rsidRPr="00E21CB9">
        <w:rPr>
          <w:rFonts w:ascii="Times New Roman" w:hAnsi="Times New Roman"/>
          <w:noProof/>
          <w:sz w:val="24"/>
          <w:szCs w:val="24"/>
          <w:lang w:val="ro-RO"/>
        </w:rPr>
        <w:lastRenderedPageBreak/>
        <w:t xml:space="preserve">împreună cu </w:t>
      </w:r>
      <w:r w:rsidR="006B3ADA">
        <w:rPr>
          <w:rFonts w:ascii="Times New Roman" w:hAnsi="Times New Roman"/>
          <w:noProof/>
          <w:sz w:val="24"/>
          <w:szCs w:val="24"/>
          <w:lang w:val="ro-RO"/>
        </w:rPr>
        <w:t>statul român</w:t>
      </w:r>
      <w:r w:rsidR="00433E26" w:rsidRPr="00E21CB9">
        <w:rPr>
          <w:rFonts w:ascii="Times New Roman" w:hAnsi="Times New Roman"/>
          <w:noProof/>
          <w:sz w:val="24"/>
          <w:szCs w:val="24"/>
          <w:lang w:val="ro-RO"/>
        </w:rPr>
        <w:t xml:space="preserve"> au acceptat faptul că dreptul UE se situează deasupra legilor interne</w:t>
      </w:r>
      <w:r w:rsidR="006B3ADA">
        <w:rPr>
          <w:rFonts w:ascii="Times New Roman" w:hAnsi="Times New Roman"/>
          <w:noProof/>
          <w:sz w:val="24"/>
          <w:szCs w:val="24"/>
          <w:lang w:val="ro-RO"/>
        </w:rPr>
        <w:t xml:space="preserve"> române</w:t>
      </w:r>
      <w:r w:rsidR="00433E26" w:rsidRPr="00E21CB9">
        <w:rPr>
          <w:rFonts w:ascii="Times New Roman" w:hAnsi="Times New Roman"/>
          <w:noProof/>
          <w:sz w:val="24"/>
          <w:szCs w:val="24"/>
          <w:lang w:val="ro-RO"/>
        </w:rPr>
        <w:t>, dar în cadrul ordinii stabilite de Constituție, deci în subordinea acesteia</w:t>
      </w:r>
      <w:r w:rsidR="00B33E51" w:rsidRPr="00E21CB9">
        <w:rPr>
          <w:rStyle w:val="FootnoteReference"/>
          <w:rFonts w:ascii="Times New Roman" w:hAnsi="Times New Roman"/>
          <w:noProof/>
          <w:sz w:val="24"/>
          <w:szCs w:val="24"/>
          <w:lang w:val="ro-RO"/>
        </w:rPr>
        <w:footnoteReference w:id="18"/>
      </w:r>
      <w:r w:rsidR="00433E26" w:rsidRPr="00E21CB9">
        <w:rPr>
          <w:rFonts w:ascii="Times New Roman" w:hAnsi="Times New Roman"/>
          <w:noProof/>
          <w:sz w:val="24"/>
          <w:szCs w:val="24"/>
          <w:lang w:val="ro-RO"/>
        </w:rPr>
        <w:t>.</w:t>
      </w:r>
    </w:p>
    <w:p w14:paraId="43C3C1E7" w14:textId="317C68F5" w:rsidR="0046284F" w:rsidRPr="00E21CB9" w:rsidRDefault="0046284F" w:rsidP="00F10A47">
      <w:pPr>
        <w:spacing w:after="200" w:line="276" w:lineRule="auto"/>
        <w:jc w:val="both"/>
        <w:rPr>
          <w:rFonts w:ascii="Times New Roman" w:hAnsi="Times New Roman"/>
          <w:i/>
          <w:iCs/>
          <w:noProof/>
          <w:sz w:val="24"/>
          <w:szCs w:val="24"/>
          <w:lang w:val="ro-RO"/>
        </w:rPr>
      </w:pPr>
      <w:r w:rsidRPr="00E21CB9">
        <w:rPr>
          <w:rFonts w:ascii="Times New Roman" w:hAnsi="Times New Roman"/>
          <w:noProof/>
          <w:sz w:val="24"/>
          <w:szCs w:val="24"/>
          <w:lang w:val="ro-RO"/>
        </w:rPr>
        <w:t xml:space="preserve">Curtea Constituțională a României </w:t>
      </w:r>
      <w:r w:rsidR="00433E26" w:rsidRPr="00E21CB9">
        <w:rPr>
          <w:rFonts w:ascii="Times New Roman" w:hAnsi="Times New Roman"/>
          <w:noProof/>
          <w:sz w:val="24"/>
          <w:szCs w:val="24"/>
          <w:lang w:val="ro-RO"/>
        </w:rPr>
        <w:t xml:space="preserve">ar putea să abordeze mai puțin brutal problematica ierarhiei constituționale </w:t>
      </w:r>
      <w:r w:rsidRPr="00E21CB9">
        <w:rPr>
          <w:rFonts w:ascii="Times New Roman" w:hAnsi="Times New Roman"/>
          <w:noProof/>
          <w:sz w:val="24"/>
          <w:szCs w:val="24"/>
          <w:lang w:val="ro-RO"/>
        </w:rPr>
        <w:t>adres</w:t>
      </w:r>
      <w:r w:rsidR="00433E26" w:rsidRPr="00E21CB9">
        <w:rPr>
          <w:rFonts w:ascii="Times New Roman" w:hAnsi="Times New Roman"/>
          <w:noProof/>
          <w:sz w:val="24"/>
          <w:szCs w:val="24"/>
          <w:lang w:val="ro-RO"/>
        </w:rPr>
        <w:t>ând</w:t>
      </w:r>
      <w:r w:rsidRPr="00E21CB9">
        <w:rPr>
          <w:rFonts w:ascii="Times New Roman" w:hAnsi="Times New Roman"/>
          <w:noProof/>
          <w:sz w:val="24"/>
          <w:szCs w:val="24"/>
          <w:lang w:val="ro-RO"/>
        </w:rPr>
        <w:t xml:space="preserve">  întrebări preliminare chiar Curții </w:t>
      </w:r>
      <w:r w:rsidR="00094AB1" w:rsidRPr="00E21CB9">
        <w:rPr>
          <w:rFonts w:ascii="Times New Roman" w:hAnsi="Times New Roman"/>
          <w:noProof/>
          <w:sz w:val="24"/>
          <w:szCs w:val="24"/>
          <w:lang w:val="ro-RO"/>
        </w:rPr>
        <w:t>de Justiție, pe modelul deja consacrat</w:t>
      </w:r>
      <w:r w:rsidR="00260295" w:rsidRPr="00E21CB9">
        <w:rPr>
          <w:rFonts w:ascii="Times New Roman" w:hAnsi="Times New Roman"/>
          <w:noProof/>
          <w:sz w:val="24"/>
          <w:szCs w:val="24"/>
          <w:lang w:val="ro-RO"/>
        </w:rPr>
        <w:t xml:space="preserve"> de Curtea Constituțională din Italia</w:t>
      </w:r>
      <w:r w:rsidR="00094AB1" w:rsidRPr="00E21CB9">
        <w:rPr>
          <w:rFonts w:ascii="Times New Roman" w:hAnsi="Times New Roman"/>
          <w:noProof/>
          <w:sz w:val="24"/>
          <w:szCs w:val="24"/>
          <w:lang w:val="ro-RO"/>
        </w:rPr>
        <w:t xml:space="preserve"> în cauz</w:t>
      </w:r>
      <w:r w:rsidR="00B33E51" w:rsidRPr="00E21CB9">
        <w:rPr>
          <w:rFonts w:ascii="Times New Roman" w:hAnsi="Times New Roman"/>
          <w:noProof/>
          <w:sz w:val="24"/>
          <w:szCs w:val="24"/>
          <w:lang w:val="ro-RO"/>
        </w:rPr>
        <w:t>a</w:t>
      </w:r>
      <w:r w:rsidR="00094AB1" w:rsidRPr="00E21CB9">
        <w:rPr>
          <w:rFonts w:ascii="Times New Roman" w:hAnsi="Times New Roman"/>
          <w:noProof/>
          <w:sz w:val="24"/>
          <w:szCs w:val="24"/>
          <w:lang w:val="ro-RO"/>
        </w:rPr>
        <w:t xml:space="preserve"> </w:t>
      </w:r>
      <w:r w:rsidR="00094AB1" w:rsidRPr="00E21CB9">
        <w:rPr>
          <w:rFonts w:ascii="Times New Roman" w:hAnsi="Times New Roman"/>
          <w:i/>
          <w:iCs/>
          <w:noProof/>
          <w:sz w:val="24"/>
          <w:szCs w:val="24"/>
          <w:lang w:val="ro-RO"/>
        </w:rPr>
        <w:t>Taricco II.</w:t>
      </w:r>
    </w:p>
    <w:p w14:paraId="54E34D91" w14:textId="72DD015F" w:rsidR="00B06832" w:rsidRPr="00E21CB9" w:rsidRDefault="00B33E51"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I</w:t>
      </w:r>
      <w:r w:rsidR="00761B69" w:rsidRPr="00E21CB9">
        <w:rPr>
          <w:rFonts w:ascii="Times New Roman" w:hAnsi="Times New Roman"/>
          <w:noProof/>
          <w:sz w:val="24"/>
          <w:szCs w:val="24"/>
          <w:lang w:val="ro-RO" w:eastAsia="ro-RO"/>
        </w:rPr>
        <w:t>nstituția prescripției răspunderii penale aparține dreptului penal material</w:t>
      </w:r>
      <w:r w:rsidRPr="00E21CB9">
        <w:rPr>
          <w:rFonts w:ascii="Times New Roman" w:hAnsi="Times New Roman"/>
          <w:noProof/>
          <w:sz w:val="24"/>
          <w:szCs w:val="24"/>
          <w:lang w:val="ro-RO" w:eastAsia="ro-RO"/>
        </w:rPr>
        <w:t xml:space="preserve"> și în România</w:t>
      </w:r>
      <w:r w:rsidR="00761B69" w:rsidRPr="00E21CB9">
        <w:rPr>
          <w:rFonts w:ascii="Times New Roman" w:hAnsi="Times New Roman"/>
          <w:noProof/>
          <w:sz w:val="24"/>
          <w:szCs w:val="24"/>
          <w:lang w:val="ro-RO" w:eastAsia="ro-RO"/>
        </w:rPr>
        <w:t>,</w:t>
      </w:r>
      <w:r w:rsidRPr="00E21CB9">
        <w:rPr>
          <w:rFonts w:ascii="Times New Roman" w:hAnsi="Times New Roman"/>
          <w:noProof/>
          <w:sz w:val="24"/>
          <w:szCs w:val="24"/>
          <w:lang w:val="ro-RO" w:eastAsia="ro-RO"/>
        </w:rPr>
        <w:t xml:space="preserve"> determinând incidența </w:t>
      </w:r>
      <w:r w:rsidR="00D709AC" w:rsidRPr="00E21CB9">
        <w:rPr>
          <w:rFonts w:ascii="Times New Roman" w:hAnsi="Times New Roman"/>
          <w:noProof/>
          <w:sz w:val="24"/>
          <w:szCs w:val="24"/>
          <w:lang w:val="ro-RO" w:eastAsia="ro-RO"/>
        </w:rPr>
        <w:t>principiului legalității infracțiunilor și pedepselor</w:t>
      </w:r>
      <w:r w:rsidRPr="00E21CB9">
        <w:rPr>
          <w:rFonts w:ascii="Times New Roman" w:hAnsi="Times New Roman"/>
          <w:noProof/>
          <w:sz w:val="24"/>
          <w:szCs w:val="24"/>
          <w:lang w:val="ro-RO" w:eastAsia="ro-RO"/>
        </w:rPr>
        <w:t>,</w:t>
      </w:r>
      <w:r w:rsidR="00B06832" w:rsidRPr="00E21CB9">
        <w:rPr>
          <w:rFonts w:ascii="Times New Roman" w:hAnsi="Times New Roman"/>
          <w:noProof/>
          <w:sz w:val="24"/>
          <w:szCs w:val="24"/>
          <w:lang w:val="ro-RO" w:eastAsia="ro-RO"/>
        </w:rPr>
        <w:t xml:space="preserve"> principiu </w:t>
      </w:r>
      <w:r w:rsidRPr="00E21CB9">
        <w:rPr>
          <w:rFonts w:ascii="Times New Roman" w:hAnsi="Times New Roman"/>
          <w:noProof/>
          <w:sz w:val="24"/>
          <w:szCs w:val="24"/>
          <w:lang w:val="ro-RO" w:eastAsia="ro-RO"/>
        </w:rPr>
        <w:t>care</w:t>
      </w:r>
      <w:r w:rsidR="00B06832" w:rsidRPr="00E21CB9">
        <w:rPr>
          <w:rFonts w:ascii="Times New Roman" w:hAnsi="Times New Roman"/>
          <w:noProof/>
          <w:sz w:val="24"/>
          <w:szCs w:val="24"/>
          <w:lang w:val="ro-RO" w:eastAsia="ro-RO"/>
        </w:rPr>
        <w:t xml:space="preserve"> face parte din tradițiile constituționale comune statelor </w:t>
      </w:r>
      <w:r w:rsidR="00EA4468" w:rsidRPr="00E21CB9">
        <w:rPr>
          <w:rFonts w:ascii="Times New Roman" w:hAnsi="Times New Roman"/>
          <w:noProof/>
          <w:sz w:val="24"/>
          <w:szCs w:val="24"/>
          <w:lang w:val="ro-RO" w:eastAsia="ro-RO"/>
        </w:rPr>
        <w:t xml:space="preserve"> </w:t>
      </w:r>
      <w:r w:rsidR="00B06832" w:rsidRPr="00E21CB9">
        <w:rPr>
          <w:rFonts w:ascii="Times New Roman" w:hAnsi="Times New Roman"/>
          <w:noProof/>
          <w:sz w:val="24"/>
          <w:szCs w:val="24"/>
          <w:lang w:val="ro-RO" w:eastAsia="ro-RO"/>
        </w:rPr>
        <w:t xml:space="preserve">membre </w:t>
      </w:r>
      <w:r w:rsidR="00EA4468" w:rsidRPr="00E21CB9">
        <w:rPr>
          <w:rFonts w:ascii="Times New Roman" w:hAnsi="Times New Roman"/>
          <w:noProof/>
          <w:sz w:val="24"/>
          <w:szCs w:val="24"/>
          <w:lang w:val="ro-RO" w:eastAsia="ro-RO"/>
        </w:rPr>
        <w:t xml:space="preserve">și este </w:t>
      </w:r>
      <w:r w:rsidR="00B06832" w:rsidRPr="00E21CB9">
        <w:rPr>
          <w:rFonts w:ascii="Times New Roman" w:hAnsi="Times New Roman"/>
          <w:noProof/>
          <w:sz w:val="24"/>
          <w:szCs w:val="24"/>
          <w:lang w:val="ro-RO" w:eastAsia="ro-RO"/>
        </w:rPr>
        <w:t xml:space="preserve">consacrat </w:t>
      </w:r>
      <w:r w:rsidRPr="00E21CB9">
        <w:rPr>
          <w:rFonts w:ascii="Times New Roman" w:hAnsi="Times New Roman"/>
          <w:noProof/>
          <w:sz w:val="24"/>
          <w:szCs w:val="24"/>
          <w:lang w:val="ro-RO" w:eastAsia="ro-RO"/>
        </w:rPr>
        <w:t>în</w:t>
      </w:r>
      <w:r w:rsidR="00B06832" w:rsidRPr="00E21CB9">
        <w:rPr>
          <w:rFonts w:ascii="Times New Roman" w:hAnsi="Times New Roman"/>
          <w:b/>
          <w:bCs/>
          <w:noProof/>
          <w:sz w:val="24"/>
          <w:szCs w:val="24"/>
          <w:lang w:val="ro-RO" w:eastAsia="ro-RO"/>
        </w:rPr>
        <w:t xml:space="preserve"> </w:t>
      </w:r>
      <w:r w:rsidR="00B06832" w:rsidRPr="00E21CB9">
        <w:rPr>
          <w:rFonts w:ascii="Times New Roman" w:hAnsi="Times New Roman"/>
          <w:noProof/>
          <w:sz w:val="24"/>
          <w:szCs w:val="24"/>
          <w:lang w:val="ro-RO" w:eastAsia="ro-RO"/>
        </w:rPr>
        <w:t>articolul 7 alineatul (1) din C</w:t>
      </w:r>
      <w:r w:rsidRPr="00E21CB9">
        <w:rPr>
          <w:rFonts w:ascii="Times New Roman" w:hAnsi="Times New Roman"/>
          <w:noProof/>
          <w:sz w:val="24"/>
          <w:szCs w:val="24"/>
          <w:lang w:val="ro-RO" w:eastAsia="ro-RO"/>
        </w:rPr>
        <w:t>onvenție.</w:t>
      </w:r>
      <w:r w:rsidR="00B06832" w:rsidRPr="00E21CB9">
        <w:rPr>
          <w:rFonts w:ascii="Times New Roman" w:hAnsi="Times New Roman"/>
          <w:noProof/>
          <w:sz w:val="24"/>
          <w:szCs w:val="24"/>
          <w:lang w:val="ro-RO" w:eastAsia="ro-RO"/>
        </w:rPr>
        <w:t xml:space="preserve"> </w:t>
      </w:r>
    </w:p>
    <w:p w14:paraId="5F315F5A" w14:textId="0FDB0546" w:rsidR="00761B69" w:rsidRPr="00E21CB9" w:rsidRDefault="00761B69" w:rsidP="00F10A47">
      <w:pPr>
        <w:spacing w:after="200" w:line="276" w:lineRule="auto"/>
        <w:jc w:val="both"/>
        <w:rPr>
          <w:rFonts w:ascii="Times New Roman" w:hAnsi="Times New Roman"/>
          <w:bCs/>
          <w:noProof/>
          <w:sz w:val="24"/>
          <w:szCs w:val="24"/>
          <w:lang w:val="ro-RO" w:eastAsia="ro-RO"/>
        </w:rPr>
      </w:pPr>
      <w:r w:rsidRPr="00E21CB9">
        <w:rPr>
          <w:rFonts w:ascii="Times New Roman" w:hAnsi="Times New Roman"/>
          <w:bCs/>
          <w:noProof/>
          <w:sz w:val="24"/>
          <w:szCs w:val="24"/>
          <w:lang w:val="ro-RO" w:eastAsia="ro-RO"/>
        </w:rPr>
        <w:t xml:space="preserve">Aceeași concluzie, respectiv apartenența prescripției răspunderii penale la sfera dreptului material, derivă și din jurisprudența obligatorie a </w:t>
      </w:r>
      <w:r w:rsidR="006B3ADA">
        <w:rPr>
          <w:rFonts w:ascii="Times New Roman" w:hAnsi="Times New Roman"/>
          <w:bCs/>
          <w:noProof/>
          <w:sz w:val="24"/>
          <w:szCs w:val="24"/>
          <w:lang w:val="ro-RO" w:eastAsia="ro-RO"/>
        </w:rPr>
        <w:t>ÎCCJ</w:t>
      </w:r>
      <w:r w:rsidRPr="00E21CB9">
        <w:rPr>
          <w:rFonts w:ascii="Times New Roman" w:hAnsi="Times New Roman"/>
          <w:bCs/>
          <w:noProof/>
          <w:sz w:val="24"/>
          <w:szCs w:val="24"/>
          <w:lang w:val="ro-RO" w:eastAsia="ro-RO"/>
        </w:rPr>
        <w:t xml:space="preserve">. Astfel, </w:t>
      </w:r>
      <w:r w:rsidR="006B3ADA">
        <w:rPr>
          <w:rFonts w:ascii="Times New Roman" w:hAnsi="Times New Roman"/>
          <w:bCs/>
          <w:noProof/>
          <w:sz w:val="24"/>
          <w:szCs w:val="24"/>
          <w:lang w:val="ro-RO" w:eastAsia="ro-RO"/>
        </w:rPr>
        <w:t>prin</w:t>
      </w:r>
      <w:r w:rsidRPr="00E21CB9">
        <w:rPr>
          <w:rFonts w:ascii="Times New Roman" w:hAnsi="Times New Roman"/>
          <w:bCs/>
          <w:noProof/>
          <w:sz w:val="24"/>
          <w:szCs w:val="24"/>
          <w:lang w:val="ro-RO" w:eastAsia="ro-RO"/>
        </w:rPr>
        <w:t xml:space="preserve"> Decizia nr. 2/2014</w:t>
      </w:r>
      <w:r w:rsidR="006B3ADA">
        <w:rPr>
          <w:rFonts w:ascii="Times New Roman" w:hAnsi="Times New Roman"/>
          <w:bCs/>
          <w:noProof/>
          <w:sz w:val="24"/>
          <w:szCs w:val="24"/>
          <w:lang w:val="ro-RO" w:eastAsia="ro-RO"/>
        </w:rPr>
        <w:t xml:space="preserve">, </w:t>
      </w:r>
      <w:r w:rsidRPr="00E21CB9">
        <w:rPr>
          <w:rFonts w:ascii="Times New Roman" w:hAnsi="Times New Roman"/>
          <w:bCs/>
          <w:noProof/>
          <w:sz w:val="24"/>
          <w:szCs w:val="24"/>
          <w:lang w:val="ro-RO" w:eastAsia="ro-RO"/>
        </w:rPr>
        <w:t>Î</w:t>
      </w:r>
      <w:r w:rsidR="009C5A03" w:rsidRPr="00E21CB9">
        <w:rPr>
          <w:rFonts w:ascii="Times New Roman" w:hAnsi="Times New Roman"/>
          <w:bCs/>
          <w:noProof/>
          <w:sz w:val="24"/>
          <w:szCs w:val="24"/>
          <w:lang w:val="ro-RO" w:eastAsia="ro-RO"/>
        </w:rPr>
        <w:t>CCJ</w:t>
      </w:r>
      <w:r w:rsidR="00954860" w:rsidRPr="00E21CB9">
        <w:rPr>
          <w:rFonts w:ascii="Times New Roman" w:hAnsi="Times New Roman"/>
          <w:bCs/>
          <w:noProof/>
          <w:sz w:val="24"/>
          <w:szCs w:val="24"/>
          <w:lang w:val="ro-RO" w:eastAsia="ro-RO"/>
        </w:rPr>
        <w:t xml:space="preserve"> – </w:t>
      </w:r>
      <w:r w:rsidRPr="00E21CB9">
        <w:rPr>
          <w:rFonts w:ascii="Times New Roman" w:hAnsi="Times New Roman"/>
          <w:bCs/>
          <w:noProof/>
          <w:sz w:val="24"/>
          <w:szCs w:val="24"/>
          <w:lang w:val="ro-RO" w:eastAsia="ro-RO"/>
        </w:rPr>
        <w:t xml:space="preserve">Completul pentru dezlegarea unor chestiuni de drept în materie penală a reținut </w:t>
      </w:r>
      <w:r w:rsidR="009C5A03" w:rsidRPr="00E21CB9">
        <w:rPr>
          <w:rFonts w:ascii="Times New Roman" w:hAnsi="Times New Roman"/>
          <w:bCs/>
          <w:noProof/>
          <w:sz w:val="24"/>
          <w:szCs w:val="24"/>
          <w:lang w:val="ro-RO" w:eastAsia="ro-RO"/>
        </w:rPr>
        <w:t>că</w:t>
      </w:r>
      <w:r w:rsidRPr="00E21CB9">
        <w:rPr>
          <w:rFonts w:ascii="Times New Roman" w:hAnsi="Times New Roman"/>
          <w:bCs/>
          <w:noProof/>
          <w:sz w:val="24"/>
          <w:szCs w:val="24"/>
          <w:lang w:val="ro-RO" w:eastAsia="ro-RO"/>
        </w:rPr>
        <w:t xml:space="preserve"> </w:t>
      </w:r>
      <w:r w:rsidR="009C5A03" w:rsidRPr="00E21CB9">
        <w:rPr>
          <w:rFonts w:ascii="Times New Roman" w:hAnsi="Times New Roman"/>
          <w:bCs/>
          <w:i/>
          <w:iCs/>
          <w:noProof/>
          <w:sz w:val="24"/>
          <w:szCs w:val="24"/>
          <w:lang w:val="ro-RO" w:eastAsia="ro-RO"/>
        </w:rPr>
        <w:t>p</w:t>
      </w:r>
      <w:r w:rsidRPr="00E21CB9">
        <w:rPr>
          <w:rFonts w:ascii="Times New Roman" w:hAnsi="Times New Roman"/>
          <w:bCs/>
          <w:i/>
          <w:iCs/>
          <w:noProof/>
          <w:sz w:val="24"/>
          <w:szCs w:val="24"/>
          <w:lang w:val="ro-RO" w:eastAsia="ro-RO"/>
        </w:rPr>
        <w:t>entru identitate de raţionament, având în vedere şi împrejurarea că modul de reglementare al prescripţiei răspunderii penale prin dispoziţiile art. 153-156 din noul Cod penal nu diferă de cel stabilit de vechiul Cod penal în art. 121-129, se poate afirma cu certitudine că prescripţia răspunderii penale este guvernată de norme de drept penal substanţial, fiind susceptibilă de a beneficia de efectele aplicării mitior lex.</w:t>
      </w:r>
    </w:p>
    <w:p w14:paraId="0BE4571F" w14:textId="2345CF0C" w:rsidR="0001440B" w:rsidRPr="00E21CB9" w:rsidRDefault="009C5A03" w:rsidP="00F10A47">
      <w:pPr>
        <w:spacing w:after="200" w:line="276" w:lineRule="auto"/>
        <w:jc w:val="both"/>
        <w:rPr>
          <w:rFonts w:ascii="Times New Roman" w:hAnsi="Times New Roman"/>
          <w:bCs/>
          <w:i/>
          <w:iCs/>
          <w:noProof/>
          <w:sz w:val="24"/>
          <w:szCs w:val="24"/>
          <w:lang w:val="ro-RO" w:eastAsia="ro-RO"/>
        </w:rPr>
      </w:pPr>
      <w:r w:rsidRPr="00E21CB9">
        <w:rPr>
          <w:rFonts w:ascii="Times New Roman" w:hAnsi="Times New Roman"/>
          <w:bCs/>
          <w:noProof/>
          <w:sz w:val="24"/>
          <w:szCs w:val="24"/>
          <w:lang w:val="ro-RO" w:eastAsia="ro-RO"/>
        </w:rPr>
        <w:t>În</w:t>
      </w:r>
      <w:r w:rsidR="0001440B" w:rsidRPr="00E21CB9">
        <w:rPr>
          <w:rFonts w:ascii="Times New Roman" w:hAnsi="Times New Roman"/>
          <w:bCs/>
          <w:noProof/>
          <w:sz w:val="24"/>
          <w:szCs w:val="24"/>
          <w:lang w:val="ro-RO" w:eastAsia="ro-RO"/>
        </w:rPr>
        <w:t xml:space="preserve"> </w:t>
      </w:r>
      <w:r w:rsidRPr="00E21CB9">
        <w:rPr>
          <w:rFonts w:ascii="Times New Roman" w:hAnsi="Times New Roman"/>
          <w:bCs/>
          <w:noProof/>
          <w:sz w:val="24"/>
          <w:szCs w:val="24"/>
          <w:lang w:val="ro-RO" w:eastAsia="ro-RO"/>
        </w:rPr>
        <w:t xml:space="preserve">același sens, </w:t>
      </w:r>
      <w:r w:rsidR="0001440B" w:rsidRPr="00E21CB9">
        <w:rPr>
          <w:rFonts w:ascii="Times New Roman" w:hAnsi="Times New Roman"/>
          <w:bCs/>
          <w:noProof/>
          <w:sz w:val="24"/>
          <w:szCs w:val="24"/>
          <w:lang w:val="ro-RO" w:eastAsia="ro-RO"/>
        </w:rPr>
        <w:t>Decizia nr. 67</w:t>
      </w:r>
      <w:r w:rsidR="005645AE">
        <w:rPr>
          <w:rFonts w:ascii="Times New Roman" w:hAnsi="Times New Roman"/>
          <w:bCs/>
          <w:noProof/>
          <w:sz w:val="24"/>
          <w:szCs w:val="24"/>
          <w:lang w:val="ro-RO" w:eastAsia="ro-RO"/>
        </w:rPr>
        <w:t xml:space="preserve"> din </w:t>
      </w:r>
      <w:r w:rsidR="0001440B" w:rsidRPr="00E21CB9">
        <w:rPr>
          <w:rFonts w:ascii="Times New Roman" w:hAnsi="Times New Roman"/>
          <w:bCs/>
          <w:noProof/>
          <w:sz w:val="24"/>
          <w:szCs w:val="24"/>
          <w:lang w:val="ro-RO" w:eastAsia="ro-RO"/>
        </w:rPr>
        <w:t>25</w:t>
      </w:r>
      <w:r w:rsidR="005645AE">
        <w:rPr>
          <w:rFonts w:ascii="Times New Roman" w:hAnsi="Times New Roman"/>
          <w:bCs/>
          <w:noProof/>
          <w:sz w:val="24"/>
          <w:szCs w:val="24"/>
          <w:lang w:val="ro-RO" w:eastAsia="ro-RO"/>
        </w:rPr>
        <w:t xml:space="preserve"> octombrie </w:t>
      </w:r>
      <w:r w:rsidR="0001440B" w:rsidRPr="00E21CB9">
        <w:rPr>
          <w:rFonts w:ascii="Times New Roman" w:hAnsi="Times New Roman"/>
          <w:bCs/>
          <w:noProof/>
          <w:sz w:val="24"/>
          <w:szCs w:val="24"/>
          <w:lang w:val="ro-RO" w:eastAsia="ro-RO"/>
        </w:rPr>
        <w:t xml:space="preserve">2022 a </w:t>
      </w:r>
      <w:r w:rsidRPr="00E21CB9">
        <w:rPr>
          <w:rFonts w:ascii="Times New Roman" w:hAnsi="Times New Roman"/>
          <w:bCs/>
          <w:noProof/>
          <w:sz w:val="24"/>
          <w:szCs w:val="24"/>
          <w:lang w:val="ro-RO" w:eastAsia="ro-RO"/>
        </w:rPr>
        <w:t>Î</w:t>
      </w:r>
      <w:r w:rsidR="0001440B" w:rsidRPr="00E21CB9">
        <w:rPr>
          <w:rFonts w:ascii="Times New Roman" w:hAnsi="Times New Roman"/>
          <w:bCs/>
          <w:noProof/>
          <w:sz w:val="24"/>
          <w:szCs w:val="24"/>
          <w:lang w:val="ro-RO" w:eastAsia="ro-RO"/>
        </w:rPr>
        <w:t>CCJ – Completul pentru dezlegarea unor chestiuni de drept</w:t>
      </w:r>
      <w:r w:rsidR="0001440B" w:rsidRPr="00E21CB9">
        <w:rPr>
          <w:rStyle w:val="FootnoteReference"/>
          <w:rFonts w:ascii="Times New Roman" w:hAnsi="Times New Roman"/>
          <w:bCs/>
          <w:noProof/>
          <w:sz w:val="24"/>
          <w:szCs w:val="24"/>
          <w:lang w:val="ro-RO" w:eastAsia="ro-RO"/>
        </w:rPr>
        <w:footnoteReference w:id="19"/>
      </w:r>
      <w:r w:rsidR="0001440B" w:rsidRPr="00E21CB9">
        <w:rPr>
          <w:rFonts w:ascii="Times New Roman" w:hAnsi="Times New Roman"/>
          <w:bCs/>
          <w:noProof/>
          <w:sz w:val="24"/>
          <w:szCs w:val="24"/>
          <w:lang w:val="ro-RO" w:eastAsia="ro-RO"/>
        </w:rPr>
        <w:t xml:space="preserve">, </w:t>
      </w:r>
      <w:r w:rsidR="00432B3B" w:rsidRPr="00E21CB9">
        <w:rPr>
          <w:rFonts w:ascii="Times New Roman" w:hAnsi="Times New Roman"/>
          <w:bCs/>
          <w:noProof/>
          <w:sz w:val="24"/>
          <w:szCs w:val="24"/>
          <w:lang w:val="ro-RO" w:eastAsia="ro-RO"/>
        </w:rPr>
        <w:t xml:space="preserve">pentru a cărei neaplicare a fost formulată trimiterea preliminară </w:t>
      </w:r>
      <w:r w:rsidR="00432B3B" w:rsidRPr="00E21CB9">
        <w:rPr>
          <w:rFonts w:ascii="Times New Roman" w:hAnsi="Times New Roman"/>
          <w:bCs/>
          <w:i/>
          <w:iCs/>
          <w:noProof/>
          <w:sz w:val="24"/>
          <w:szCs w:val="24"/>
          <w:lang w:val="ro-RO" w:eastAsia="ro-RO"/>
        </w:rPr>
        <w:t>pendinte</w:t>
      </w:r>
      <w:r w:rsidR="00432B3B" w:rsidRPr="00E21CB9">
        <w:rPr>
          <w:rFonts w:ascii="Times New Roman" w:hAnsi="Times New Roman"/>
          <w:bCs/>
          <w:noProof/>
          <w:sz w:val="24"/>
          <w:szCs w:val="24"/>
          <w:lang w:val="ro-RO" w:eastAsia="ro-RO"/>
        </w:rPr>
        <w:t xml:space="preserve">, </w:t>
      </w:r>
      <w:r w:rsidR="0001440B" w:rsidRPr="00E21CB9">
        <w:rPr>
          <w:rFonts w:ascii="Times New Roman" w:hAnsi="Times New Roman"/>
          <w:bCs/>
          <w:noProof/>
          <w:sz w:val="24"/>
          <w:szCs w:val="24"/>
          <w:lang w:val="ro-RO" w:eastAsia="ro-RO"/>
        </w:rPr>
        <w:t xml:space="preserve">a stabilit că </w:t>
      </w:r>
      <w:r w:rsidR="00432B3B" w:rsidRPr="00E21CB9">
        <w:rPr>
          <w:rFonts w:ascii="Times New Roman" w:hAnsi="Times New Roman"/>
          <w:bCs/>
          <w:i/>
          <w:iCs/>
          <w:noProof/>
          <w:sz w:val="24"/>
          <w:szCs w:val="24"/>
          <w:lang w:val="ro-RO" w:eastAsia="ro-RO"/>
        </w:rPr>
        <w:t>n</w:t>
      </w:r>
      <w:r w:rsidR="0001440B" w:rsidRPr="00E21CB9">
        <w:rPr>
          <w:rFonts w:ascii="Times New Roman" w:hAnsi="Times New Roman"/>
          <w:bCs/>
          <w:i/>
          <w:iCs/>
          <w:noProof/>
          <w:sz w:val="24"/>
          <w:szCs w:val="24"/>
          <w:lang w:val="ro-RO" w:eastAsia="ro-RO"/>
        </w:rPr>
        <w:t>ormele referitoare la întreruperea cursului prescripţiei sunt norme de drept penal material (substanţial) supuse din perspectiva aplicării lor în timp principiului activităţii legii penale prevăzut de art. 3 din Codul penal, cu excepţia dispoziţiilor mai favorabile, potrivit principiului mitior lex prevăzut de art. 15 alin. (2) din Constituţia României, republicată, şi art. 5 din Codul penal.</w:t>
      </w:r>
    </w:p>
    <w:p w14:paraId="7BD816C8" w14:textId="5B62E9B8" w:rsidR="003E7812" w:rsidRPr="00E21CB9" w:rsidRDefault="005D0A02" w:rsidP="00F10A47">
      <w:pPr>
        <w:spacing w:after="200" w:line="276" w:lineRule="auto"/>
        <w:jc w:val="both"/>
        <w:rPr>
          <w:rFonts w:ascii="Times New Roman" w:hAnsi="Times New Roman"/>
          <w:noProof/>
          <w:sz w:val="24"/>
          <w:szCs w:val="24"/>
          <w:lang w:val="ro-RO"/>
        </w:rPr>
      </w:pPr>
      <w:r w:rsidRPr="00E21CB9">
        <w:rPr>
          <w:rFonts w:ascii="Times New Roman" w:hAnsi="Times New Roman"/>
          <w:bCs/>
          <w:noProof/>
          <w:sz w:val="24"/>
          <w:szCs w:val="24"/>
          <w:lang w:val="ro-RO" w:eastAsia="ro-RO"/>
        </w:rPr>
        <w:t>Doctrina</w:t>
      </w:r>
      <w:r w:rsidR="00CB2982" w:rsidRPr="00E21CB9">
        <w:rPr>
          <w:rFonts w:ascii="Times New Roman" w:hAnsi="Times New Roman"/>
          <w:bCs/>
          <w:noProof/>
          <w:sz w:val="24"/>
          <w:szCs w:val="24"/>
          <w:lang w:val="ro-RO" w:eastAsia="ro-RO"/>
        </w:rPr>
        <w:t xml:space="preserve"> reține</w:t>
      </w:r>
      <w:r w:rsidR="00CB2982" w:rsidRPr="00E21CB9">
        <w:rPr>
          <w:rStyle w:val="FootnoteReference"/>
          <w:rFonts w:ascii="Times New Roman" w:hAnsi="Times New Roman"/>
          <w:bCs/>
          <w:noProof/>
          <w:sz w:val="24"/>
          <w:szCs w:val="24"/>
          <w:lang w:val="ro-RO" w:eastAsia="ro-RO"/>
        </w:rPr>
        <w:footnoteReference w:id="20"/>
      </w:r>
      <w:r w:rsidRPr="00E21CB9">
        <w:rPr>
          <w:rFonts w:ascii="Times New Roman" w:hAnsi="Times New Roman"/>
          <w:bCs/>
          <w:noProof/>
          <w:sz w:val="24"/>
          <w:szCs w:val="24"/>
          <w:lang w:val="ro-RO" w:eastAsia="ro-RO"/>
        </w:rPr>
        <w:t xml:space="preserve"> însă că </w:t>
      </w:r>
      <w:r w:rsidRPr="00E21CB9">
        <w:rPr>
          <w:rFonts w:ascii="Times New Roman" w:hAnsi="Times New Roman"/>
          <w:i/>
          <w:iCs/>
          <w:noProof/>
          <w:sz w:val="24"/>
          <w:szCs w:val="24"/>
          <w:lang w:val="ro-RO"/>
        </w:rPr>
        <w:t>î</w:t>
      </w:r>
      <w:r w:rsidR="00CB2982" w:rsidRPr="00E21CB9">
        <w:rPr>
          <w:rFonts w:ascii="Times New Roman" w:hAnsi="Times New Roman"/>
          <w:i/>
          <w:iCs/>
          <w:noProof/>
          <w:sz w:val="24"/>
          <w:szCs w:val="24"/>
          <w:lang w:val="ro-RO"/>
        </w:rPr>
        <w:t xml:space="preserve">n România, unde funcționează modelul kelsenian, european, de control de constituționalitate, dar de data mai recentă, de aproape trei decenii, judecătorul din sistemul tradițional de justiție are monopolul interpretării legislației infraconstituționale, dar și obligații ce derivă din art. 20 și 148 din Constituție, care stabilesc prioritatea tratatelor internaționale în materia drepturilor omului când oferă o protecție mai ridicată decât legislația internă și, respectiv, prioritatea normelor UE obligatorii atunci când vin în coliziune cu legislația internă. Interpretarea și aplicarea acelorași texte din Constituție – de această data cu caracter de obligativitate </w:t>
      </w:r>
      <w:r w:rsidR="00CB2982" w:rsidRPr="00E21CB9">
        <w:rPr>
          <w:rStyle w:val="Emphasis"/>
          <w:rFonts w:ascii="Times New Roman" w:hAnsi="Times New Roman"/>
          <w:i w:val="0"/>
          <w:iCs w:val="0"/>
          <w:noProof/>
          <w:sz w:val="24"/>
          <w:szCs w:val="24"/>
          <w:lang w:val="ro-RO"/>
        </w:rPr>
        <w:t>erga omnes,</w:t>
      </w:r>
      <w:r w:rsidR="00CB2982" w:rsidRPr="00E21CB9">
        <w:rPr>
          <w:rFonts w:ascii="Times New Roman" w:hAnsi="Times New Roman"/>
          <w:i/>
          <w:iCs/>
          <w:noProof/>
          <w:sz w:val="24"/>
          <w:szCs w:val="24"/>
          <w:lang w:val="ro-RO"/>
        </w:rPr>
        <w:t xml:space="preserve"> o realizează CCR. Teoretic, competențele diferite ale celor două categorii de instanțe le-ar apăra de coliziuni. Cu toate acestea, realitatea demonstrează că astfel de coliziuni pot avea loc. De asemenea, chiar dacă jurisprudența CCR constituită în scurtul timp care a trecut de la aderarea României la UE (la scară istorică, desigur), a precizat unele limite între competența instanței constituționale și </w:t>
      </w:r>
      <w:r w:rsidR="00CB2982" w:rsidRPr="00E21CB9">
        <w:rPr>
          <w:rFonts w:ascii="Times New Roman" w:hAnsi="Times New Roman"/>
          <w:i/>
          <w:iCs/>
          <w:noProof/>
          <w:sz w:val="24"/>
          <w:szCs w:val="24"/>
          <w:lang w:val="ro-RO"/>
        </w:rPr>
        <w:lastRenderedPageBreak/>
        <w:t>cea a instanțelor judecătorești în aplicarea dreptului UE, acestea nu sunt clar consolidate</w:t>
      </w:r>
      <w:r w:rsidR="006F16B3" w:rsidRPr="00E21CB9">
        <w:rPr>
          <w:rFonts w:ascii="Times New Roman" w:hAnsi="Times New Roman"/>
          <w:i/>
          <w:iCs/>
          <w:noProof/>
          <w:sz w:val="24"/>
          <w:szCs w:val="24"/>
          <w:lang w:val="ro-RO"/>
        </w:rPr>
        <w:t xml:space="preserve">. </w:t>
      </w:r>
      <w:r w:rsidR="003E7812" w:rsidRPr="00E21CB9">
        <w:rPr>
          <w:rFonts w:ascii="Times New Roman" w:hAnsi="Times New Roman"/>
          <w:noProof/>
          <w:sz w:val="24"/>
          <w:szCs w:val="24"/>
          <w:lang w:val="ro-RO"/>
        </w:rPr>
        <w:t>Autoarea</w:t>
      </w:r>
      <w:r w:rsidRPr="00E21CB9">
        <w:rPr>
          <w:rFonts w:ascii="Times New Roman" w:hAnsi="Times New Roman"/>
          <w:i/>
          <w:iCs/>
          <w:noProof/>
          <w:sz w:val="24"/>
          <w:szCs w:val="24"/>
          <w:lang w:val="ro-RO"/>
        </w:rPr>
        <w:t xml:space="preserve"> </w:t>
      </w:r>
      <w:r w:rsidRPr="00E21CB9">
        <w:rPr>
          <w:rFonts w:ascii="Times New Roman" w:hAnsi="Times New Roman"/>
          <w:noProof/>
          <w:sz w:val="24"/>
          <w:szCs w:val="24"/>
          <w:lang w:val="ro-RO"/>
        </w:rPr>
        <w:t>remarc</w:t>
      </w:r>
      <w:r w:rsidR="003E7812" w:rsidRPr="00E21CB9">
        <w:rPr>
          <w:rFonts w:ascii="Times New Roman" w:hAnsi="Times New Roman"/>
          <w:noProof/>
          <w:sz w:val="24"/>
          <w:szCs w:val="24"/>
          <w:lang w:val="ro-RO"/>
        </w:rPr>
        <w:t>ă</w:t>
      </w:r>
      <w:r w:rsidRPr="00E21CB9">
        <w:rPr>
          <w:rFonts w:ascii="Times New Roman" w:hAnsi="Times New Roman"/>
          <w:noProof/>
          <w:sz w:val="24"/>
          <w:szCs w:val="24"/>
          <w:lang w:val="ro-RO"/>
        </w:rPr>
        <w:t xml:space="preserve"> </w:t>
      </w:r>
      <w:r w:rsidR="00AC3CB4" w:rsidRPr="00E21CB9">
        <w:rPr>
          <w:rFonts w:ascii="Times New Roman" w:hAnsi="Times New Roman"/>
          <w:noProof/>
          <w:sz w:val="24"/>
          <w:szCs w:val="24"/>
          <w:lang w:val="ro-RO"/>
        </w:rPr>
        <w:t xml:space="preserve"> și neajunsurile pe care le presupune acest mecanism, deja sesizate de CCR</w:t>
      </w:r>
      <w:r w:rsidR="00CB2982" w:rsidRPr="00E21CB9">
        <w:rPr>
          <w:rFonts w:ascii="Times New Roman" w:hAnsi="Times New Roman"/>
          <w:noProof/>
          <w:sz w:val="24"/>
          <w:szCs w:val="24"/>
          <w:lang w:val="ro-RO"/>
        </w:rPr>
        <w:t xml:space="preserve"> </w:t>
      </w:r>
      <w:r w:rsidR="00AC3CB4" w:rsidRPr="00E21CB9">
        <w:rPr>
          <w:rFonts w:ascii="Times New Roman" w:hAnsi="Times New Roman"/>
          <w:noProof/>
          <w:sz w:val="24"/>
          <w:szCs w:val="24"/>
          <w:lang w:val="ro-RO"/>
        </w:rPr>
        <w:t>care</w:t>
      </w:r>
      <w:r w:rsidR="00CB2982" w:rsidRPr="00E21CB9">
        <w:rPr>
          <w:rFonts w:ascii="Times New Roman" w:hAnsi="Times New Roman"/>
          <w:i/>
          <w:iCs/>
          <w:noProof/>
          <w:sz w:val="24"/>
          <w:szCs w:val="24"/>
          <w:lang w:val="ro-RO"/>
        </w:rPr>
        <w:t xml:space="preserve">, </w:t>
      </w:r>
      <w:r w:rsidR="00CB2982" w:rsidRPr="00E21CB9">
        <w:rPr>
          <w:rFonts w:ascii="Times New Roman" w:hAnsi="Times New Roman"/>
          <w:noProof/>
          <w:sz w:val="24"/>
          <w:szCs w:val="24"/>
          <w:lang w:val="ro-RO"/>
        </w:rPr>
        <w:t>prin</w:t>
      </w:r>
      <w:r w:rsidRPr="00E21CB9">
        <w:rPr>
          <w:rFonts w:ascii="Times New Roman" w:hAnsi="Times New Roman"/>
          <w:noProof/>
          <w:sz w:val="24"/>
          <w:szCs w:val="24"/>
          <w:lang w:val="ro-RO"/>
        </w:rPr>
        <w:t xml:space="preserve"> Decizia </w:t>
      </w:r>
      <w:r w:rsidR="006B3ADA">
        <w:rPr>
          <w:rFonts w:ascii="Times New Roman" w:hAnsi="Times New Roman"/>
          <w:noProof/>
          <w:sz w:val="24"/>
          <w:szCs w:val="24"/>
          <w:lang w:val="ro-RO"/>
        </w:rPr>
        <w:t xml:space="preserve">nr. </w:t>
      </w:r>
      <w:r w:rsidRPr="00E21CB9">
        <w:rPr>
          <w:rFonts w:ascii="Times New Roman" w:hAnsi="Times New Roman"/>
          <w:noProof/>
          <w:sz w:val="24"/>
          <w:szCs w:val="24"/>
          <w:lang w:val="ro-RO"/>
        </w:rPr>
        <w:t>390/2021</w:t>
      </w:r>
      <w:r w:rsidR="00CB2982" w:rsidRPr="00E21CB9">
        <w:rPr>
          <w:rFonts w:ascii="Times New Roman" w:hAnsi="Times New Roman"/>
          <w:noProof/>
          <w:sz w:val="24"/>
          <w:szCs w:val="24"/>
          <w:lang w:val="ro-RO"/>
        </w:rPr>
        <w:t xml:space="preserve">,  a  </w:t>
      </w:r>
      <w:r w:rsidR="005C0A50" w:rsidRPr="00E21CB9">
        <w:rPr>
          <w:rFonts w:ascii="Times New Roman" w:hAnsi="Times New Roman"/>
          <w:noProof/>
          <w:sz w:val="24"/>
          <w:szCs w:val="24"/>
          <w:lang w:val="ro-RO"/>
        </w:rPr>
        <w:t>reținut</w:t>
      </w:r>
      <w:r w:rsidR="00CB2982" w:rsidRPr="00E21CB9">
        <w:rPr>
          <w:rFonts w:ascii="Times New Roman" w:hAnsi="Times New Roman"/>
          <w:noProof/>
          <w:sz w:val="24"/>
          <w:szCs w:val="24"/>
          <w:lang w:val="ro-RO"/>
        </w:rPr>
        <w:t xml:space="preserve"> </w:t>
      </w:r>
      <w:r w:rsidR="00AC3CB4" w:rsidRPr="00E21CB9">
        <w:rPr>
          <w:rFonts w:ascii="Times New Roman" w:hAnsi="Times New Roman"/>
          <w:noProof/>
          <w:sz w:val="24"/>
          <w:szCs w:val="24"/>
          <w:lang w:val="ro-RO"/>
        </w:rPr>
        <w:t>c</w:t>
      </w:r>
      <w:r w:rsidR="00537573" w:rsidRPr="00E21CB9">
        <w:rPr>
          <w:rFonts w:ascii="Times New Roman" w:hAnsi="Times New Roman"/>
          <w:noProof/>
          <w:sz w:val="24"/>
          <w:szCs w:val="24"/>
          <w:lang w:val="ro-RO"/>
        </w:rPr>
        <w:t>ă</w:t>
      </w:r>
      <w:r w:rsidR="00AC3CB4" w:rsidRPr="00E21CB9">
        <w:rPr>
          <w:rFonts w:ascii="Times New Roman" w:hAnsi="Times New Roman"/>
          <w:noProof/>
          <w:sz w:val="24"/>
          <w:szCs w:val="24"/>
          <w:lang w:val="ro-RO"/>
        </w:rPr>
        <w:t xml:space="preserve"> astfel </w:t>
      </w:r>
      <w:r w:rsidR="00537573" w:rsidRPr="00E21CB9">
        <w:rPr>
          <w:rFonts w:ascii="Times New Roman" w:hAnsi="Times New Roman"/>
          <w:noProof/>
          <w:sz w:val="24"/>
          <w:szCs w:val="24"/>
          <w:lang w:val="ro-RO"/>
        </w:rPr>
        <w:t>s-ar crea o</w:t>
      </w:r>
      <w:r w:rsidR="00CB2982" w:rsidRPr="00E21CB9">
        <w:rPr>
          <w:rFonts w:ascii="Times New Roman" w:hAnsi="Times New Roman"/>
          <w:noProof/>
          <w:sz w:val="24"/>
          <w:szCs w:val="24"/>
          <w:lang w:val="ro-RO"/>
        </w:rPr>
        <w:t> insecurit</w:t>
      </w:r>
      <w:r w:rsidR="00537573" w:rsidRPr="00E21CB9">
        <w:rPr>
          <w:rFonts w:ascii="Times New Roman" w:hAnsi="Times New Roman"/>
          <w:noProof/>
          <w:sz w:val="24"/>
          <w:szCs w:val="24"/>
          <w:lang w:val="ro-RO"/>
        </w:rPr>
        <w:t>ate</w:t>
      </w:r>
      <w:r w:rsidR="00CB2982" w:rsidRPr="00E21CB9">
        <w:rPr>
          <w:rFonts w:ascii="Times New Roman" w:hAnsi="Times New Roman"/>
          <w:noProof/>
          <w:sz w:val="24"/>
          <w:szCs w:val="24"/>
          <w:lang w:val="ro-RO"/>
        </w:rPr>
        <w:t xml:space="preserve"> juridic</w:t>
      </w:r>
      <w:r w:rsidR="00537573" w:rsidRPr="00E21CB9">
        <w:rPr>
          <w:rFonts w:ascii="Times New Roman" w:hAnsi="Times New Roman"/>
          <w:noProof/>
          <w:sz w:val="24"/>
          <w:szCs w:val="24"/>
          <w:lang w:val="ro-RO"/>
        </w:rPr>
        <w:t>ă</w:t>
      </w:r>
      <w:r w:rsidRPr="00E21CB9">
        <w:rPr>
          <w:rFonts w:ascii="Times New Roman" w:hAnsi="Times New Roman"/>
          <w:noProof/>
          <w:sz w:val="24"/>
          <w:szCs w:val="24"/>
          <w:lang w:val="ro-RO"/>
        </w:rPr>
        <w:t xml:space="preserve"> ce ar pune în pericol principiul statului de drept</w:t>
      </w:r>
      <w:r w:rsidR="003E7812" w:rsidRPr="00E21CB9">
        <w:rPr>
          <w:rFonts w:ascii="Times New Roman" w:hAnsi="Times New Roman"/>
          <w:noProof/>
          <w:sz w:val="24"/>
          <w:szCs w:val="24"/>
          <w:lang w:val="ro-RO"/>
        </w:rPr>
        <w:t xml:space="preserve">, concluzionând că </w:t>
      </w:r>
      <w:r w:rsidR="003E7812" w:rsidRPr="00E21CB9">
        <w:rPr>
          <w:noProof/>
          <w:lang w:val="ro-RO"/>
        </w:rPr>
        <w:t xml:space="preserve"> </w:t>
      </w:r>
      <w:r w:rsidR="003E7812" w:rsidRPr="00E21CB9">
        <w:rPr>
          <w:rStyle w:val="Strong"/>
          <w:rFonts w:ascii="Times New Roman" w:hAnsi="Times New Roman"/>
          <w:b w:val="0"/>
          <w:bCs w:val="0"/>
          <w:i/>
          <w:iCs/>
          <w:noProof/>
          <w:sz w:val="24"/>
          <w:szCs w:val="24"/>
          <w:lang w:val="ro-RO"/>
        </w:rPr>
        <w:t>întrebarea preliminară</w:t>
      </w:r>
      <w:r w:rsidR="003E7812" w:rsidRPr="00E21CB9">
        <w:rPr>
          <w:rFonts w:ascii="Times New Roman" w:hAnsi="Times New Roman"/>
          <w:b/>
          <w:bCs/>
          <w:i/>
          <w:iCs/>
          <w:noProof/>
          <w:sz w:val="24"/>
          <w:szCs w:val="24"/>
          <w:lang w:val="ro-RO"/>
        </w:rPr>
        <w:t xml:space="preserve"> </w:t>
      </w:r>
      <w:r w:rsidR="003E7812" w:rsidRPr="00E21CB9">
        <w:rPr>
          <w:rStyle w:val="Strong"/>
          <w:rFonts w:ascii="Times New Roman" w:hAnsi="Times New Roman"/>
          <w:b w:val="0"/>
          <w:bCs w:val="0"/>
          <w:i/>
          <w:iCs/>
          <w:noProof/>
          <w:sz w:val="24"/>
          <w:szCs w:val="24"/>
          <w:lang w:val="ro-RO"/>
        </w:rPr>
        <w:t>nu rezolvă toate conflictele</w:t>
      </w:r>
      <w:r w:rsidR="003E7812" w:rsidRPr="00E21CB9">
        <w:rPr>
          <w:rFonts w:ascii="Times New Roman" w:hAnsi="Times New Roman"/>
          <w:i/>
          <w:iCs/>
          <w:noProof/>
          <w:sz w:val="24"/>
          <w:szCs w:val="24"/>
          <w:lang w:val="ro-RO"/>
        </w:rPr>
        <w:t xml:space="preserve"> ba, uneori, creează conflicte dacă instanțele de pe cele două niveluri se poziționează de o manieră prea autoritară</w:t>
      </w:r>
      <w:r w:rsidR="003E7812" w:rsidRPr="00E21CB9">
        <w:rPr>
          <w:noProof/>
          <w:lang w:val="ro-RO"/>
        </w:rPr>
        <w:t xml:space="preserve">. </w:t>
      </w:r>
      <w:r w:rsidR="00FD3A5C" w:rsidRPr="006B3ADA">
        <w:rPr>
          <w:rFonts w:ascii="Times New Roman" w:hAnsi="Times New Roman"/>
          <w:noProof/>
          <w:sz w:val="24"/>
          <w:szCs w:val="24"/>
          <w:lang w:val="ro-RO"/>
        </w:rPr>
        <w:t>În plus,</w:t>
      </w:r>
      <w:r w:rsidR="00FD3A5C" w:rsidRPr="00E21CB9">
        <w:rPr>
          <w:noProof/>
          <w:lang w:val="ro-RO"/>
        </w:rPr>
        <w:t xml:space="preserve"> </w:t>
      </w:r>
      <w:r w:rsidR="00FD3A5C" w:rsidRPr="00E21CB9">
        <w:rPr>
          <w:rFonts w:ascii="Times New Roman" w:hAnsi="Times New Roman"/>
          <w:noProof/>
          <w:sz w:val="24"/>
          <w:szCs w:val="24"/>
          <w:lang w:val="ro-RO"/>
        </w:rPr>
        <w:t xml:space="preserve"> </w:t>
      </w:r>
      <w:r w:rsidR="00FD3A5C" w:rsidRPr="00E21CB9">
        <w:rPr>
          <w:rFonts w:ascii="Times New Roman" w:hAnsi="Times New Roman"/>
          <w:i/>
          <w:iCs/>
          <w:noProof/>
          <w:sz w:val="24"/>
          <w:szCs w:val="24"/>
          <w:lang w:val="ro-RO"/>
        </w:rPr>
        <w:t>aplicarea deciziilor CJUE în soluționarea trimiterilor preliminare a devenit sau poate deveni temă de dispute pe orizontală în statele membre, între instanțele constituționale și cele judecătorești, așa cum s-a întâmplat, de exemplu, în Italia, în saga” Tarico, sau, mai recent, în România, în cauzele referitoare la reglementarea Secției pentru Investigarea Infracțiunilor din Justiție.</w:t>
      </w:r>
      <w:r w:rsidR="00FD3A5C" w:rsidRPr="00E21CB9">
        <w:rPr>
          <w:rFonts w:ascii="Times New Roman" w:hAnsi="Times New Roman"/>
          <w:noProof/>
          <w:sz w:val="24"/>
          <w:szCs w:val="24"/>
          <w:lang w:val="ro-RO"/>
        </w:rPr>
        <w:t xml:space="preserve"> </w:t>
      </w:r>
    </w:p>
    <w:p w14:paraId="158D3850" w14:textId="2E761681" w:rsidR="00FD3A5C" w:rsidRPr="00E21CB9" w:rsidRDefault="003E7812"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Michael Bobek</w:t>
      </w:r>
      <w:r w:rsidR="00FD3A5C" w:rsidRPr="00E21CB9">
        <w:rPr>
          <w:rStyle w:val="FootnoteReference"/>
          <w:rFonts w:ascii="Times New Roman" w:hAnsi="Times New Roman"/>
          <w:noProof/>
          <w:sz w:val="24"/>
          <w:szCs w:val="24"/>
          <w:lang w:val="ro-RO"/>
        </w:rPr>
        <w:footnoteReference w:id="21"/>
      </w:r>
      <w:r w:rsidRPr="00E21CB9">
        <w:rPr>
          <w:rFonts w:ascii="Times New Roman" w:hAnsi="Times New Roman"/>
          <w:noProof/>
          <w:sz w:val="24"/>
          <w:szCs w:val="24"/>
          <w:lang w:val="ro-RO"/>
        </w:rPr>
        <w:t xml:space="preserve"> arăta că </w:t>
      </w:r>
      <w:r w:rsidR="00FD3A5C" w:rsidRPr="00E21CB9">
        <w:rPr>
          <w:rFonts w:ascii="Times New Roman" w:hAnsi="Times New Roman"/>
          <w:i/>
          <w:iCs/>
          <w:noProof/>
          <w:sz w:val="24"/>
          <w:szCs w:val="24"/>
          <w:lang w:val="ro-RO"/>
        </w:rPr>
        <w:t>î</w:t>
      </w:r>
      <w:r w:rsidRPr="00E21CB9">
        <w:rPr>
          <w:rFonts w:ascii="Times New Roman" w:hAnsi="Times New Roman"/>
          <w:i/>
          <w:iCs/>
          <w:noProof/>
          <w:sz w:val="24"/>
          <w:szCs w:val="24"/>
          <w:lang w:val="ro-RO"/>
        </w:rPr>
        <w:t>n mediile mai puțin stabile și șlefuite, procedura trimiterii preliminare poate deveni instrument pentru atac direct și deschis la autoritatea instanțelor superioar</w:t>
      </w:r>
      <w:r w:rsidR="00FD3A5C" w:rsidRPr="00E21CB9">
        <w:rPr>
          <w:rFonts w:ascii="Times New Roman" w:hAnsi="Times New Roman"/>
          <w:i/>
          <w:iCs/>
          <w:noProof/>
          <w:sz w:val="24"/>
          <w:szCs w:val="24"/>
          <w:lang w:val="ro-RO"/>
        </w:rPr>
        <w:t>e.</w:t>
      </w:r>
      <w:r w:rsidRPr="00E21CB9">
        <w:rPr>
          <w:rFonts w:ascii="Times New Roman" w:hAnsi="Times New Roman"/>
          <w:noProof/>
          <w:sz w:val="24"/>
          <w:szCs w:val="24"/>
          <w:lang w:val="ro-RO"/>
        </w:rPr>
        <w:t xml:space="preserve"> </w:t>
      </w:r>
      <w:r w:rsidR="0014614B" w:rsidRPr="00E21CB9">
        <w:rPr>
          <w:rFonts w:ascii="Times New Roman" w:hAnsi="Times New Roman"/>
          <w:noProof/>
          <w:sz w:val="24"/>
          <w:szCs w:val="24"/>
          <w:lang w:val="ro-RO"/>
        </w:rPr>
        <w:t xml:space="preserve">Fără prea multe ocolișuri, putem afirma că aceasta pare o descriere </w:t>
      </w:r>
      <w:r w:rsidR="009978CE" w:rsidRPr="00E21CB9">
        <w:rPr>
          <w:rFonts w:ascii="Times New Roman" w:hAnsi="Times New Roman"/>
          <w:noProof/>
          <w:sz w:val="24"/>
          <w:szCs w:val="24"/>
          <w:lang w:val="ro-RO"/>
        </w:rPr>
        <w:t>fidelă a situației</w:t>
      </w:r>
      <w:r w:rsidR="0014614B" w:rsidRPr="00E21CB9">
        <w:rPr>
          <w:rFonts w:ascii="Times New Roman" w:hAnsi="Times New Roman"/>
          <w:noProof/>
          <w:sz w:val="24"/>
          <w:szCs w:val="24"/>
          <w:lang w:val="ro-RO"/>
        </w:rPr>
        <w:t xml:space="preserve"> </w:t>
      </w:r>
      <w:r w:rsidR="009978CE" w:rsidRPr="00E21CB9">
        <w:rPr>
          <w:rFonts w:ascii="Times New Roman" w:hAnsi="Times New Roman"/>
          <w:noProof/>
          <w:sz w:val="24"/>
          <w:szCs w:val="24"/>
          <w:lang w:val="ro-RO"/>
        </w:rPr>
        <w:t>actuale din</w:t>
      </w:r>
      <w:r w:rsidR="0014614B" w:rsidRPr="00E21CB9">
        <w:rPr>
          <w:rFonts w:ascii="Times New Roman" w:hAnsi="Times New Roman"/>
          <w:noProof/>
          <w:sz w:val="24"/>
          <w:szCs w:val="24"/>
          <w:lang w:val="ro-RO"/>
        </w:rPr>
        <w:t xml:space="preserve"> România.</w:t>
      </w:r>
    </w:p>
    <w:p w14:paraId="1B3B287C" w14:textId="7DD9236D" w:rsidR="00ED1313" w:rsidRPr="00E21CB9" w:rsidRDefault="005E6B6A" w:rsidP="00F10A47">
      <w:pPr>
        <w:spacing w:after="200" w:line="276" w:lineRule="auto"/>
        <w:jc w:val="both"/>
        <w:rPr>
          <w:rFonts w:ascii="Times New Roman" w:hAnsi="Times New Roman"/>
          <w:b/>
          <w:i/>
          <w:iCs/>
          <w:noProof/>
          <w:sz w:val="24"/>
          <w:szCs w:val="24"/>
          <w:lang w:val="ro-RO" w:eastAsia="ro-RO"/>
        </w:rPr>
      </w:pPr>
      <w:r w:rsidRPr="00E21CB9">
        <w:rPr>
          <w:rFonts w:ascii="Times New Roman" w:hAnsi="Times New Roman"/>
          <w:b/>
          <w:noProof/>
          <w:sz w:val="24"/>
          <w:szCs w:val="24"/>
          <w:lang w:val="ro-RO" w:eastAsia="ro-RO"/>
        </w:rPr>
        <w:t xml:space="preserve">Problema </w:t>
      </w:r>
      <w:r w:rsidRPr="00E21CB9">
        <w:rPr>
          <w:rFonts w:ascii="Times New Roman" w:hAnsi="Times New Roman"/>
          <w:b/>
          <w:i/>
          <w:iCs/>
          <w:noProof/>
          <w:sz w:val="24"/>
          <w:szCs w:val="24"/>
          <w:lang w:val="ro-RO" w:eastAsia="ro-RO"/>
        </w:rPr>
        <w:t>Kompetenz-Kompetenz</w:t>
      </w:r>
    </w:p>
    <w:p w14:paraId="0E310FCE" w14:textId="5A93C173" w:rsidR="005E6B6A" w:rsidRPr="00E21CB9" w:rsidRDefault="005E6B6A" w:rsidP="00F10A47">
      <w:pPr>
        <w:spacing w:after="200" w:line="276" w:lineRule="auto"/>
        <w:jc w:val="both"/>
        <w:rPr>
          <w:rFonts w:ascii="Times New Roman" w:hAnsi="Times New Roman"/>
          <w:bCs/>
          <w:noProof/>
          <w:sz w:val="24"/>
          <w:szCs w:val="24"/>
          <w:lang w:val="ro-RO" w:eastAsia="ro-RO"/>
        </w:rPr>
      </w:pPr>
      <w:r w:rsidRPr="00E21CB9">
        <w:rPr>
          <w:rFonts w:ascii="Times New Roman" w:hAnsi="Times New Roman"/>
          <w:bCs/>
          <w:noProof/>
          <w:sz w:val="24"/>
          <w:szCs w:val="24"/>
          <w:lang w:val="ro-RO" w:eastAsia="ro-RO"/>
        </w:rPr>
        <w:t xml:space="preserve">Să admitem </w:t>
      </w:r>
      <w:r w:rsidRPr="00E21CB9">
        <w:rPr>
          <w:rFonts w:ascii="Times New Roman" w:hAnsi="Times New Roman"/>
          <w:bCs/>
          <w:i/>
          <w:iCs/>
          <w:noProof/>
          <w:sz w:val="24"/>
          <w:szCs w:val="24"/>
          <w:lang w:val="ro-RO" w:eastAsia="ro-RO"/>
        </w:rPr>
        <w:t xml:space="preserve">arguendo </w:t>
      </w:r>
      <w:r w:rsidRPr="00E21CB9">
        <w:rPr>
          <w:rFonts w:ascii="Times New Roman" w:hAnsi="Times New Roman"/>
          <w:bCs/>
          <w:noProof/>
          <w:sz w:val="24"/>
          <w:szCs w:val="24"/>
          <w:lang w:val="ro-RO" w:eastAsia="ro-RO"/>
        </w:rPr>
        <w:t xml:space="preserve">că CJUE va </w:t>
      </w:r>
      <w:r w:rsidR="00432B3B" w:rsidRPr="00E21CB9">
        <w:rPr>
          <w:rFonts w:ascii="Times New Roman" w:hAnsi="Times New Roman"/>
          <w:bCs/>
          <w:noProof/>
          <w:sz w:val="24"/>
          <w:szCs w:val="24"/>
          <w:lang w:val="ro-RO" w:eastAsia="ro-RO"/>
        </w:rPr>
        <w:t>dori să impună</w:t>
      </w:r>
      <w:r w:rsidRPr="00E21CB9">
        <w:rPr>
          <w:rFonts w:ascii="Times New Roman" w:hAnsi="Times New Roman"/>
          <w:bCs/>
          <w:noProof/>
          <w:sz w:val="24"/>
          <w:szCs w:val="24"/>
          <w:lang w:val="ro-RO" w:eastAsia="ro-RO"/>
        </w:rPr>
        <w:t xml:space="preserve"> înlăturarea de la aplicare a deciziilor CCR, proclamând supremația dreptului UE asupra Constituției României și de această dată</w:t>
      </w:r>
      <w:r w:rsidR="00545AD9" w:rsidRPr="00E21CB9">
        <w:rPr>
          <w:rFonts w:ascii="Times New Roman" w:hAnsi="Times New Roman"/>
          <w:bCs/>
          <w:noProof/>
          <w:sz w:val="24"/>
          <w:szCs w:val="24"/>
          <w:lang w:val="ro-RO" w:eastAsia="ro-RO"/>
        </w:rPr>
        <w:t>,</w:t>
      </w:r>
      <w:r w:rsidR="00690F02" w:rsidRPr="00E21CB9">
        <w:rPr>
          <w:rFonts w:ascii="Times New Roman" w:hAnsi="Times New Roman"/>
          <w:bCs/>
          <w:noProof/>
          <w:sz w:val="24"/>
          <w:szCs w:val="24"/>
          <w:lang w:val="ro-RO" w:eastAsia="ro-RO"/>
        </w:rPr>
        <w:t xml:space="preserve"> transformând rezerva</w:t>
      </w:r>
      <w:r w:rsidR="00545AD9" w:rsidRPr="00E21CB9">
        <w:rPr>
          <w:rFonts w:ascii="Times New Roman" w:hAnsi="Times New Roman"/>
          <w:bCs/>
          <w:noProof/>
          <w:sz w:val="24"/>
          <w:szCs w:val="24"/>
          <w:lang w:val="ro-RO" w:eastAsia="ro-RO"/>
        </w:rPr>
        <w:t xml:space="preserve"> </w:t>
      </w:r>
      <w:r w:rsidR="00690F02" w:rsidRPr="00E21CB9">
        <w:rPr>
          <w:rFonts w:ascii="Times New Roman" w:hAnsi="Times New Roman"/>
          <w:bCs/>
          <w:noProof/>
          <w:sz w:val="24"/>
          <w:szCs w:val="24"/>
          <w:lang w:val="ro-RO" w:eastAsia="ro-RO"/>
        </w:rPr>
        <w:t xml:space="preserve">de </w:t>
      </w:r>
      <w:r w:rsidR="00545AD9" w:rsidRPr="00E21CB9">
        <w:rPr>
          <w:rFonts w:ascii="Times New Roman" w:hAnsi="Times New Roman"/>
          <w:bCs/>
          <w:noProof/>
          <w:sz w:val="24"/>
          <w:szCs w:val="24"/>
          <w:lang w:val="ro-RO" w:eastAsia="ro-RO"/>
        </w:rPr>
        <w:t>la p</w:t>
      </w:r>
      <w:r w:rsidR="006B3ADA">
        <w:rPr>
          <w:rFonts w:ascii="Times New Roman" w:hAnsi="Times New Roman"/>
          <w:bCs/>
          <w:noProof/>
          <w:sz w:val="24"/>
          <w:szCs w:val="24"/>
          <w:lang w:val="ro-RO" w:eastAsia="ro-RO"/>
        </w:rPr>
        <w:t>unctul</w:t>
      </w:r>
      <w:r w:rsidR="00545AD9" w:rsidRPr="00E21CB9">
        <w:rPr>
          <w:rFonts w:ascii="Times New Roman" w:hAnsi="Times New Roman"/>
          <w:bCs/>
          <w:noProof/>
          <w:sz w:val="24"/>
          <w:szCs w:val="24"/>
          <w:lang w:val="ro-RO" w:eastAsia="ro-RO"/>
        </w:rPr>
        <w:t xml:space="preserve"> 209 din </w:t>
      </w:r>
      <w:r w:rsidR="00545AD9" w:rsidRPr="00E21CB9">
        <w:rPr>
          <w:rFonts w:ascii="Times New Roman" w:hAnsi="Times New Roman"/>
          <w:bCs/>
          <w:i/>
          <w:iCs/>
          <w:noProof/>
          <w:sz w:val="24"/>
          <w:szCs w:val="24"/>
          <w:lang w:val="ro-RO" w:eastAsia="ro-RO"/>
        </w:rPr>
        <w:t>Euro Box</w:t>
      </w:r>
      <w:r w:rsidR="00690F02" w:rsidRPr="00E21CB9">
        <w:rPr>
          <w:rFonts w:ascii="Times New Roman" w:hAnsi="Times New Roman"/>
          <w:bCs/>
          <w:i/>
          <w:iCs/>
          <w:noProof/>
          <w:sz w:val="24"/>
          <w:szCs w:val="24"/>
          <w:lang w:val="ro-RO" w:eastAsia="ro-RO"/>
        </w:rPr>
        <w:t xml:space="preserve"> </w:t>
      </w:r>
      <w:r w:rsidR="00690F02" w:rsidRPr="00E21CB9">
        <w:rPr>
          <w:rFonts w:ascii="Times New Roman" w:hAnsi="Times New Roman"/>
          <w:bCs/>
          <w:noProof/>
          <w:sz w:val="24"/>
          <w:szCs w:val="24"/>
          <w:lang w:val="ro-RO" w:eastAsia="ro-RO"/>
        </w:rPr>
        <w:t xml:space="preserve">în </w:t>
      </w:r>
      <w:r w:rsidR="00690F02" w:rsidRPr="00E21CB9">
        <w:rPr>
          <w:rFonts w:ascii="Times New Roman" w:hAnsi="Times New Roman"/>
          <w:bCs/>
          <w:i/>
          <w:iCs/>
          <w:noProof/>
          <w:sz w:val="24"/>
          <w:szCs w:val="24"/>
          <w:lang w:val="ro-RO" w:eastAsia="ro-RO"/>
        </w:rPr>
        <w:t>obiter dictum</w:t>
      </w:r>
      <w:r w:rsidR="00545AD9" w:rsidRPr="00E21CB9">
        <w:rPr>
          <w:rFonts w:ascii="Times New Roman" w:hAnsi="Times New Roman"/>
          <w:bCs/>
          <w:noProof/>
          <w:sz w:val="24"/>
          <w:szCs w:val="24"/>
          <w:lang w:val="ro-RO" w:eastAsia="ro-RO"/>
        </w:rPr>
        <w:t>.</w:t>
      </w:r>
      <w:r w:rsidRPr="00E21CB9">
        <w:rPr>
          <w:rFonts w:ascii="Times New Roman" w:hAnsi="Times New Roman"/>
          <w:bCs/>
          <w:noProof/>
          <w:sz w:val="24"/>
          <w:szCs w:val="24"/>
          <w:lang w:val="ro-RO" w:eastAsia="ro-RO"/>
        </w:rPr>
        <w:t xml:space="preserve"> </w:t>
      </w:r>
      <w:r w:rsidR="00F266BE">
        <w:rPr>
          <w:rFonts w:ascii="Times New Roman" w:hAnsi="Times New Roman"/>
          <w:bCs/>
          <w:noProof/>
          <w:sz w:val="24"/>
          <w:szCs w:val="24"/>
          <w:lang w:val="ro-RO" w:eastAsia="ro-RO"/>
        </w:rPr>
        <w:t>Plecând de la</w:t>
      </w:r>
      <w:r w:rsidRPr="00F266BE">
        <w:rPr>
          <w:rFonts w:ascii="Times New Roman" w:hAnsi="Times New Roman"/>
          <w:bCs/>
          <w:noProof/>
          <w:sz w:val="24"/>
          <w:szCs w:val="24"/>
          <w:lang w:val="ro-RO" w:eastAsia="ro-RO"/>
        </w:rPr>
        <w:t xml:space="preserve"> declarația fermă a Curții Constituționale a României exprimată </w:t>
      </w:r>
      <w:r w:rsidR="006B3ADA" w:rsidRPr="00F266BE">
        <w:rPr>
          <w:rFonts w:ascii="Times New Roman" w:hAnsi="Times New Roman"/>
          <w:bCs/>
          <w:noProof/>
          <w:sz w:val="24"/>
          <w:szCs w:val="24"/>
          <w:lang w:val="ro-RO" w:eastAsia="ro-RO"/>
        </w:rPr>
        <w:t>prin decizii</w:t>
      </w:r>
      <w:r w:rsidR="00F266BE">
        <w:rPr>
          <w:rFonts w:ascii="Times New Roman" w:hAnsi="Times New Roman"/>
          <w:bCs/>
          <w:noProof/>
          <w:sz w:val="24"/>
          <w:szCs w:val="24"/>
          <w:lang w:val="ro-RO" w:eastAsia="ro-RO"/>
        </w:rPr>
        <w:t>le amintite privind supremația Constituției</w:t>
      </w:r>
      <w:r w:rsidR="006B3ADA" w:rsidRPr="00F266BE">
        <w:rPr>
          <w:rFonts w:ascii="Times New Roman" w:hAnsi="Times New Roman"/>
          <w:bCs/>
          <w:noProof/>
          <w:sz w:val="24"/>
          <w:szCs w:val="24"/>
          <w:lang w:val="ro-RO" w:eastAsia="ro-RO"/>
        </w:rPr>
        <w:t xml:space="preserve">, dar și </w:t>
      </w:r>
      <w:r w:rsidRPr="00F266BE">
        <w:rPr>
          <w:rFonts w:ascii="Times New Roman" w:hAnsi="Times New Roman"/>
          <w:bCs/>
          <w:noProof/>
          <w:sz w:val="24"/>
          <w:szCs w:val="24"/>
          <w:lang w:val="ro-RO" w:eastAsia="ro-RO"/>
        </w:rPr>
        <w:t xml:space="preserve">printr-un instrument ce ar putea fi calificat ca unul de </w:t>
      </w:r>
      <w:r w:rsidRPr="00F266BE">
        <w:rPr>
          <w:rFonts w:ascii="Times New Roman" w:hAnsi="Times New Roman"/>
          <w:bCs/>
          <w:i/>
          <w:iCs/>
          <w:noProof/>
          <w:sz w:val="24"/>
          <w:szCs w:val="24"/>
          <w:lang w:val="ro-RO" w:eastAsia="ro-RO"/>
        </w:rPr>
        <w:t xml:space="preserve">soft-low </w:t>
      </w:r>
      <w:r w:rsidRPr="00F266BE">
        <w:rPr>
          <w:rFonts w:ascii="Times New Roman" w:hAnsi="Times New Roman"/>
          <w:bCs/>
          <w:noProof/>
          <w:sz w:val="24"/>
          <w:szCs w:val="24"/>
          <w:lang w:val="ro-RO" w:eastAsia="ro-RO"/>
        </w:rPr>
        <w:t>- comunicatul din 23 decembrie</w:t>
      </w:r>
      <w:r w:rsidR="00545AD9" w:rsidRPr="00F266BE">
        <w:rPr>
          <w:rFonts w:ascii="Times New Roman" w:hAnsi="Times New Roman"/>
          <w:bCs/>
          <w:noProof/>
          <w:sz w:val="24"/>
          <w:szCs w:val="24"/>
          <w:lang w:val="ro-RO" w:eastAsia="ro-RO"/>
        </w:rPr>
        <w:t xml:space="preserve"> </w:t>
      </w:r>
      <w:r w:rsidRPr="00F266BE">
        <w:rPr>
          <w:rFonts w:ascii="Times New Roman" w:hAnsi="Times New Roman"/>
          <w:bCs/>
          <w:noProof/>
          <w:sz w:val="24"/>
          <w:szCs w:val="24"/>
          <w:lang w:val="ro-RO" w:eastAsia="ro-RO"/>
        </w:rPr>
        <w:t xml:space="preserve">2021 -, să presupunem că </w:t>
      </w:r>
      <w:r w:rsidR="00F266BE">
        <w:rPr>
          <w:rFonts w:ascii="Times New Roman" w:hAnsi="Times New Roman"/>
          <w:bCs/>
          <w:noProof/>
          <w:sz w:val="24"/>
          <w:szCs w:val="24"/>
          <w:lang w:val="ro-RO" w:eastAsia="ro-RO"/>
        </w:rPr>
        <w:t>CCR</w:t>
      </w:r>
      <w:r w:rsidRPr="00F266BE">
        <w:rPr>
          <w:rFonts w:ascii="Times New Roman" w:hAnsi="Times New Roman"/>
          <w:bCs/>
          <w:noProof/>
          <w:sz w:val="24"/>
          <w:szCs w:val="24"/>
          <w:lang w:val="ro-RO" w:eastAsia="ro-RO"/>
        </w:rPr>
        <w:t xml:space="preserve"> și</w:t>
      </w:r>
      <w:r w:rsidR="00432B3B" w:rsidRPr="00F266BE">
        <w:rPr>
          <w:rFonts w:ascii="Times New Roman" w:hAnsi="Times New Roman"/>
          <w:bCs/>
          <w:noProof/>
          <w:sz w:val="24"/>
          <w:szCs w:val="24"/>
          <w:lang w:val="ro-RO" w:eastAsia="ro-RO"/>
        </w:rPr>
        <w:t>-</w:t>
      </w:r>
      <w:r w:rsidRPr="00F266BE">
        <w:rPr>
          <w:rFonts w:ascii="Times New Roman" w:hAnsi="Times New Roman"/>
          <w:bCs/>
          <w:noProof/>
          <w:sz w:val="24"/>
          <w:szCs w:val="24"/>
          <w:lang w:val="ro-RO" w:eastAsia="ro-RO"/>
        </w:rPr>
        <w:t xml:space="preserve">ar întări poziția </w:t>
      </w:r>
      <w:r w:rsidR="00F266BE">
        <w:rPr>
          <w:rFonts w:ascii="Times New Roman" w:hAnsi="Times New Roman"/>
          <w:bCs/>
          <w:noProof/>
          <w:sz w:val="24"/>
          <w:szCs w:val="24"/>
          <w:lang w:val="ro-RO" w:eastAsia="ro-RO"/>
        </w:rPr>
        <w:t xml:space="preserve">în mod particular în materia drepturilor fundamentale </w:t>
      </w:r>
      <w:r w:rsidRPr="00F266BE">
        <w:rPr>
          <w:rFonts w:ascii="Times New Roman" w:hAnsi="Times New Roman"/>
          <w:bCs/>
          <w:noProof/>
          <w:sz w:val="24"/>
          <w:szCs w:val="24"/>
          <w:lang w:val="ro-RO" w:eastAsia="ro-RO"/>
        </w:rPr>
        <w:t>printr-o decizie pronunțată în cadrul unei excepții de neconstituționalitate sau printr-o trimitere preliminară activată într-o astfel de procedură.</w:t>
      </w:r>
    </w:p>
    <w:p w14:paraId="28D9256C" w14:textId="72688D66" w:rsidR="005E6B6A" w:rsidRPr="00E21CB9" w:rsidRDefault="00555858" w:rsidP="00F10A47">
      <w:pPr>
        <w:spacing w:after="200" w:line="276" w:lineRule="auto"/>
        <w:jc w:val="both"/>
        <w:rPr>
          <w:rFonts w:ascii="Times New Roman" w:hAnsi="Times New Roman"/>
          <w:bCs/>
          <w:noProof/>
          <w:sz w:val="24"/>
          <w:szCs w:val="24"/>
          <w:lang w:val="ro-RO" w:eastAsia="ro-RO"/>
        </w:rPr>
      </w:pPr>
      <w:r>
        <w:rPr>
          <w:rFonts w:ascii="Times New Roman" w:hAnsi="Times New Roman"/>
          <w:bCs/>
          <w:noProof/>
          <w:sz w:val="24"/>
          <w:szCs w:val="24"/>
          <w:lang w:val="ro-RO" w:eastAsia="ro-RO"/>
        </w:rPr>
        <w:t>Chiar și fără această consolidare, dar cu atât mai mult în cazul în care ar interveni, c</w:t>
      </w:r>
      <w:r w:rsidR="005E6B6A" w:rsidRPr="00E21CB9">
        <w:rPr>
          <w:rFonts w:ascii="Times New Roman" w:hAnsi="Times New Roman"/>
          <w:bCs/>
          <w:noProof/>
          <w:sz w:val="24"/>
          <w:szCs w:val="24"/>
          <w:lang w:val="ro-RO" w:eastAsia="ro-RO"/>
        </w:rPr>
        <w:t>ine este arbitrul final într-o luptă în care fiecare dintre protagoniști își declară competența exclusivă?</w:t>
      </w:r>
    </w:p>
    <w:p w14:paraId="6D153F97" w14:textId="4F53CAE1" w:rsidR="00BF4613" w:rsidRPr="00E21CB9" w:rsidRDefault="00BF4613" w:rsidP="00F10A47">
      <w:pPr>
        <w:spacing w:after="200" w:line="276" w:lineRule="auto"/>
        <w:jc w:val="both"/>
        <w:rPr>
          <w:rFonts w:ascii="Times New Roman" w:hAnsi="Times New Roman"/>
          <w:bCs/>
          <w:noProof/>
          <w:sz w:val="24"/>
          <w:szCs w:val="24"/>
          <w:lang w:val="ro-RO" w:eastAsia="ro-RO"/>
        </w:rPr>
      </w:pPr>
      <w:r w:rsidRPr="00E21CB9">
        <w:rPr>
          <w:rFonts w:ascii="Times New Roman" w:hAnsi="Times New Roman"/>
          <w:bCs/>
          <w:noProof/>
          <w:sz w:val="24"/>
          <w:szCs w:val="24"/>
          <w:lang w:val="ro-RO" w:eastAsia="ro-RO"/>
        </w:rPr>
        <w:t>Tot ce este clar până acum conform doctrinei</w:t>
      </w:r>
      <w:r w:rsidRPr="00E21CB9">
        <w:rPr>
          <w:rStyle w:val="FootnoteReference"/>
          <w:rFonts w:ascii="Times New Roman" w:hAnsi="Times New Roman"/>
          <w:bCs/>
          <w:noProof/>
          <w:sz w:val="24"/>
          <w:szCs w:val="24"/>
          <w:lang w:val="ro-RO" w:eastAsia="ro-RO"/>
        </w:rPr>
        <w:footnoteReference w:id="22"/>
      </w:r>
      <w:r w:rsidRPr="00E21CB9">
        <w:rPr>
          <w:rFonts w:ascii="Times New Roman" w:hAnsi="Times New Roman"/>
          <w:bCs/>
          <w:noProof/>
          <w:sz w:val="24"/>
          <w:szCs w:val="24"/>
          <w:lang w:val="ro-RO" w:eastAsia="ro-RO"/>
        </w:rPr>
        <w:t xml:space="preserve"> este că Tratatul de la Lisabona nu a rezolvat această chestiune și că nimic nu sprijină pretențiile UE de a decide asupra limitelor finale ale competenței.</w:t>
      </w:r>
    </w:p>
    <w:p w14:paraId="5C9B01E3" w14:textId="53C03236" w:rsidR="00BF4613" w:rsidRPr="00E21CB9" w:rsidRDefault="00BF4613" w:rsidP="00F10A47">
      <w:pPr>
        <w:spacing w:after="200" w:line="276" w:lineRule="auto"/>
        <w:jc w:val="both"/>
        <w:rPr>
          <w:rFonts w:ascii="Times New Roman" w:hAnsi="Times New Roman"/>
          <w:bCs/>
          <w:noProof/>
          <w:sz w:val="24"/>
          <w:szCs w:val="24"/>
          <w:lang w:val="ro-RO" w:eastAsia="ro-RO"/>
        </w:rPr>
      </w:pPr>
      <w:r w:rsidRPr="00E21CB9">
        <w:rPr>
          <w:rFonts w:ascii="Times New Roman" w:hAnsi="Times New Roman"/>
          <w:bCs/>
          <w:noProof/>
          <w:sz w:val="24"/>
          <w:szCs w:val="24"/>
          <w:lang w:val="ro-RO" w:eastAsia="ro-RO"/>
        </w:rPr>
        <w:t xml:space="preserve">Dimpotrivă, se constată că </w:t>
      </w:r>
      <w:r w:rsidR="00432B3B" w:rsidRPr="00E21CB9">
        <w:rPr>
          <w:rFonts w:ascii="Times New Roman" w:hAnsi="Times New Roman"/>
          <w:bCs/>
          <w:noProof/>
          <w:sz w:val="24"/>
          <w:szCs w:val="24"/>
          <w:lang w:val="ro-RO" w:eastAsia="ro-RO"/>
        </w:rPr>
        <w:t xml:space="preserve">tot mai des </w:t>
      </w:r>
      <w:r w:rsidRPr="00E21CB9">
        <w:rPr>
          <w:rFonts w:ascii="Times New Roman" w:hAnsi="Times New Roman"/>
          <w:bCs/>
          <w:noProof/>
          <w:sz w:val="24"/>
          <w:szCs w:val="24"/>
          <w:lang w:val="ro-RO" w:eastAsia="ro-RO"/>
        </w:rPr>
        <w:t xml:space="preserve">sunt propuse </w:t>
      </w:r>
      <w:r w:rsidR="00432B3B" w:rsidRPr="00E21CB9">
        <w:rPr>
          <w:rFonts w:ascii="Times New Roman" w:hAnsi="Times New Roman"/>
          <w:bCs/>
          <w:noProof/>
          <w:sz w:val="24"/>
          <w:szCs w:val="24"/>
          <w:lang w:val="ro-RO" w:eastAsia="ro-RO"/>
        </w:rPr>
        <w:t xml:space="preserve">în doctrină </w:t>
      </w:r>
      <w:r w:rsidRPr="00E21CB9">
        <w:rPr>
          <w:rFonts w:ascii="Times New Roman" w:hAnsi="Times New Roman"/>
          <w:bCs/>
          <w:noProof/>
          <w:sz w:val="24"/>
          <w:szCs w:val="24"/>
          <w:lang w:val="ro-RO" w:eastAsia="ro-RO"/>
        </w:rPr>
        <w:t>variante diferite de pluralism constituțional ca alternativă la monismul centrat pe UE</w:t>
      </w:r>
      <w:r w:rsidRPr="00E21CB9">
        <w:rPr>
          <w:rStyle w:val="FootnoteReference"/>
          <w:rFonts w:ascii="Times New Roman" w:hAnsi="Times New Roman"/>
          <w:bCs/>
          <w:noProof/>
          <w:sz w:val="24"/>
          <w:szCs w:val="24"/>
          <w:lang w:val="ro-RO" w:eastAsia="ro-RO"/>
        </w:rPr>
        <w:footnoteReference w:id="23"/>
      </w:r>
      <w:r w:rsidRPr="00E21CB9">
        <w:rPr>
          <w:rFonts w:ascii="Times New Roman" w:hAnsi="Times New Roman"/>
          <w:bCs/>
          <w:noProof/>
          <w:sz w:val="24"/>
          <w:szCs w:val="24"/>
          <w:lang w:val="ro-RO" w:eastAsia="ro-RO"/>
        </w:rPr>
        <w:t xml:space="preserve">. </w:t>
      </w:r>
    </w:p>
    <w:p w14:paraId="19ABD22A" w14:textId="56B901A9" w:rsidR="00BF4613" w:rsidRPr="005645AE" w:rsidRDefault="00BF4613" w:rsidP="00F10A47">
      <w:pPr>
        <w:spacing w:after="200" w:line="276" w:lineRule="auto"/>
        <w:jc w:val="both"/>
        <w:rPr>
          <w:rFonts w:ascii="Times New Roman" w:hAnsi="Times New Roman"/>
          <w:bCs/>
          <w:noProof/>
          <w:sz w:val="24"/>
          <w:szCs w:val="24"/>
          <w:lang w:val="ro-RO" w:eastAsia="ro-RO"/>
        </w:rPr>
      </w:pPr>
      <w:r w:rsidRPr="00E21CB9">
        <w:rPr>
          <w:rFonts w:ascii="Times New Roman" w:hAnsi="Times New Roman"/>
          <w:bCs/>
          <w:noProof/>
          <w:sz w:val="24"/>
          <w:szCs w:val="24"/>
          <w:lang w:val="ro-RO" w:eastAsia="ro-RO"/>
        </w:rPr>
        <w:t>Judecătorul național c</w:t>
      </w:r>
      <w:r w:rsidR="000D7F20" w:rsidRPr="00E21CB9">
        <w:rPr>
          <w:rFonts w:ascii="Times New Roman" w:hAnsi="Times New Roman"/>
          <w:bCs/>
          <w:noProof/>
          <w:sz w:val="24"/>
          <w:szCs w:val="24"/>
          <w:lang w:val="ro-RO" w:eastAsia="ro-RO"/>
        </w:rPr>
        <w:t>are, desigur,</w:t>
      </w:r>
      <w:r w:rsidRPr="00E21CB9">
        <w:rPr>
          <w:rFonts w:ascii="Times New Roman" w:hAnsi="Times New Roman"/>
          <w:bCs/>
          <w:noProof/>
          <w:sz w:val="24"/>
          <w:szCs w:val="24"/>
          <w:lang w:val="ro-RO" w:eastAsia="ro-RO"/>
        </w:rPr>
        <w:t xml:space="preserve"> aplică direct dreptul UE, dar</w:t>
      </w:r>
      <w:r w:rsidR="00432B3B" w:rsidRPr="00E21CB9">
        <w:rPr>
          <w:rFonts w:ascii="Times New Roman" w:hAnsi="Times New Roman"/>
          <w:bCs/>
          <w:noProof/>
          <w:sz w:val="24"/>
          <w:szCs w:val="24"/>
          <w:lang w:val="ro-RO" w:eastAsia="ro-RO"/>
        </w:rPr>
        <w:t>,</w:t>
      </w:r>
      <w:r w:rsidRPr="00E21CB9">
        <w:rPr>
          <w:rFonts w:ascii="Times New Roman" w:hAnsi="Times New Roman"/>
          <w:bCs/>
          <w:noProof/>
          <w:sz w:val="24"/>
          <w:szCs w:val="24"/>
          <w:lang w:val="ro-RO" w:eastAsia="ro-RO"/>
        </w:rPr>
        <w:t xml:space="preserve"> în egală măsură</w:t>
      </w:r>
      <w:r w:rsidR="005645AE">
        <w:rPr>
          <w:rFonts w:ascii="Times New Roman" w:hAnsi="Times New Roman"/>
          <w:bCs/>
          <w:noProof/>
          <w:sz w:val="24"/>
          <w:szCs w:val="24"/>
          <w:lang w:val="ro-RO" w:eastAsia="ro-RO"/>
        </w:rPr>
        <w:t>,</w:t>
      </w:r>
      <w:r w:rsidRPr="00E21CB9">
        <w:rPr>
          <w:rFonts w:ascii="Times New Roman" w:hAnsi="Times New Roman"/>
          <w:bCs/>
          <w:noProof/>
          <w:sz w:val="24"/>
          <w:szCs w:val="24"/>
          <w:lang w:val="ro-RO" w:eastAsia="ro-RO"/>
        </w:rPr>
        <w:t xml:space="preserve"> și dreptul intern și dreptul convențional</w:t>
      </w:r>
      <w:r w:rsidR="00432B3B" w:rsidRPr="00E21CB9">
        <w:rPr>
          <w:rFonts w:ascii="Times New Roman" w:hAnsi="Times New Roman"/>
          <w:bCs/>
          <w:noProof/>
          <w:sz w:val="24"/>
          <w:szCs w:val="24"/>
          <w:lang w:val="ro-RO" w:eastAsia="ro-RO"/>
        </w:rPr>
        <w:t>,</w:t>
      </w:r>
      <w:r w:rsidRPr="00E21CB9">
        <w:rPr>
          <w:rFonts w:ascii="Times New Roman" w:hAnsi="Times New Roman"/>
          <w:bCs/>
          <w:noProof/>
          <w:sz w:val="24"/>
          <w:szCs w:val="24"/>
          <w:lang w:val="ro-RO" w:eastAsia="ro-RO"/>
        </w:rPr>
        <w:t xml:space="preserve"> va fi cel care trebuie să decidă</w:t>
      </w:r>
      <w:r w:rsidR="00F266BE">
        <w:rPr>
          <w:rFonts w:ascii="Times New Roman" w:hAnsi="Times New Roman"/>
          <w:bCs/>
          <w:noProof/>
          <w:sz w:val="24"/>
          <w:szCs w:val="24"/>
          <w:lang w:val="ro-RO" w:eastAsia="ro-RO"/>
        </w:rPr>
        <w:t>, respectând competențele fiecăruia dintre actori.</w:t>
      </w:r>
      <w:r w:rsidR="000D7F20" w:rsidRPr="00E21CB9">
        <w:rPr>
          <w:rFonts w:ascii="Times New Roman" w:hAnsi="Times New Roman"/>
          <w:bCs/>
          <w:noProof/>
          <w:sz w:val="24"/>
          <w:szCs w:val="24"/>
          <w:lang w:val="ro-RO" w:eastAsia="ro-RO"/>
        </w:rPr>
        <w:t xml:space="preserve"> </w:t>
      </w:r>
      <w:r w:rsidR="000D7F20" w:rsidRPr="00E21CB9">
        <w:rPr>
          <w:rFonts w:ascii="Times New Roman" w:hAnsi="Times New Roman"/>
          <w:bCs/>
          <w:noProof/>
          <w:sz w:val="24"/>
          <w:szCs w:val="24"/>
          <w:lang w:val="ro-RO" w:eastAsia="ro-RO"/>
        </w:rPr>
        <w:lastRenderedPageBreak/>
        <w:t xml:space="preserve">După cum concluzionau </w:t>
      </w:r>
      <w:r w:rsidR="000D7F20" w:rsidRPr="00E21CB9">
        <w:rPr>
          <w:rFonts w:ascii="Times New Roman" w:hAnsi="Times New Roman"/>
          <w:noProof/>
          <w:sz w:val="24"/>
          <w:szCs w:val="24"/>
          <w:lang w:val="ro-RO"/>
        </w:rPr>
        <w:t>Paul Craig și Gráinne de Búrca</w:t>
      </w:r>
      <w:r w:rsidR="000D7F20" w:rsidRPr="00E21CB9">
        <w:rPr>
          <w:rStyle w:val="FootnoteReference"/>
          <w:rFonts w:ascii="Times New Roman" w:hAnsi="Times New Roman"/>
          <w:noProof/>
          <w:sz w:val="24"/>
          <w:szCs w:val="24"/>
          <w:lang w:val="ro-RO"/>
        </w:rPr>
        <w:footnoteReference w:id="24"/>
      </w:r>
      <w:r w:rsidR="000D7F20" w:rsidRPr="00E21CB9">
        <w:rPr>
          <w:rFonts w:ascii="Times New Roman" w:hAnsi="Times New Roman"/>
          <w:noProof/>
          <w:sz w:val="24"/>
          <w:szCs w:val="24"/>
          <w:lang w:val="ro-RO"/>
        </w:rPr>
        <w:t xml:space="preserve">, </w:t>
      </w:r>
      <w:r w:rsidR="000D7F20" w:rsidRPr="00E21CB9">
        <w:rPr>
          <w:rFonts w:ascii="Times New Roman" w:hAnsi="Times New Roman"/>
          <w:i/>
          <w:iCs/>
          <w:noProof/>
          <w:sz w:val="24"/>
          <w:szCs w:val="24"/>
          <w:lang w:val="ro-RO"/>
        </w:rPr>
        <w:t>dacă instanța națională este mulțumită cu interpretarea oferită de către CJUE valorilor constituționale relevante, toate bune și frumoase. Dacă nu este așa și diferența de opinie este gravă, aceasta ar putea să nu fie dispusă să sacrifice acele valori și interpretarea acestora încastrate în constituția sa națională (…)</w:t>
      </w:r>
      <w:r w:rsidR="005645AE">
        <w:rPr>
          <w:rFonts w:ascii="Times New Roman" w:hAnsi="Times New Roman"/>
          <w:noProof/>
          <w:sz w:val="24"/>
          <w:szCs w:val="24"/>
          <w:lang w:val="ro-RO"/>
        </w:rPr>
        <w:t>.</w:t>
      </w:r>
    </w:p>
    <w:p w14:paraId="484E1EC4" w14:textId="07C4F21F" w:rsidR="005E6B6A" w:rsidRPr="00E21CB9" w:rsidRDefault="000D7F20" w:rsidP="00F10A47">
      <w:pPr>
        <w:spacing w:after="200" w:line="276" w:lineRule="auto"/>
        <w:jc w:val="both"/>
        <w:rPr>
          <w:rFonts w:ascii="Times New Roman" w:hAnsi="Times New Roman"/>
          <w:b/>
          <w:noProof/>
          <w:sz w:val="24"/>
          <w:szCs w:val="24"/>
          <w:lang w:val="ro-RO" w:eastAsia="ro-RO"/>
        </w:rPr>
      </w:pPr>
      <w:r w:rsidRPr="00E21CB9">
        <w:rPr>
          <w:rFonts w:ascii="Times New Roman" w:hAnsi="Times New Roman"/>
          <w:b/>
          <w:noProof/>
          <w:sz w:val="24"/>
          <w:szCs w:val="24"/>
          <w:lang w:val="ro-RO" w:eastAsia="ro-RO"/>
        </w:rPr>
        <w:t>Concluzii</w:t>
      </w:r>
    </w:p>
    <w:p w14:paraId="7951B546" w14:textId="54291FCA" w:rsidR="0001440B" w:rsidRPr="00E21CB9" w:rsidRDefault="009E733A" w:rsidP="00F10A47">
      <w:pPr>
        <w:spacing w:after="200" w:line="276" w:lineRule="auto"/>
        <w:jc w:val="both"/>
        <w:rPr>
          <w:rFonts w:ascii="Times New Roman" w:hAnsi="Times New Roman"/>
          <w:b/>
          <w:noProof/>
          <w:sz w:val="24"/>
          <w:szCs w:val="24"/>
          <w:lang w:val="ro-RO" w:eastAsia="ro-RO"/>
        </w:rPr>
      </w:pPr>
      <w:r w:rsidRPr="00E21CB9">
        <w:rPr>
          <w:rFonts w:ascii="Times New Roman" w:hAnsi="Times New Roman"/>
          <w:b/>
          <w:noProof/>
          <w:sz w:val="24"/>
          <w:szCs w:val="24"/>
          <w:lang w:val="ro-RO" w:eastAsia="ro-RO"/>
        </w:rPr>
        <w:t xml:space="preserve">Supremația </w:t>
      </w:r>
      <w:r w:rsidR="00181469" w:rsidRPr="00E21CB9">
        <w:rPr>
          <w:rFonts w:ascii="Times New Roman" w:hAnsi="Times New Roman"/>
          <w:b/>
          <w:noProof/>
          <w:sz w:val="24"/>
          <w:szCs w:val="24"/>
          <w:lang w:val="ro-RO" w:eastAsia="ro-RO"/>
        </w:rPr>
        <w:t xml:space="preserve">nelimitată a </w:t>
      </w:r>
      <w:r w:rsidRPr="00E21CB9">
        <w:rPr>
          <w:rFonts w:ascii="Times New Roman" w:hAnsi="Times New Roman"/>
          <w:b/>
          <w:noProof/>
          <w:sz w:val="24"/>
          <w:szCs w:val="24"/>
          <w:lang w:val="ro-RO" w:eastAsia="ro-RO"/>
        </w:rPr>
        <w:t>dreptului Uniunii Europene asupra constituțiilor naționale nu este acceptată de majoritatea statelor membre, instanțele naționale localizând autoritatea dreptului UE în ordinea juridică internă în cadrul instituit de constituția națională.</w:t>
      </w:r>
    </w:p>
    <w:p w14:paraId="01881FCB" w14:textId="35B4CCFA" w:rsidR="009E733A" w:rsidRPr="00E21CB9" w:rsidRDefault="009E733A" w:rsidP="00F10A47">
      <w:pPr>
        <w:spacing w:after="200" w:line="276" w:lineRule="auto"/>
        <w:jc w:val="both"/>
        <w:rPr>
          <w:rFonts w:ascii="Times New Roman" w:hAnsi="Times New Roman"/>
          <w:b/>
          <w:noProof/>
          <w:sz w:val="24"/>
          <w:szCs w:val="24"/>
          <w:lang w:val="ro-RO" w:eastAsia="ro-RO"/>
        </w:rPr>
      </w:pPr>
      <w:r w:rsidRPr="00E21CB9">
        <w:rPr>
          <w:rFonts w:ascii="Times New Roman" w:hAnsi="Times New Roman"/>
          <w:b/>
          <w:noProof/>
          <w:sz w:val="24"/>
          <w:szCs w:val="24"/>
          <w:lang w:val="ro-RO" w:eastAsia="ro-RO"/>
        </w:rPr>
        <w:t>România a pornit pe drumul</w:t>
      </w:r>
      <w:r w:rsidR="00181469" w:rsidRPr="00E21CB9">
        <w:rPr>
          <w:rFonts w:ascii="Times New Roman" w:hAnsi="Times New Roman"/>
          <w:b/>
          <w:noProof/>
          <w:sz w:val="24"/>
          <w:szCs w:val="24"/>
          <w:lang w:val="ro-RO" w:eastAsia="ro-RO"/>
        </w:rPr>
        <w:t>,</w:t>
      </w:r>
      <w:r w:rsidRPr="00E21CB9">
        <w:rPr>
          <w:rFonts w:ascii="Times New Roman" w:hAnsi="Times New Roman"/>
          <w:b/>
          <w:noProof/>
          <w:sz w:val="24"/>
          <w:szCs w:val="24"/>
          <w:lang w:val="ro-RO" w:eastAsia="ro-RO"/>
        </w:rPr>
        <w:t xml:space="preserve"> bătătorit </w:t>
      </w:r>
      <w:r w:rsidR="00181469" w:rsidRPr="00E21CB9">
        <w:rPr>
          <w:rFonts w:ascii="Times New Roman" w:hAnsi="Times New Roman"/>
          <w:b/>
          <w:noProof/>
          <w:sz w:val="24"/>
          <w:szCs w:val="24"/>
          <w:lang w:val="ro-RO" w:eastAsia="ro-RO"/>
        </w:rPr>
        <w:t xml:space="preserve">totuși, </w:t>
      </w:r>
      <w:r w:rsidRPr="00E21CB9">
        <w:rPr>
          <w:rFonts w:ascii="Times New Roman" w:hAnsi="Times New Roman"/>
          <w:b/>
          <w:noProof/>
          <w:sz w:val="24"/>
          <w:szCs w:val="24"/>
          <w:lang w:val="ro-RO" w:eastAsia="ro-RO"/>
        </w:rPr>
        <w:t>al declarării limitelor supremației dreptului UE față de Constituție în domeniul drepturilor fundamentale</w:t>
      </w:r>
      <w:r w:rsidR="00181469" w:rsidRPr="00E21CB9">
        <w:rPr>
          <w:rFonts w:ascii="Times New Roman" w:hAnsi="Times New Roman"/>
          <w:b/>
          <w:noProof/>
          <w:sz w:val="24"/>
          <w:szCs w:val="24"/>
          <w:lang w:val="ro-RO" w:eastAsia="ro-RO"/>
        </w:rPr>
        <w:t xml:space="preserve">, fiind iminentă intervenția CCR, fără a exclude ca, în caz contrar, al pasivității voluntare a acestei curți sau al refuzului sesizării cu excepții de neconstituționalitate a tratatelor, judecătorii instanțelor </w:t>
      </w:r>
      <w:r w:rsidR="005645AE">
        <w:rPr>
          <w:rFonts w:ascii="Times New Roman" w:hAnsi="Times New Roman"/>
          <w:b/>
          <w:noProof/>
          <w:sz w:val="24"/>
          <w:szCs w:val="24"/>
          <w:lang w:val="ro-RO" w:eastAsia="ro-RO"/>
        </w:rPr>
        <w:t xml:space="preserve">naționale </w:t>
      </w:r>
      <w:r w:rsidR="00181469" w:rsidRPr="00E21CB9">
        <w:rPr>
          <w:rFonts w:ascii="Times New Roman" w:hAnsi="Times New Roman"/>
          <w:b/>
          <w:noProof/>
          <w:sz w:val="24"/>
          <w:szCs w:val="24"/>
          <w:lang w:val="ro-RO" w:eastAsia="ro-RO"/>
        </w:rPr>
        <w:t xml:space="preserve">să fie nevoiți să realizeze </w:t>
      </w:r>
      <w:r w:rsidR="00181469" w:rsidRPr="00E21CB9">
        <w:rPr>
          <w:rFonts w:ascii="Times New Roman" w:hAnsi="Times New Roman"/>
          <w:b/>
          <w:i/>
          <w:iCs/>
          <w:noProof/>
          <w:sz w:val="24"/>
          <w:szCs w:val="24"/>
          <w:lang w:val="ro-RO" w:eastAsia="ro-RO"/>
        </w:rPr>
        <w:t>pe cont propriu</w:t>
      </w:r>
      <w:r w:rsidR="00181469" w:rsidRPr="00E21CB9">
        <w:rPr>
          <w:rFonts w:ascii="Times New Roman" w:hAnsi="Times New Roman"/>
          <w:b/>
          <w:noProof/>
          <w:sz w:val="24"/>
          <w:szCs w:val="24"/>
          <w:lang w:val="ro-RO" w:eastAsia="ro-RO"/>
        </w:rPr>
        <w:t xml:space="preserve"> examenul supremației și să aleagă între diferite standarde de protecție a drepturilor fundamentale.</w:t>
      </w:r>
    </w:p>
    <w:p w14:paraId="10282AED" w14:textId="5F88F6C4" w:rsidR="0078347E" w:rsidRPr="00E21CB9" w:rsidRDefault="00BD017C" w:rsidP="00F10A47">
      <w:pPr>
        <w:spacing w:after="200" w:line="276" w:lineRule="auto"/>
        <w:jc w:val="both"/>
        <w:rPr>
          <w:rFonts w:ascii="Times New Roman" w:hAnsi="Times New Roman"/>
          <w:b/>
          <w:i/>
          <w:iCs/>
          <w:noProof/>
          <w:sz w:val="24"/>
          <w:szCs w:val="24"/>
          <w:lang w:val="ro-RO" w:eastAsia="ro-RO"/>
        </w:rPr>
      </w:pPr>
      <w:r w:rsidRPr="00E21CB9">
        <w:rPr>
          <w:rFonts w:ascii="Times New Roman" w:hAnsi="Times New Roman"/>
          <w:b/>
          <w:noProof/>
          <w:sz w:val="24"/>
          <w:szCs w:val="24"/>
          <w:lang w:val="ro-RO" w:eastAsia="ro-RO"/>
        </w:rPr>
        <w:t xml:space="preserve">Rămâne de văzut dacă CJUE își va asuma un asemenea reviriment și abandonarea liniei </w:t>
      </w:r>
      <w:r w:rsidRPr="00E21CB9">
        <w:rPr>
          <w:rFonts w:ascii="Times New Roman" w:hAnsi="Times New Roman"/>
          <w:b/>
          <w:i/>
          <w:iCs/>
          <w:noProof/>
          <w:sz w:val="24"/>
          <w:szCs w:val="24"/>
          <w:lang w:val="ro-RO" w:eastAsia="ro-RO"/>
        </w:rPr>
        <w:t>Taricco II</w:t>
      </w:r>
      <w:r w:rsidR="00F266BE">
        <w:rPr>
          <w:rFonts w:ascii="Times New Roman" w:hAnsi="Times New Roman"/>
          <w:b/>
          <w:noProof/>
          <w:sz w:val="24"/>
          <w:szCs w:val="24"/>
          <w:lang w:val="ro-RO" w:eastAsia="ro-RO"/>
        </w:rPr>
        <w:t>.</w:t>
      </w:r>
      <w:r w:rsidRPr="00E21CB9">
        <w:rPr>
          <w:rFonts w:ascii="Times New Roman" w:hAnsi="Times New Roman"/>
          <w:b/>
          <w:noProof/>
          <w:sz w:val="24"/>
          <w:szCs w:val="24"/>
          <w:lang w:val="ro-RO" w:eastAsia="ro-RO"/>
        </w:rPr>
        <w:t xml:space="preserve"> </w:t>
      </w:r>
      <w:r w:rsidR="00432B3B" w:rsidRPr="00E21CB9">
        <w:rPr>
          <w:rFonts w:ascii="Times New Roman" w:hAnsi="Times New Roman"/>
          <w:b/>
          <w:noProof/>
          <w:sz w:val="24"/>
          <w:szCs w:val="24"/>
          <w:lang w:val="ro-RO" w:eastAsia="ro-RO"/>
        </w:rPr>
        <w:t xml:space="preserve">Credem că nu aceasta va fi </w:t>
      </w:r>
      <w:r w:rsidR="00F536D2" w:rsidRPr="00E21CB9">
        <w:rPr>
          <w:rFonts w:ascii="Times New Roman" w:hAnsi="Times New Roman"/>
          <w:b/>
          <w:noProof/>
          <w:sz w:val="24"/>
          <w:szCs w:val="24"/>
          <w:lang w:val="ro-RO" w:eastAsia="ro-RO"/>
        </w:rPr>
        <w:t>soluția</w:t>
      </w:r>
      <w:r w:rsidR="00432B3B" w:rsidRPr="00E21CB9">
        <w:rPr>
          <w:rFonts w:ascii="Times New Roman" w:hAnsi="Times New Roman"/>
          <w:b/>
          <w:noProof/>
          <w:sz w:val="24"/>
          <w:szCs w:val="24"/>
          <w:lang w:val="ro-RO" w:eastAsia="ro-RO"/>
        </w:rPr>
        <w:t xml:space="preserve"> CJUE, mai ales că Directiva PIF instituie, după cum reținea o decizie internă</w:t>
      </w:r>
      <w:r w:rsidR="00432B3B" w:rsidRPr="00E21CB9">
        <w:rPr>
          <w:rStyle w:val="FootnoteReference"/>
          <w:rFonts w:ascii="Times New Roman" w:hAnsi="Times New Roman"/>
          <w:b/>
          <w:noProof/>
          <w:sz w:val="24"/>
          <w:szCs w:val="24"/>
          <w:lang w:val="ro-RO" w:eastAsia="ro-RO"/>
        </w:rPr>
        <w:footnoteReference w:id="25"/>
      </w:r>
      <w:r w:rsidR="00432B3B" w:rsidRPr="00E21CB9">
        <w:rPr>
          <w:rFonts w:ascii="Times New Roman" w:hAnsi="Times New Roman"/>
          <w:b/>
          <w:noProof/>
          <w:sz w:val="24"/>
          <w:szCs w:val="24"/>
          <w:lang w:val="ro-RO" w:eastAsia="ro-RO"/>
        </w:rPr>
        <w:t xml:space="preserve">, un nivel de protecție mai ridicat decât cel național. În plus, chiar </w:t>
      </w:r>
      <w:r w:rsidR="004A4E3B" w:rsidRPr="00E21CB9">
        <w:rPr>
          <w:rFonts w:ascii="Times New Roman" w:hAnsi="Times New Roman"/>
          <w:b/>
          <w:noProof/>
          <w:sz w:val="24"/>
          <w:szCs w:val="24"/>
          <w:lang w:val="ro-RO" w:eastAsia="ro-RO"/>
        </w:rPr>
        <w:t>Î</w:t>
      </w:r>
      <w:r w:rsidR="00432B3B" w:rsidRPr="00E21CB9">
        <w:rPr>
          <w:rFonts w:ascii="Times New Roman" w:hAnsi="Times New Roman"/>
          <w:b/>
          <w:noProof/>
          <w:sz w:val="24"/>
          <w:szCs w:val="24"/>
          <w:lang w:val="ro-RO" w:eastAsia="ro-RO"/>
        </w:rPr>
        <w:t xml:space="preserve">nalta Curte și-a întemeiat </w:t>
      </w:r>
      <w:r w:rsidR="00F536D2" w:rsidRPr="00E21CB9">
        <w:rPr>
          <w:rFonts w:ascii="Times New Roman" w:hAnsi="Times New Roman"/>
          <w:b/>
          <w:noProof/>
          <w:sz w:val="24"/>
          <w:szCs w:val="24"/>
          <w:lang w:val="ro-RO" w:eastAsia="ro-RO"/>
        </w:rPr>
        <w:t>decizia a cărei neaplicare</w:t>
      </w:r>
      <w:r w:rsidR="00F266BE">
        <w:rPr>
          <w:rFonts w:ascii="Times New Roman" w:hAnsi="Times New Roman"/>
          <w:b/>
          <w:noProof/>
          <w:sz w:val="24"/>
          <w:szCs w:val="24"/>
          <w:lang w:val="ro-RO" w:eastAsia="ro-RO"/>
        </w:rPr>
        <w:t xml:space="preserve"> s-ar urmări</w:t>
      </w:r>
      <w:r w:rsidR="00F536D2" w:rsidRPr="00E21CB9">
        <w:rPr>
          <w:rFonts w:ascii="Times New Roman" w:hAnsi="Times New Roman"/>
          <w:b/>
          <w:noProof/>
          <w:sz w:val="24"/>
          <w:szCs w:val="24"/>
          <w:lang w:val="ro-RO" w:eastAsia="ro-RO"/>
        </w:rPr>
        <w:t xml:space="preserve"> pe raționamentele CJUE din </w:t>
      </w:r>
      <w:r w:rsidR="00F536D2" w:rsidRPr="00E21CB9">
        <w:rPr>
          <w:rFonts w:ascii="Times New Roman" w:hAnsi="Times New Roman"/>
          <w:b/>
          <w:i/>
          <w:iCs/>
          <w:noProof/>
          <w:sz w:val="24"/>
          <w:szCs w:val="24"/>
          <w:lang w:val="ro-RO" w:eastAsia="ro-RO"/>
        </w:rPr>
        <w:t>Taricco II.</w:t>
      </w:r>
    </w:p>
    <w:p w14:paraId="2B5A4356" w14:textId="77777777" w:rsidR="00690F02" w:rsidRPr="00E21CB9" w:rsidRDefault="00690F02" w:rsidP="00F10A47">
      <w:pPr>
        <w:spacing w:after="200" w:line="276" w:lineRule="auto"/>
        <w:jc w:val="both"/>
        <w:rPr>
          <w:rFonts w:ascii="Times New Roman" w:hAnsi="Times New Roman"/>
          <w:b/>
          <w:bCs/>
          <w:noProof/>
          <w:sz w:val="24"/>
          <w:szCs w:val="24"/>
          <w:lang w:val="ro-RO"/>
        </w:rPr>
      </w:pPr>
    </w:p>
    <w:p w14:paraId="6D4F1802" w14:textId="77777777" w:rsidR="00690F02" w:rsidRPr="00E21CB9" w:rsidRDefault="00690F02" w:rsidP="00F10A47">
      <w:pPr>
        <w:spacing w:after="200" w:line="276" w:lineRule="auto"/>
        <w:jc w:val="both"/>
        <w:rPr>
          <w:rFonts w:ascii="Times New Roman" w:hAnsi="Times New Roman"/>
          <w:b/>
          <w:bCs/>
          <w:noProof/>
          <w:sz w:val="24"/>
          <w:szCs w:val="24"/>
          <w:lang w:val="ro-RO"/>
        </w:rPr>
      </w:pPr>
    </w:p>
    <w:p w14:paraId="00612A4C" w14:textId="742871C0" w:rsidR="00545AD9" w:rsidRPr="00E21CB9" w:rsidRDefault="00690F02" w:rsidP="00F10A47">
      <w:pPr>
        <w:spacing w:after="200" w:line="276" w:lineRule="auto"/>
        <w:jc w:val="both"/>
        <w:rPr>
          <w:rFonts w:ascii="Times New Roman" w:hAnsi="Times New Roman"/>
          <w:noProof/>
          <w:sz w:val="24"/>
          <w:szCs w:val="24"/>
          <w:lang w:val="ro-RO"/>
        </w:rPr>
      </w:pPr>
      <w:r w:rsidRPr="00E21CB9">
        <w:rPr>
          <w:rFonts w:ascii="Times New Roman" w:hAnsi="Times New Roman"/>
          <w:noProof/>
          <w:sz w:val="24"/>
          <w:szCs w:val="24"/>
          <w:lang w:val="ro-RO"/>
        </w:rPr>
        <w:t xml:space="preserve">Avocat </w:t>
      </w:r>
      <w:r w:rsidRPr="00E21CB9">
        <w:rPr>
          <w:rFonts w:ascii="Times New Roman" w:hAnsi="Times New Roman"/>
          <w:b/>
          <w:bCs/>
          <w:noProof/>
          <w:sz w:val="24"/>
          <w:szCs w:val="24"/>
          <w:lang w:val="ro-RO"/>
        </w:rPr>
        <w:t>Manuela Gornoviceanu</w:t>
      </w:r>
      <w:r w:rsidR="005645AE">
        <w:rPr>
          <w:rFonts w:ascii="Times New Roman" w:hAnsi="Times New Roman"/>
          <w:b/>
          <w:bCs/>
          <w:noProof/>
          <w:sz w:val="24"/>
          <w:szCs w:val="24"/>
          <w:lang w:val="ro-RO"/>
        </w:rPr>
        <w:t>,</w:t>
      </w:r>
      <w:r w:rsidRPr="00E21CB9">
        <w:rPr>
          <w:rFonts w:ascii="Times New Roman" w:hAnsi="Times New Roman"/>
          <w:b/>
          <w:bCs/>
          <w:noProof/>
          <w:sz w:val="24"/>
          <w:szCs w:val="24"/>
          <w:lang w:val="ro-RO"/>
        </w:rPr>
        <w:t xml:space="preserve"> </w:t>
      </w:r>
      <w:r w:rsidRPr="00E21CB9">
        <w:rPr>
          <w:rFonts w:ascii="Times New Roman" w:hAnsi="Times New Roman"/>
          <w:noProof/>
          <w:sz w:val="24"/>
          <w:szCs w:val="24"/>
          <w:lang w:val="ro-RO"/>
        </w:rPr>
        <w:t>Managing Associate Țuca Zbârcea &amp; Asociații</w:t>
      </w:r>
    </w:p>
    <w:p w14:paraId="6A6B950E" w14:textId="4EA0D846" w:rsidR="00690F02" w:rsidRPr="00E21CB9" w:rsidRDefault="00690F02" w:rsidP="00F10A47">
      <w:pPr>
        <w:spacing w:after="200" w:line="276" w:lineRule="auto"/>
        <w:jc w:val="both"/>
        <w:rPr>
          <w:rFonts w:ascii="Times New Roman" w:hAnsi="Times New Roman"/>
          <w:b/>
          <w:bCs/>
          <w:noProof/>
          <w:sz w:val="24"/>
          <w:szCs w:val="24"/>
          <w:lang w:val="ro-RO"/>
        </w:rPr>
      </w:pPr>
      <w:r w:rsidRPr="00E21CB9">
        <w:rPr>
          <w:rFonts w:ascii="Times New Roman" w:hAnsi="Times New Roman"/>
          <w:noProof/>
          <w:sz w:val="24"/>
          <w:szCs w:val="24"/>
          <w:lang w:val="ro-RO"/>
        </w:rPr>
        <w:t>Avocat</w:t>
      </w:r>
      <w:r w:rsidRPr="00E21CB9">
        <w:rPr>
          <w:rFonts w:ascii="Times New Roman" w:hAnsi="Times New Roman"/>
          <w:b/>
          <w:bCs/>
          <w:noProof/>
          <w:sz w:val="24"/>
          <w:szCs w:val="24"/>
          <w:lang w:val="ro-RO"/>
        </w:rPr>
        <w:t xml:space="preserve"> Silvia Uscov</w:t>
      </w:r>
      <w:r w:rsidR="005645AE">
        <w:rPr>
          <w:rFonts w:ascii="Times New Roman" w:hAnsi="Times New Roman"/>
          <w:b/>
          <w:bCs/>
          <w:noProof/>
          <w:sz w:val="24"/>
          <w:szCs w:val="24"/>
          <w:lang w:val="ro-RO"/>
        </w:rPr>
        <w:t>,</w:t>
      </w:r>
      <w:r w:rsidRPr="00E21CB9">
        <w:rPr>
          <w:rFonts w:ascii="Times New Roman" w:hAnsi="Times New Roman"/>
          <w:b/>
          <w:bCs/>
          <w:noProof/>
          <w:sz w:val="24"/>
          <w:szCs w:val="24"/>
          <w:lang w:val="ro-RO"/>
        </w:rPr>
        <w:t xml:space="preserve"> </w:t>
      </w:r>
      <w:r w:rsidRPr="00E21CB9">
        <w:rPr>
          <w:rFonts w:ascii="Times New Roman" w:eastAsia="Times New Roman" w:hAnsi="Times New Roman"/>
          <w:noProof/>
          <w:sz w:val="24"/>
          <w:szCs w:val="24"/>
          <w:lang w:val="ro-RO"/>
        </w:rPr>
        <w:t>Managing Partener USCOV Attorneys at law</w:t>
      </w:r>
    </w:p>
    <w:sectPr w:rsidR="00690F02" w:rsidRPr="00E21CB9" w:rsidSect="00107FA5">
      <w:headerReference w:type="default" r:id="rId8"/>
      <w:footerReference w:type="default" r:id="rId9"/>
      <w:pgSz w:w="12240" w:h="15840"/>
      <w:pgMar w:top="1636" w:right="1042" w:bottom="1821" w:left="1559"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1B2AE" w14:textId="77777777" w:rsidR="002D492A" w:rsidRDefault="002D492A" w:rsidP="00287681">
      <w:pPr>
        <w:spacing w:after="0" w:line="240" w:lineRule="auto"/>
      </w:pPr>
      <w:r>
        <w:separator/>
      </w:r>
    </w:p>
  </w:endnote>
  <w:endnote w:type="continuationSeparator" w:id="0">
    <w:p w14:paraId="5FB5E5EA" w14:textId="77777777" w:rsidR="002D492A" w:rsidRDefault="002D492A" w:rsidP="0028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Condensed">
    <w:charset w:val="00"/>
    <w:family w:val="auto"/>
    <w:pitch w:val="variable"/>
    <w:sig w:usb0="E0000AFF" w:usb1="5000217F" w:usb2="00000021" w:usb3="00000000" w:csb0="0000019F" w:csb1="00000000"/>
  </w:font>
  <w:font w:name="OpenSymbol">
    <w:charset w:val="00"/>
    <w:family w:val="auto"/>
    <w:pitch w:val="variable"/>
    <w:sig w:usb0="800000AF" w:usb1="1001ECEA" w:usb2="00000000" w:usb3="00000000" w:csb0="00000001" w:csb1="00000000"/>
  </w:font>
  <w:font w:name="Roboto">
    <w:panose1 w:val="02000000000000000000"/>
    <w:charset w:val="00"/>
    <w:family w:val="auto"/>
    <w:pitch w:val="variable"/>
    <w:sig w:usb0="E0000AFF" w:usb1="5000217F" w:usb2="00000021"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ora">
    <w:charset w:val="EE"/>
    <w:family w:val="auto"/>
    <w:pitch w:val="variable"/>
    <w:sig w:usb0="A00002FF" w:usb1="5000204B" w:usb2="00000000" w:usb3="00000000" w:csb0="00000097" w:csb1="00000000"/>
  </w:font>
  <w:font w:name="Geometria Light">
    <w:altName w:val="Arial"/>
    <w:panose1 w:val="00000000000000000000"/>
    <w:charset w:val="00"/>
    <w:family w:val="swiss"/>
    <w:notTrueType/>
    <w:pitch w:val="variable"/>
    <w:sig w:usb0="00000001" w:usb1="5000207B" w:usb2="00000020" w:usb3="00000000" w:csb0="00000097"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AA6C" w14:textId="77777777" w:rsidR="00314675" w:rsidRPr="004C39BF" w:rsidRDefault="00314675">
    <w:pPr>
      <w:pStyle w:val="Footer"/>
      <w:jc w:val="right"/>
      <w:rPr>
        <w:rFonts w:ascii="Times New Roman" w:hAnsi="Times New Roman"/>
      </w:rPr>
    </w:pPr>
    <w:r w:rsidRPr="004C39BF">
      <w:rPr>
        <w:rFonts w:ascii="Times New Roman" w:hAnsi="Times New Roman"/>
      </w:rPr>
      <w:t xml:space="preserve">Page </w:t>
    </w:r>
    <w:r w:rsidR="00F7762C" w:rsidRPr="004C39BF">
      <w:rPr>
        <w:rFonts w:ascii="Times New Roman" w:hAnsi="Times New Roman"/>
        <w:b/>
        <w:sz w:val="24"/>
        <w:szCs w:val="24"/>
      </w:rPr>
      <w:fldChar w:fldCharType="begin"/>
    </w:r>
    <w:r w:rsidRPr="004C39BF">
      <w:rPr>
        <w:rFonts w:ascii="Times New Roman" w:hAnsi="Times New Roman"/>
        <w:b/>
      </w:rPr>
      <w:instrText xml:space="preserve"> PAGE </w:instrText>
    </w:r>
    <w:r w:rsidR="00F7762C" w:rsidRPr="004C39BF">
      <w:rPr>
        <w:rFonts w:ascii="Times New Roman" w:hAnsi="Times New Roman"/>
        <w:b/>
        <w:sz w:val="24"/>
        <w:szCs w:val="24"/>
      </w:rPr>
      <w:fldChar w:fldCharType="separate"/>
    </w:r>
    <w:r w:rsidR="0047433D" w:rsidRPr="004C39BF">
      <w:rPr>
        <w:rFonts w:ascii="Times New Roman" w:hAnsi="Times New Roman"/>
        <w:b/>
        <w:noProof/>
      </w:rPr>
      <w:t>1</w:t>
    </w:r>
    <w:r w:rsidR="00F7762C" w:rsidRPr="004C39BF">
      <w:rPr>
        <w:rFonts w:ascii="Times New Roman" w:hAnsi="Times New Roman"/>
        <w:b/>
        <w:sz w:val="24"/>
        <w:szCs w:val="24"/>
      </w:rPr>
      <w:fldChar w:fldCharType="end"/>
    </w:r>
    <w:r w:rsidRPr="004C39BF">
      <w:rPr>
        <w:rFonts w:ascii="Times New Roman" w:hAnsi="Times New Roman"/>
      </w:rPr>
      <w:t xml:space="preserve"> of </w:t>
    </w:r>
    <w:r w:rsidR="00F7762C" w:rsidRPr="004C39BF">
      <w:rPr>
        <w:rFonts w:ascii="Times New Roman" w:hAnsi="Times New Roman"/>
        <w:b/>
        <w:sz w:val="24"/>
        <w:szCs w:val="24"/>
      </w:rPr>
      <w:fldChar w:fldCharType="begin"/>
    </w:r>
    <w:r w:rsidRPr="004C39BF">
      <w:rPr>
        <w:rFonts w:ascii="Times New Roman" w:hAnsi="Times New Roman"/>
        <w:b/>
      </w:rPr>
      <w:instrText xml:space="preserve"> NUMPAGES  </w:instrText>
    </w:r>
    <w:r w:rsidR="00F7762C" w:rsidRPr="004C39BF">
      <w:rPr>
        <w:rFonts w:ascii="Times New Roman" w:hAnsi="Times New Roman"/>
        <w:b/>
        <w:sz w:val="24"/>
        <w:szCs w:val="24"/>
      </w:rPr>
      <w:fldChar w:fldCharType="separate"/>
    </w:r>
    <w:r w:rsidR="0047433D" w:rsidRPr="004C39BF">
      <w:rPr>
        <w:rFonts w:ascii="Times New Roman" w:hAnsi="Times New Roman"/>
        <w:b/>
        <w:noProof/>
      </w:rPr>
      <w:t>1</w:t>
    </w:r>
    <w:r w:rsidR="00F7762C" w:rsidRPr="004C39BF">
      <w:rPr>
        <w:rFonts w:ascii="Times New Roman" w:hAnsi="Times New Roman"/>
        <w:b/>
        <w:sz w:val="24"/>
        <w:szCs w:val="24"/>
      </w:rPr>
      <w:fldChar w:fldCharType="end"/>
    </w:r>
  </w:p>
  <w:p w14:paraId="4162F716" w14:textId="77777777" w:rsidR="00DF06A4" w:rsidRDefault="00DF06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5079F" w14:textId="77777777" w:rsidR="002D492A" w:rsidRDefault="002D492A" w:rsidP="00287681">
      <w:pPr>
        <w:spacing w:after="0" w:line="240" w:lineRule="auto"/>
      </w:pPr>
      <w:r>
        <w:separator/>
      </w:r>
    </w:p>
  </w:footnote>
  <w:footnote w:type="continuationSeparator" w:id="0">
    <w:p w14:paraId="305F48F1" w14:textId="77777777" w:rsidR="002D492A" w:rsidRDefault="002D492A" w:rsidP="00287681">
      <w:pPr>
        <w:spacing w:after="0" w:line="240" w:lineRule="auto"/>
      </w:pPr>
      <w:r>
        <w:continuationSeparator/>
      </w:r>
    </w:p>
  </w:footnote>
  <w:footnote w:id="1">
    <w:p w14:paraId="0ECE55D8" w14:textId="1479E964" w:rsidR="00C92BCE" w:rsidRPr="00D7088F" w:rsidRDefault="00C92BCE" w:rsidP="004C39BF">
      <w:pPr>
        <w:pStyle w:val="FootnoteText"/>
        <w:jc w:val="both"/>
        <w:rPr>
          <w:rFonts w:ascii="Times New Roman" w:hAnsi="Times New Roman"/>
          <w:noProof/>
          <w:color w:val="000000" w:themeColor="text1"/>
          <w:lang w:val="ro-RO"/>
        </w:rPr>
      </w:pPr>
      <w:r w:rsidRPr="00D7088F">
        <w:rPr>
          <w:rStyle w:val="FootnoteReference"/>
          <w:rFonts w:ascii="Times New Roman" w:hAnsi="Times New Roman"/>
          <w:noProof/>
          <w:color w:val="000000" w:themeColor="text1"/>
          <w:lang w:val="ro-RO"/>
        </w:rPr>
        <w:footnoteRef/>
      </w:r>
      <w:r w:rsidRPr="00D7088F">
        <w:rPr>
          <w:rFonts w:ascii="Times New Roman" w:hAnsi="Times New Roman"/>
          <w:noProof/>
          <w:color w:val="000000" w:themeColor="text1"/>
          <w:lang w:val="ro-RO"/>
        </w:rPr>
        <w:t xml:space="preserve"> Hotărârea din 21.12.2021 pronunțată de Marea Cameră a Curții de Justiție a Uniunii Europene în cauzele conexate C-357/19 Euro Box Promotion și alții, C-379/19 DNA-Serviciul Teritorial Oradea, C-547/19 Asociația «Forumul Judecătorilor din România», C-811/19FQ și alții și C-840/19NC</w:t>
      </w:r>
      <w:r w:rsidR="003720C2" w:rsidRPr="00D7088F">
        <w:rPr>
          <w:rFonts w:ascii="Times New Roman" w:hAnsi="Times New Roman"/>
          <w:noProof/>
          <w:color w:val="000000" w:themeColor="text1"/>
          <w:lang w:val="ro-RO"/>
        </w:rPr>
        <w:t>.</w:t>
      </w:r>
    </w:p>
  </w:footnote>
  <w:footnote w:id="2">
    <w:p w14:paraId="06528006" w14:textId="5AF680CB" w:rsidR="00F62FF3" w:rsidRPr="00D7088F" w:rsidRDefault="00F62FF3" w:rsidP="004C39BF">
      <w:pPr>
        <w:pStyle w:val="FootnoteText"/>
        <w:rPr>
          <w:rFonts w:ascii="Times New Roman" w:hAnsi="Times New Roman"/>
          <w:noProof/>
          <w:color w:val="000000" w:themeColor="text1"/>
          <w:lang w:val="ro-RO"/>
        </w:rPr>
      </w:pPr>
      <w:r w:rsidRPr="00D7088F">
        <w:rPr>
          <w:rStyle w:val="FootnoteReference"/>
          <w:rFonts w:ascii="Times New Roman" w:hAnsi="Times New Roman"/>
          <w:noProof/>
          <w:color w:val="000000" w:themeColor="text1"/>
          <w:lang w:val="ro-RO"/>
        </w:rPr>
        <w:footnoteRef/>
      </w:r>
      <w:r w:rsidRPr="00D7088F">
        <w:rPr>
          <w:rFonts w:ascii="Times New Roman" w:hAnsi="Times New Roman"/>
          <w:noProof/>
          <w:color w:val="000000" w:themeColor="text1"/>
          <w:lang w:val="ro-RO"/>
        </w:rPr>
        <w:t xml:space="preserve"> </w:t>
      </w:r>
      <w:r w:rsidRPr="00D7088F">
        <w:rPr>
          <w:rFonts w:ascii="Times New Roman" w:hAnsi="Times New Roman"/>
          <w:noProof/>
          <w:color w:val="000000" w:themeColor="text1"/>
          <w:lang w:val="ro-RO"/>
        </w:rPr>
        <w:t>Comunicat</w:t>
      </w:r>
      <w:r w:rsidR="00B46E23" w:rsidRPr="00D7088F">
        <w:rPr>
          <w:rFonts w:ascii="Times New Roman" w:hAnsi="Times New Roman"/>
          <w:noProof/>
          <w:color w:val="000000" w:themeColor="text1"/>
          <w:lang w:val="ro-RO"/>
        </w:rPr>
        <w:t>ul</w:t>
      </w:r>
      <w:r w:rsidRPr="00D7088F">
        <w:rPr>
          <w:rFonts w:ascii="Times New Roman" w:hAnsi="Times New Roman"/>
          <w:noProof/>
          <w:color w:val="000000" w:themeColor="text1"/>
          <w:lang w:val="ro-RO"/>
        </w:rPr>
        <w:t xml:space="preserve"> de presă</w:t>
      </w:r>
      <w:r w:rsidR="00BA0E6C" w:rsidRPr="00D7088F">
        <w:rPr>
          <w:rFonts w:ascii="Times New Roman" w:hAnsi="Times New Roman"/>
          <w:noProof/>
          <w:color w:val="000000" w:themeColor="text1"/>
          <w:lang w:val="ro-RO"/>
        </w:rPr>
        <w:t xml:space="preserve"> al Curții Constituționale a României</w:t>
      </w:r>
      <w:r w:rsidRPr="00D7088F">
        <w:rPr>
          <w:rFonts w:ascii="Times New Roman" w:hAnsi="Times New Roman"/>
          <w:noProof/>
          <w:color w:val="000000" w:themeColor="text1"/>
          <w:lang w:val="ro-RO"/>
        </w:rPr>
        <w:t xml:space="preserve"> din</w:t>
      </w:r>
      <w:r w:rsidR="00BA0E6C" w:rsidRPr="00D7088F">
        <w:rPr>
          <w:rFonts w:ascii="Times New Roman" w:hAnsi="Times New Roman"/>
          <w:noProof/>
          <w:color w:val="000000" w:themeColor="text1"/>
          <w:lang w:val="ro-RO"/>
        </w:rPr>
        <w:t xml:space="preserve"> data de</w:t>
      </w:r>
      <w:r w:rsidRPr="00D7088F">
        <w:rPr>
          <w:rFonts w:ascii="Times New Roman" w:hAnsi="Times New Roman"/>
          <w:noProof/>
          <w:color w:val="000000" w:themeColor="text1"/>
          <w:lang w:val="ro-RO"/>
        </w:rPr>
        <w:t xml:space="preserve"> 23 decembrie 2021</w:t>
      </w:r>
      <w:r w:rsidR="00BA0E6C" w:rsidRPr="00D7088F">
        <w:rPr>
          <w:rFonts w:ascii="Times New Roman" w:hAnsi="Times New Roman"/>
          <w:noProof/>
          <w:color w:val="000000" w:themeColor="text1"/>
          <w:lang w:val="ro-RO"/>
        </w:rPr>
        <w:t>.</w:t>
      </w:r>
    </w:p>
  </w:footnote>
  <w:footnote w:id="3">
    <w:p w14:paraId="1541204A" w14:textId="291CBCA8" w:rsidR="00FB01F5" w:rsidRPr="00D7088F" w:rsidRDefault="00FB01F5" w:rsidP="004C39BF">
      <w:pPr>
        <w:pStyle w:val="Heading3"/>
        <w:spacing w:before="0" w:line="240" w:lineRule="auto"/>
        <w:jc w:val="both"/>
        <w:rPr>
          <w:rFonts w:ascii="Times New Roman" w:hAnsi="Times New Roman" w:cs="Times New Roman"/>
          <w:noProof/>
          <w:color w:val="000000" w:themeColor="text1"/>
          <w:sz w:val="20"/>
          <w:szCs w:val="20"/>
          <w:lang w:val="ro-RO"/>
        </w:rPr>
      </w:pPr>
      <w:r w:rsidRPr="00D7088F">
        <w:rPr>
          <w:rStyle w:val="FootnoteReference"/>
          <w:rFonts w:ascii="Times New Roman" w:hAnsi="Times New Roman" w:cs="Times New Roman"/>
          <w:noProof/>
          <w:color w:val="000000" w:themeColor="text1"/>
          <w:sz w:val="20"/>
          <w:szCs w:val="20"/>
          <w:lang w:val="ro-RO"/>
        </w:rPr>
        <w:footnoteRef/>
      </w:r>
      <w:r w:rsidRPr="00D7088F">
        <w:rPr>
          <w:rFonts w:ascii="Times New Roman" w:hAnsi="Times New Roman" w:cs="Times New Roman"/>
          <w:noProof/>
          <w:color w:val="000000" w:themeColor="text1"/>
          <w:sz w:val="20"/>
          <w:szCs w:val="20"/>
          <w:lang w:val="ro-RO"/>
        </w:rPr>
        <w:t xml:space="preserve"> </w:t>
      </w:r>
      <w:r w:rsidR="001F4F61" w:rsidRPr="00D7088F">
        <w:rPr>
          <w:rFonts w:ascii="Times New Roman" w:hAnsi="Times New Roman" w:cs="Times New Roman"/>
          <w:noProof/>
          <w:color w:val="000000" w:themeColor="text1"/>
          <w:sz w:val="20"/>
          <w:szCs w:val="20"/>
          <w:lang w:val="ro-RO"/>
        </w:rPr>
        <w:t>Paul Craig, Gráinne de Búrca</w:t>
      </w:r>
      <w:r w:rsidR="00BA0E6C" w:rsidRPr="00D7088F">
        <w:rPr>
          <w:rFonts w:ascii="Times New Roman" w:hAnsi="Times New Roman" w:cs="Times New Roman"/>
          <w:noProof/>
          <w:color w:val="000000" w:themeColor="text1"/>
          <w:sz w:val="20"/>
          <w:szCs w:val="20"/>
          <w:lang w:val="ro-RO"/>
        </w:rPr>
        <w:t>,</w:t>
      </w:r>
      <w:r w:rsidRPr="00D7088F">
        <w:rPr>
          <w:rFonts w:ascii="Times New Roman" w:hAnsi="Times New Roman" w:cs="Times New Roman"/>
          <w:noProof/>
          <w:color w:val="000000" w:themeColor="text1"/>
          <w:sz w:val="20"/>
          <w:szCs w:val="20"/>
          <w:lang w:val="ro-RO"/>
        </w:rPr>
        <w:t xml:space="preserve"> </w:t>
      </w:r>
      <w:r w:rsidRPr="005645AE">
        <w:rPr>
          <w:rFonts w:ascii="Times New Roman" w:hAnsi="Times New Roman" w:cs="Times New Roman"/>
          <w:i/>
          <w:iCs/>
          <w:noProof/>
          <w:color w:val="000000" w:themeColor="text1"/>
          <w:sz w:val="20"/>
          <w:szCs w:val="20"/>
          <w:lang w:val="ro-RO"/>
        </w:rPr>
        <w:t>Dreptul Uniunii Europene</w:t>
      </w:r>
      <w:r w:rsidR="00BA0E6C" w:rsidRPr="005645AE">
        <w:rPr>
          <w:rFonts w:ascii="Times New Roman" w:hAnsi="Times New Roman" w:cs="Times New Roman"/>
          <w:i/>
          <w:iCs/>
          <w:noProof/>
          <w:color w:val="000000" w:themeColor="text1"/>
          <w:sz w:val="20"/>
          <w:szCs w:val="20"/>
          <w:lang w:val="ro-RO"/>
        </w:rPr>
        <w:t>.</w:t>
      </w:r>
      <w:r w:rsidRPr="005645AE">
        <w:rPr>
          <w:rFonts w:ascii="Times New Roman" w:hAnsi="Times New Roman" w:cs="Times New Roman"/>
          <w:i/>
          <w:iCs/>
          <w:noProof/>
          <w:color w:val="000000" w:themeColor="text1"/>
          <w:sz w:val="20"/>
          <w:szCs w:val="20"/>
          <w:lang w:val="ro-RO"/>
        </w:rPr>
        <w:t xml:space="preserve"> Comentarii, jurisprudență și doctrină</w:t>
      </w:r>
      <w:r w:rsidRPr="00D7088F">
        <w:rPr>
          <w:rFonts w:ascii="Times New Roman" w:hAnsi="Times New Roman" w:cs="Times New Roman"/>
          <w:noProof/>
          <w:color w:val="000000" w:themeColor="text1"/>
          <w:sz w:val="20"/>
          <w:szCs w:val="20"/>
          <w:lang w:val="ro-RO"/>
        </w:rPr>
        <w:t>, Ediția a VI-a, Ed</w:t>
      </w:r>
      <w:r w:rsidR="00BA0E6C" w:rsidRPr="00D7088F">
        <w:rPr>
          <w:rFonts w:ascii="Times New Roman" w:hAnsi="Times New Roman" w:cs="Times New Roman"/>
          <w:noProof/>
          <w:color w:val="000000" w:themeColor="text1"/>
          <w:sz w:val="20"/>
          <w:szCs w:val="20"/>
          <w:lang w:val="ro-RO"/>
        </w:rPr>
        <w:t>.</w:t>
      </w:r>
      <w:r w:rsidRPr="00D7088F">
        <w:rPr>
          <w:rFonts w:ascii="Times New Roman" w:hAnsi="Times New Roman" w:cs="Times New Roman"/>
          <w:noProof/>
          <w:color w:val="000000" w:themeColor="text1"/>
          <w:sz w:val="20"/>
          <w:szCs w:val="20"/>
          <w:lang w:val="ro-RO"/>
        </w:rPr>
        <w:t xml:space="preserve"> Hamangiu 2017, pag. 315</w:t>
      </w:r>
      <w:r w:rsidR="00BA0E6C" w:rsidRPr="00D7088F">
        <w:rPr>
          <w:rFonts w:ascii="Times New Roman" w:hAnsi="Times New Roman" w:cs="Times New Roman"/>
          <w:noProof/>
          <w:color w:val="000000" w:themeColor="text1"/>
          <w:sz w:val="20"/>
          <w:szCs w:val="20"/>
          <w:lang w:val="ro-RO"/>
        </w:rPr>
        <w:t>.</w:t>
      </w:r>
    </w:p>
  </w:footnote>
  <w:footnote w:id="4">
    <w:p w14:paraId="5807D9B1" w14:textId="201A1A6C" w:rsidR="00F37120" w:rsidRPr="00D7088F" w:rsidRDefault="00F37120" w:rsidP="004C39BF">
      <w:pPr>
        <w:pStyle w:val="FootnoteText"/>
        <w:jc w:val="both"/>
        <w:rPr>
          <w:rFonts w:ascii="Times New Roman" w:hAnsi="Times New Roman"/>
          <w:noProof/>
          <w:color w:val="000000" w:themeColor="text1"/>
          <w:lang w:val="ro-RO"/>
        </w:rPr>
      </w:pPr>
      <w:r w:rsidRPr="00D7088F">
        <w:rPr>
          <w:rStyle w:val="FootnoteReference"/>
          <w:rFonts w:ascii="Times New Roman" w:hAnsi="Times New Roman"/>
          <w:noProof/>
          <w:color w:val="000000" w:themeColor="text1"/>
          <w:lang w:val="ro-RO"/>
        </w:rPr>
        <w:footnoteRef/>
      </w:r>
      <w:r w:rsidRPr="00D7088F">
        <w:rPr>
          <w:rFonts w:ascii="Times New Roman" w:hAnsi="Times New Roman"/>
          <w:noProof/>
          <w:color w:val="000000" w:themeColor="text1"/>
          <w:lang w:val="ro-RO"/>
        </w:rPr>
        <w:t xml:space="preserve"> </w:t>
      </w:r>
      <w:r w:rsidRPr="00D7088F">
        <w:rPr>
          <w:rFonts w:ascii="Times New Roman" w:hAnsi="Times New Roman"/>
          <w:noProof/>
          <w:color w:val="000000" w:themeColor="text1"/>
          <w:lang w:val="ro-RO"/>
        </w:rPr>
        <w:t>CJUE</w:t>
      </w:r>
      <w:r w:rsidR="00A30B21" w:rsidRPr="00D7088F">
        <w:rPr>
          <w:rFonts w:ascii="Times New Roman" w:hAnsi="Times New Roman"/>
          <w:noProof/>
          <w:color w:val="000000" w:themeColor="text1"/>
          <w:lang w:val="ro-RO"/>
        </w:rPr>
        <w:t>,</w:t>
      </w:r>
      <w:r w:rsidRPr="00D7088F">
        <w:rPr>
          <w:rFonts w:ascii="Times New Roman" w:hAnsi="Times New Roman"/>
          <w:noProof/>
          <w:color w:val="000000" w:themeColor="text1"/>
          <w:lang w:val="ro-RO"/>
        </w:rPr>
        <w:t xml:space="preserve"> Hotărârea Curții (Marea Cameră) din 26 februarie 2013 </w:t>
      </w:r>
      <w:r w:rsidR="00A30B21" w:rsidRPr="00D7088F">
        <w:rPr>
          <w:rFonts w:ascii="Times New Roman" w:hAnsi="Times New Roman"/>
          <w:noProof/>
          <w:color w:val="000000" w:themeColor="text1"/>
          <w:lang w:val="ro-RO"/>
        </w:rPr>
        <w:t xml:space="preserve">pronunțată </w:t>
      </w:r>
      <w:r w:rsidRPr="00D7088F">
        <w:rPr>
          <w:rFonts w:ascii="Times New Roman" w:hAnsi="Times New Roman"/>
          <w:noProof/>
          <w:color w:val="000000" w:themeColor="text1"/>
          <w:lang w:val="ro-RO"/>
        </w:rPr>
        <w:t xml:space="preserve">în </w:t>
      </w:r>
      <w:r w:rsidR="00F10A47" w:rsidRPr="00D7088F">
        <w:rPr>
          <w:rFonts w:ascii="Times New Roman" w:hAnsi="Times New Roman"/>
          <w:noProof/>
          <w:color w:val="000000" w:themeColor="text1"/>
          <w:lang w:val="ro-RO"/>
        </w:rPr>
        <w:t>c</w:t>
      </w:r>
      <w:r w:rsidRPr="00D7088F">
        <w:rPr>
          <w:rFonts w:ascii="Times New Roman" w:hAnsi="Times New Roman"/>
          <w:noProof/>
          <w:color w:val="000000" w:themeColor="text1"/>
          <w:lang w:val="ro-RO"/>
        </w:rPr>
        <w:t>auza C-399/11</w:t>
      </w:r>
      <w:r w:rsidR="00F10A47" w:rsidRPr="00D7088F">
        <w:rPr>
          <w:rFonts w:ascii="Times New Roman" w:hAnsi="Times New Roman"/>
          <w:noProof/>
          <w:color w:val="000000" w:themeColor="text1"/>
          <w:lang w:val="ro-RO"/>
        </w:rPr>
        <w:t>.</w:t>
      </w:r>
    </w:p>
  </w:footnote>
  <w:footnote w:id="5">
    <w:p w14:paraId="5246EF4F" w14:textId="623A2434" w:rsidR="00294218" w:rsidRPr="00D7088F" w:rsidRDefault="00294218" w:rsidP="004C39BF">
      <w:pPr>
        <w:pStyle w:val="Heading3"/>
        <w:spacing w:before="0" w:line="240" w:lineRule="auto"/>
        <w:jc w:val="both"/>
        <w:rPr>
          <w:rFonts w:ascii="Times New Roman" w:hAnsi="Times New Roman" w:cs="Times New Roman"/>
          <w:noProof/>
          <w:color w:val="000000" w:themeColor="text1"/>
          <w:sz w:val="20"/>
          <w:szCs w:val="20"/>
          <w:lang w:val="ro-RO"/>
        </w:rPr>
      </w:pPr>
      <w:r w:rsidRPr="00D7088F">
        <w:rPr>
          <w:rStyle w:val="FootnoteReference"/>
          <w:rFonts w:ascii="Times New Roman" w:hAnsi="Times New Roman" w:cs="Times New Roman"/>
          <w:noProof/>
          <w:color w:val="000000" w:themeColor="text1"/>
          <w:sz w:val="20"/>
          <w:szCs w:val="20"/>
          <w:lang w:val="ro-RO"/>
        </w:rPr>
        <w:footnoteRef/>
      </w:r>
      <w:r w:rsidRPr="00D7088F">
        <w:rPr>
          <w:rFonts w:ascii="Times New Roman" w:hAnsi="Times New Roman" w:cs="Times New Roman"/>
          <w:noProof/>
          <w:color w:val="000000" w:themeColor="text1"/>
          <w:sz w:val="20"/>
          <w:szCs w:val="20"/>
          <w:lang w:val="ro-RO"/>
        </w:rPr>
        <w:t xml:space="preserve"> </w:t>
      </w:r>
      <w:r w:rsidRPr="00D7088F">
        <w:rPr>
          <w:rFonts w:ascii="Times New Roman" w:hAnsi="Times New Roman" w:cs="Times New Roman"/>
          <w:noProof/>
          <w:color w:val="000000" w:themeColor="text1"/>
          <w:sz w:val="20"/>
          <w:szCs w:val="20"/>
          <w:lang w:val="ro-RO"/>
        </w:rPr>
        <w:t>Paul Craig, Gráinne de Búrca,</w:t>
      </w:r>
      <w:r w:rsidR="0055776A" w:rsidRPr="00D7088F">
        <w:rPr>
          <w:rFonts w:ascii="Times New Roman" w:hAnsi="Times New Roman" w:cs="Times New Roman"/>
          <w:noProof/>
          <w:color w:val="000000" w:themeColor="text1"/>
          <w:sz w:val="20"/>
          <w:szCs w:val="20"/>
          <w:lang w:val="ro-RO"/>
        </w:rPr>
        <w:t xml:space="preserve"> </w:t>
      </w:r>
      <w:r w:rsidR="00A30B21" w:rsidRPr="00D7088F">
        <w:rPr>
          <w:rFonts w:ascii="Times New Roman" w:hAnsi="Times New Roman" w:cs="Times New Roman"/>
          <w:noProof/>
          <w:color w:val="000000" w:themeColor="text1"/>
          <w:sz w:val="20"/>
          <w:szCs w:val="20"/>
          <w:lang w:val="ro-RO"/>
        </w:rPr>
        <w:t>o</w:t>
      </w:r>
      <w:r w:rsidR="0055776A" w:rsidRPr="00D7088F">
        <w:rPr>
          <w:rFonts w:ascii="Times New Roman" w:hAnsi="Times New Roman" w:cs="Times New Roman"/>
          <w:noProof/>
          <w:color w:val="000000" w:themeColor="text1"/>
          <w:sz w:val="20"/>
          <w:szCs w:val="20"/>
          <w:lang w:val="ro-RO"/>
        </w:rPr>
        <w:t>p. cit.</w:t>
      </w:r>
      <w:r w:rsidR="00A30B21" w:rsidRPr="00D7088F">
        <w:rPr>
          <w:rFonts w:ascii="Times New Roman" w:hAnsi="Times New Roman" w:cs="Times New Roman"/>
          <w:noProof/>
          <w:color w:val="000000" w:themeColor="text1"/>
          <w:sz w:val="20"/>
          <w:szCs w:val="20"/>
          <w:lang w:val="ro-RO"/>
        </w:rPr>
        <w:t>,</w:t>
      </w:r>
      <w:r w:rsidRPr="00D7088F">
        <w:rPr>
          <w:rFonts w:ascii="Times New Roman" w:hAnsi="Times New Roman" w:cs="Times New Roman"/>
          <w:noProof/>
          <w:color w:val="000000" w:themeColor="text1"/>
          <w:sz w:val="20"/>
          <w:szCs w:val="20"/>
          <w:lang w:val="ro-RO"/>
        </w:rPr>
        <w:t xml:space="preserve"> pag. 350</w:t>
      </w:r>
      <w:r w:rsidR="00A30B21" w:rsidRPr="00D7088F">
        <w:rPr>
          <w:rFonts w:ascii="Times New Roman" w:hAnsi="Times New Roman" w:cs="Times New Roman"/>
          <w:noProof/>
          <w:color w:val="000000" w:themeColor="text1"/>
          <w:sz w:val="20"/>
          <w:szCs w:val="20"/>
          <w:lang w:val="ro-RO"/>
        </w:rPr>
        <w:t>.</w:t>
      </w:r>
    </w:p>
  </w:footnote>
  <w:footnote w:id="6">
    <w:p w14:paraId="114176D4" w14:textId="2F5336AD" w:rsidR="00C44D3C" w:rsidRPr="00D7088F" w:rsidRDefault="00C44D3C" w:rsidP="004C39BF">
      <w:pPr>
        <w:pStyle w:val="Heading2"/>
        <w:spacing w:after="0" w:line="240" w:lineRule="auto"/>
        <w:rPr>
          <w:rFonts w:ascii="Times New Roman" w:hAnsi="Times New Roman"/>
          <w:b w:val="0"/>
          <w:bCs/>
          <w:noProof/>
          <w:color w:val="000000" w:themeColor="text1"/>
          <w:sz w:val="20"/>
          <w:szCs w:val="20"/>
        </w:rPr>
      </w:pPr>
      <w:r w:rsidRPr="00D7088F">
        <w:rPr>
          <w:rStyle w:val="FootnoteReference"/>
          <w:rFonts w:ascii="Times New Roman" w:hAnsi="Times New Roman"/>
          <w:noProof/>
          <w:color w:val="000000" w:themeColor="text1"/>
          <w:sz w:val="20"/>
          <w:szCs w:val="20"/>
        </w:rPr>
        <w:footnoteRef/>
      </w:r>
      <w:r w:rsidRPr="00D7088F">
        <w:rPr>
          <w:rFonts w:ascii="Times New Roman" w:hAnsi="Times New Roman"/>
          <w:noProof/>
          <w:color w:val="000000" w:themeColor="text1"/>
          <w:sz w:val="20"/>
          <w:szCs w:val="20"/>
        </w:rPr>
        <w:t xml:space="preserve"> </w:t>
      </w:r>
      <w:r w:rsidRPr="00D7088F">
        <w:rPr>
          <w:rFonts w:ascii="Times New Roman" w:hAnsi="Times New Roman"/>
          <w:b w:val="0"/>
          <w:bCs/>
          <w:noProof/>
          <w:color w:val="000000" w:themeColor="text1"/>
          <w:sz w:val="20"/>
          <w:szCs w:val="20"/>
        </w:rPr>
        <w:t>Marieta Safta</w:t>
      </w:r>
      <w:r w:rsidR="00A30B21" w:rsidRPr="00D7088F">
        <w:rPr>
          <w:rFonts w:ascii="Times New Roman" w:hAnsi="Times New Roman"/>
          <w:b w:val="0"/>
          <w:bCs/>
          <w:noProof/>
          <w:color w:val="000000" w:themeColor="text1"/>
          <w:sz w:val="20"/>
          <w:szCs w:val="20"/>
        </w:rPr>
        <w:t>,</w:t>
      </w:r>
      <w:r w:rsidRPr="00D7088F">
        <w:rPr>
          <w:rFonts w:ascii="Times New Roman" w:hAnsi="Times New Roman"/>
          <w:b w:val="0"/>
          <w:bCs/>
          <w:noProof/>
          <w:color w:val="000000" w:themeColor="text1"/>
          <w:sz w:val="20"/>
          <w:szCs w:val="20"/>
        </w:rPr>
        <w:t xml:space="preserve"> </w:t>
      </w:r>
      <w:r w:rsidRPr="00D7088F">
        <w:rPr>
          <w:rFonts w:ascii="Times New Roman" w:hAnsi="Times New Roman"/>
          <w:b w:val="0"/>
          <w:bCs/>
          <w:i/>
          <w:iCs/>
          <w:noProof/>
          <w:color w:val="000000" w:themeColor="text1"/>
          <w:sz w:val="20"/>
          <w:szCs w:val="20"/>
        </w:rPr>
        <w:t>Justiţia constituţională europeană. Prea mult drept constituţional în Uniunea Europeană?</w:t>
      </w:r>
      <w:r w:rsidR="00A30B21" w:rsidRPr="00D7088F">
        <w:rPr>
          <w:rFonts w:ascii="Times New Roman" w:hAnsi="Times New Roman"/>
          <w:b w:val="0"/>
          <w:bCs/>
          <w:noProof/>
          <w:color w:val="000000" w:themeColor="text1"/>
          <w:sz w:val="20"/>
          <w:szCs w:val="20"/>
        </w:rPr>
        <w:t>,</w:t>
      </w:r>
      <w:r w:rsidRPr="00D7088F">
        <w:rPr>
          <w:rFonts w:ascii="Times New Roman" w:hAnsi="Times New Roman"/>
          <w:b w:val="0"/>
          <w:bCs/>
          <w:noProof/>
          <w:color w:val="000000" w:themeColor="text1"/>
          <w:sz w:val="20"/>
          <w:szCs w:val="20"/>
        </w:rPr>
        <w:t xml:space="preserve"> publicat pe </w:t>
      </w:r>
      <w:r w:rsidR="00A30B21" w:rsidRPr="00D7088F">
        <w:rPr>
          <w:rFonts w:ascii="Times New Roman" w:hAnsi="Times New Roman"/>
          <w:b w:val="0"/>
          <w:bCs/>
          <w:noProof/>
          <w:color w:val="000000" w:themeColor="text1"/>
          <w:sz w:val="20"/>
          <w:szCs w:val="20"/>
        </w:rPr>
        <w:t xml:space="preserve">site-ul </w:t>
      </w:r>
      <w:hyperlink r:id="rId1" w:history="1">
        <w:r w:rsidR="00A30B21" w:rsidRPr="00D7088F">
          <w:rPr>
            <w:rStyle w:val="Hyperlink"/>
            <w:rFonts w:ascii="Times New Roman" w:hAnsi="Times New Roman"/>
            <w:b w:val="0"/>
            <w:bCs/>
            <w:noProof/>
            <w:sz w:val="20"/>
            <w:szCs w:val="20"/>
          </w:rPr>
          <w:t>www.juridice.ro</w:t>
        </w:r>
      </w:hyperlink>
      <w:r w:rsidR="00A30B21" w:rsidRPr="00D7088F">
        <w:rPr>
          <w:rFonts w:ascii="Times New Roman" w:hAnsi="Times New Roman"/>
          <w:b w:val="0"/>
          <w:bCs/>
          <w:noProof/>
          <w:color w:val="000000" w:themeColor="text1"/>
          <w:sz w:val="20"/>
          <w:szCs w:val="20"/>
        </w:rPr>
        <w:t xml:space="preserve">.  </w:t>
      </w:r>
      <w:r w:rsidRPr="00D7088F">
        <w:rPr>
          <w:rFonts w:ascii="Times New Roman" w:hAnsi="Times New Roman"/>
          <w:b w:val="0"/>
          <w:bCs/>
          <w:noProof/>
          <w:color w:val="000000" w:themeColor="text1"/>
          <w:sz w:val="20"/>
          <w:szCs w:val="20"/>
        </w:rPr>
        <w:t xml:space="preserve"> </w:t>
      </w:r>
    </w:p>
  </w:footnote>
  <w:footnote w:id="7">
    <w:p w14:paraId="64E3460F" w14:textId="5423A739" w:rsidR="00833AEB" w:rsidRPr="00D7088F" w:rsidRDefault="00833AEB" w:rsidP="004C39BF">
      <w:pPr>
        <w:pStyle w:val="FootnoteText"/>
        <w:rPr>
          <w:rFonts w:ascii="Times New Roman" w:hAnsi="Times New Roman"/>
          <w:noProof/>
          <w:color w:val="000000" w:themeColor="text1"/>
          <w:lang w:val="ro-RO"/>
        </w:rPr>
      </w:pPr>
      <w:r w:rsidRPr="00D7088F">
        <w:rPr>
          <w:rStyle w:val="FootnoteReference"/>
          <w:rFonts w:ascii="Times New Roman" w:hAnsi="Times New Roman"/>
          <w:noProof/>
          <w:color w:val="000000" w:themeColor="text1"/>
          <w:lang w:val="ro-RO"/>
        </w:rPr>
        <w:footnoteRef/>
      </w:r>
      <w:r w:rsidRPr="00D7088F">
        <w:rPr>
          <w:rFonts w:ascii="Times New Roman" w:hAnsi="Times New Roman"/>
          <w:noProof/>
          <w:color w:val="000000" w:themeColor="text1"/>
          <w:lang w:val="ro-RO"/>
        </w:rPr>
        <w:t xml:space="preserve"> </w:t>
      </w:r>
      <w:r w:rsidRPr="00D7088F">
        <w:rPr>
          <w:rFonts w:ascii="Times New Roman" w:hAnsi="Times New Roman"/>
          <w:noProof/>
          <w:color w:val="000000" w:themeColor="text1"/>
          <w:lang w:val="ro-RO"/>
        </w:rPr>
        <w:t xml:space="preserve">Decizia nr. 67 din 25 octombrie 2022 a Înaltei </w:t>
      </w:r>
      <w:r w:rsidR="005645AE">
        <w:rPr>
          <w:rFonts w:ascii="Times New Roman" w:hAnsi="Times New Roman"/>
          <w:noProof/>
          <w:color w:val="000000" w:themeColor="text1"/>
          <w:lang w:val="ro-RO"/>
        </w:rPr>
        <w:t>C</w:t>
      </w:r>
      <w:r w:rsidRPr="00D7088F">
        <w:rPr>
          <w:rFonts w:ascii="Times New Roman" w:hAnsi="Times New Roman"/>
          <w:noProof/>
          <w:color w:val="000000" w:themeColor="text1"/>
          <w:lang w:val="ro-RO"/>
        </w:rPr>
        <w:t xml:space="preserve">urți de Casație și Justiție </w:t>
      </w:r>
      <w:r w:rsidR="00A30B21" w:rsidRPr="00D7088F">
        <w:rPr>
          <w:rFonts w:ascii="Times New Roman" w:hAnsi="Times New Roman"/>
          <w:noProof/>
          <w:color w:val="000000" w:themeColor="text1"/>
          <w:lang w:val="ro-RO"/>
        </w:rPr>
        <w:t xml:space="preserve">- </w:t>
      </w:r>
      <w:r w:rsidRPr="00D7088F">
        <w:rPr>
          <w:rFonts w:ascii="Times New Roman" w:hAnsi="Times New Roman"/>
          <w:noProof/>
          <w:color w:val="000000" w:themeColor="text1"/>
          <w:lang w:val="ro-RO"/>
        </w:rPr>
        <w:t>Comple</w:t>
      </w:r>
      <w:r w:rsidR="005645AE">
        <w:rPr>
          <w:rFonts w:ascii="Times New Roman" w:hAnsi="Times New Roman"/>
          <w:noProof/>
          <w:color w:val="000000" w:themeColor="text1"/>
          <w:lang w:val="ro-RO"/>
        </w:rPr>
        <w:t>t</w:t>
      </w:r>
      <w:r w:rsidRPr="00D7088F">
        <w:rPr>
          <w:rFonts w:ascii="Times New Roman" w:hAnsi="Times New Roman"/>
          <w:noProof/>
          <w:color w:val="000000" w:themeColor="text1"/>
          <w:lang w:val="ro-RO"/>
        </w:rPr>
        <w:t>ul pentru dezlegarea unei chestiuni de drept în materie penală</w:t>
      </w:r>
      <w:r w:rsidR="005645AE">
        <w:rPr>
          <w:rFonts w:ascii="Times New Roman" w:hAnsi="Times New Roman"/>
          <w:noProof/>
          <w:color w:val="000000" w:themeColor="text1"/>
          <w:lang w:val="ro-RO"/>
        </w:rPr>
        <w:t>, p</w:t>
      </w:r>
      <w:r w:rsidR="005645AE" w:rsidRPr="005645AE">
        <w:rPr>
          <w:rFonts w:ascii="Times New Roman" w:hAnsi="Times New Roman"/>
          <w:noProof/>
          <w:color w:val="000000" w:themeColor="text1"/>
          <w:lang w:val="ro-RO"/>
        </w:rPr>
        <w:t>ublicat</w:t>
      </w:r>
      <w:r w:rsidR="005645AE">
        <w:rPr>
          <w:rFonts w:ascii="Times New Roman" w:hAnsi="Times New Roman"/>
          <w:noProof/>
          <w:color w:val="000000" w:themeColor="text1"/>
          <w:lang w:val="ro-RO"/>
        </w:rPr>
        <w:t>ă</w:t>
      </w:r>
      <w:r w:rsidR="005645AE" w:rsidRPr="005645AE">
        <w:rPr>
          <w:rFonts w:ascii="Times New Roman" w:hAnsi="Times New Roman"/>
          <w:noProof/>
          <w:color w:val="000000" w:themeColor="text1"/>
          <w:lang w:val="ro-RO"/>
        </w:rPr>
        <w:t xml:space="preserve"> în Monitorul Oficial, Partea I nr. 1141 din 28 noiembrie 2022</w:t>
      </w:r>
      <w:r w:rsidR="005645AE">
        <w:rPr>
          <w:rFonts w:ascii="Times New Roman" w:hAnsi="Times New Roman"/>
          <w:noProof/>
          <w:color w:val="000000" w:themeColor="text1"/>
          <w:lang w:val="ro-RO"/>
        </w:rPr>
        <w:t xml:space="preserve">. </w:t>
      </w:r>
    </w:p>
  </w:footnote>
  <w:footnote w:id="8">
    <w:p w14:paraId="279227F1" w14:textId="0165476A" w:rsidR="00ED2096" w:rsidRPr="00D7088F" w:rsidRDefault="00ED2096" w:rsidP="004C39BF">
      <w:pPr>
        <w:pStyle w:val="FootnoteText"/>
        <w:jc w:val="both"/>
        <w:rPr>
          <w:rFonts w:ascii="Times New Roman" w:hAnsi="Times New Roman"/>
          <w:noProof/>
          <w:color w:val="000000" w:themeColor="text1"/>
          <w:lang w:val="ro-RO"/>
        </w:rPr>
      </w:pPr>
      <w:r w:rsidRPr="00D7088F">
        <w:rPr>
          <w:rStyle w:val="FootnoteReference"/>
          <w:rFonts w:ascii="Times New Roman" w:hAnsi="Times New Roman"/>
          <w:noProof/>
          <w:color w:val="000000" w:themeColor="text1"/>
          <w:lang w:val="ro-RO"/>
        </w:rPr>
        <w:footnoteRef/>
      </w:r>
      <w:r w:rsidRPr="00D7088F">
        <w:rPr>
          <w:rFonts w:ascii="Times New Roman" w:hAnsi="Times New Roman"/>
          <w:noProof/>
          <w:color w:val="000000" w:themeColor="text1"/>
          <w:lang w:val="ro-RO"/>
        </w:rPr>
        <w:t xml:space="preserve"> </w:t>
      </w:r>
      <w:r w:rsidRPr="00D7088F">
        <w:rPr>
          <w:rFonts w:ascii="Times New Roman" w:hAnsi="Times New Roman"/>
          <w:noProof/>
          <w:color w:val="000000" w:themeColor="text1"/>
          <w:lang w:val="ro-RO"/>
        </w:rPr>
        <w:t>Koen</w:t>
      </w:r>
      <w:r w:rsidR="00D7088F">
        <w:rPr>
          <w:rFonts w:ascii="Times New Roman" w:hAnsi="Times New Roman"/>
          <w:noProof/>
          <w:color w:val="000000" w:themeColor="text1"/>
          <w:lang w:val="ro-RO"/>
        </w:rPr>
        <w:t xml:space="preserve"> Lenaerts, </w:t>
      </w:r>
      <w:r w:rsidR="00D7088F" w:rsidRPr="00D7088F">
        <w:rPr>
          <w:rFonts w:ascii="Times New Roman" w:hAnsi="Times New Roman"/>
          <w:i/>
          <w:iCs/>
          <w:noProof/>
          <w:color w:val="000000" w:themeColor="text1"/>
          <w:lang w:val="ro-RO"/>
        </w:rPr>
        <w:t>R</w:t>
      </w:r>
      <w:r w:rsidRPr="00D7088F">
        <w:rPr>
          <w:rFonts w:ascii="Times New Roman" w:hAnsi="Times New Roman"/>
          <w:i/>
          <w:iCs/>
          <w:noProof/>
          <w:color w:val="000000" w:themeColor="text1"/>
          <w:lang w:val="ro-RO"/>
        </w:rPr>
        <w:t>olul Cartei UE în statele membre</w:t>
      </w:r>
      <w:r w:rsidR="00D7088F">
        <w:rPr>
          <w:rFonts w:ascii="Times New Roman" w:hAnsi="Times New Roman"/>
          <w:noProof/>
          <w:color w:val="000000" w:themeColor="text1"/>
          <w:lang w:val="ro-RO"/>
        </w:rPr>
        <w:t>, publicat</w:t>
      </w:r>
      <w:r w:rsidR="00947E4E" w:rsidRPr="00D7088F">
        <w:rPr>
          <w:rFonts w:ascii="Times New Roman" w:hAnsi="Times New Roman"/>
          <w:noProof/>
          <w:color w:val="000000" w:themeColor="text1"/>
          <w:lang w:val="ro-RO"/>
        </w:rPr>
        <w:t xml:space="preserve"> </w:t>
      </w:r>
      <w:r w:rsidR="00D7088F">
        <w:rPr>
          <w:rFonts w:ascii="Times New Roman" w:hAnsi="Times New Roman"/>
          <w:noProof/>
          <w:color w:val="000000" w:themeColor="text1"/>
          <w:lang w:val="ro-RO"/>
        </w:rPr>
        <w:t>în</w:t>
      </w:r>
      <w:r w:rsidRPr="00D7088F">
        <w:rPr>
          <w:rFonts w:ascii="Times New Roman" w:hAnsi="Times New Roman"/>
          <w:noProof/>
          <w:color w:val="000000" w:themeColor="text1"/>
          <w:lang w:val="ro-RO"/>
        </w:rPr>
        <w:t xml:space="preserve"> "</w:t>
      </w:r>
      <w:r w:rsidR="00D7088F">
        <w:rPr>
          <w:rFonts w:ascii="Times New Roman" w:hAnsi="Times New Roman"/>
          <w:noProof/>
          <w:color w:val="000000" w:themeColor="text1"/>
          <w:lang w:val="ro-RO"/>
        </w:rPr>
        <w:t>Revista Română de drept european (comunitar)” nr.</w:t>
      </w:r>
      <w:r w:rsidRPr="00D7088F">
        <w:rPr>
          <w:rFonts w:ascii="Times New Roman" w:hAnsi="Times New Roman"/>
          <w:noProof/>
          <w:color w:val="000000" w:themeColor="text1"/>
          <w:lang w:val="ro-RO"/>
        </w:rPr>
        <w:t xml:space="preserve"> 2 din data de 30 iunie 2021</w:t>
      </w:r>
      <w:r w:rsidR="00D7088F">
        <w:rPr>
          <w:rFonts w:ascii="Times New Roman" w:hAnsi="Times New Roman"/>
          <w:noProof/>
          <w:color w:val="000000" w:themeColor="text1"/>
          <w:lang w:val="ro-RO"/>
        </w:rPr>
        <w:t>.</w:t>
      </w:r>
    </w:p>
    <w:p w14:paraId="2A09BAB1" w14:textId="2D13197A" w:rsidR="00ED2096" w:rsidRPr="00D7088F" w:rsidRDefault="00ED2096" w:rsidP="004C39BF">
      <w:pPr>
        <w:pStyle w:val="FootnoteText"/>
        <w:rPr>
          <w:rFonts w:ascii="Times New Roman" w:hAnsi="Times New Roman"/>
          <w:noProof/>
          <w:color w:val="000000" w:themeColor="text1"/>
          <w:lang w:val="ro-RO"/>
        </w:rPr>
      </w:pPr>
    </w:p>
  </w:footnote>
  <w:footnote w:id="9">
    <w:p w14:paraId="119A6CB9" w14:textId="35F8C0E1" w:rsidR="004D48BB" w:rsidRPr="00D7088F" w:rsidRDefault="004D48BB" w:rsidP="004C39BF">
      <w:pPr>
        <w:pStyle w:val="FootnoteText"/>
        <w:jc w:val="both"/>
        <w:rPr>
          <w:rFonts w:ascii="Times New Roman" w:hAnsi="Times New Roman"/>
          <w:noProof/>
          <w:color w:val="000000" w:themeColor="text1"/>
          <w:lang w:val="ro-RO"/>
        </w:rPr>
      </w:pPr>
      <w:r w:rsidRPr="00D7088F">
        <w:rPr>
          <w:rStyle w:val="FootnoteReference"/>
          <w:rFonts w:ascii="Times New Roman" w:hAnsi="Times New Roman"/>
          <w:noProof/>
          <w:color w:val="000000" w:themeColor="text1"/>
          <w:lang w:val="ro-RO"/>
        </w:rPr>
        <w:footnoteRef/>
      </w:r>
      <w:r w:rsidRPr="00D7088F">
        <w:rPr>
          <w:rFonts w:ascii="Times New Roman" w:hAnsi="Times New Roman"/>
          <w:noProof/>
          <w:color w:val="000000" w:themeColor="text1"/>
          <w:lang w:val="ro-RO"/>
        </w:rPr>
        <w:t xml:space="preserve"> </w:t>
      </w:r>
      <w:r w:rsidRPr="00D7088F">
        <w:rPr>
          <w:rFonts w:ascii="Times New Roman" w:hAnsi="Times New Roman"/>
          <w:noProof/>
          <w:color w:val="000000" w:themeColor="text1"/>
          <w:lang w:val="ro-RO"/>
        </w:rPr>
        <w:t xml:space="preserve">Curtea Europeană a Drepturilor Omului </w:t>
      </w:r>
      <w:r w:rsidR="005645AE">
        <w:rPr>
          <w:rFonts w:ascii="Times New Roman" w:hAnsi="Times New Roman"/>
          <w:noProof/>
          <w:color w:val="000000" w:themeColor="text1"/>
          <w:lang w:val="ro-RO"/>
        </w:rPr>
        <w:t>(</w:t>
      </w:r>
      <w:r w:rsidRPr="00D7088F">
        <w:rPr>
          <w:rFonts w:ascii="Times New Roman" w:hAnsi="Times New Roman"/>
          <w:noProof/>
          <w:color w:val="000000" w:themeColor="text1"/>
          <w:lang w:val="ro-RO"/>
        </w:rPr>
        <w:t>Marea Cameră</w:t>
      </w:r>
      <w:r w:rsidR="005645AE">
        <w:rPr>
          <w:rFonts w:ascii="Times New Roman" w:hAnsi="Times New Roman"/>
          <w:noProof/>
          <w:color w:val="000000" w:themeColor="text1"/>
          <w:lang w:val="ro-RO"/>
        </w:rPr>
        <w:t>)</w:t>
      </w:r>
      <w:r w:rsidR="00F50494">
        <w:rPr>
          <w:rFonts w:ascii="Times New Roman" w:hAnsi="Times New Roman"/>
          <w:noProof/>
          <w:color w:val="000000" w:themeColor="text1"/>
          <w:lang w:val="ro-RO"/>
        </w:rPr>
        <w:t>,</w:t>
      </w:r>
      <w:r w:rsidRPr="00D7088F">
        <w:rPr>
          <w:rFonts w:ascii="Times New Roman" w:hAnsi="Times New Roman"/>
          <w:noProof/>
          <w:color w:val="000000" w:themeColor="text1"/>
          <w:lang w:val="ro-RO"/>
        </w:rPr>
        <w:t xml:space="preserve"> </w:t>
      </w:r>
      <w:r w:rsidR="00F50494">
        <w:rPr>
          <w:rFonts w:ascii="Times New Roman" w:hAnsi="Times New Roman"/>
          <w:noProof/>
          <w:color w:val="000000" w:themeColor="text1"/>
          <w:lang w:val="ro-RO"/>
        </w:rPr>
        <w:t>Hotărârea</w:t>
      </w:r>
      <w:r w:rsidRPr="00D7088F">
        <w:rPr>
          <w:rFonts w:ascii="Times New Roman" w:hAnsi="Times New Roman"/>
          <w:noProof/>
          <w:color w:val="000000" w:themeColor="text1"/>
          <w:lang w:val="ro-RO"/>
        </w:rPr>
        <w:t xml:space="preserve"> din 23 mai 2016</w:t>
      </w:r>
      <w:r w:rsidR="00F50494">
        <w:rPr>
          <w:rFonts w:ascii="Times New Roman" w:hAnsi="Times New Roman"/>
          <w:noProof/>
          <w:color w:val="000000" w:themeColor="text1"/>
          <w:lang w:val="ro-RO"/>
        </w:rPr>
        <w:t xml:space="preserve"> pronunțată</w:t>
      </w:r>
      <w:r w:rsidRPr="00D7088F">
        <w:rPr>
          <w:rFonts w:ascii="Times New Roman" w:hAnsi="Times New Roman"/>
          <w:noProof/>
          <w:color w:val="000000" w:themeColor="text1"/>
          <w:lang w:val="ro-RO"/>
        </w:rPr>
        <w:t xml:space="preserve"> </w:t>
      </w:r>
      <w:r w:rsidR="00EA1E00" w:rsidRPr="00D7088F">
        <w:rPr>
          <w:rFonts w:ascii="Times New Roman" w:hAnsi="Times New Roman"/>
          <w:noProof/>
          <w:color w:val="000000" w:themeColor="text1"/>
          <w:lang w:val="ro-RO"/>
        </w:rPr>
        <w:t>î</w:t>
      </w:r>
      <w:r w:rsidRPr="00D7088F">
        <w:rPr>
          <w:rFonts w:ascii="Times New Roman" w:hAnsi="Times New Roman"/>
          <w:noProof/>
          <w:color w:val="000000" w:themeColor="text1"/>
          <w:lang w:val="ro-RO"/>
        </w:rPr>
        <w:t xml:space="preserve">n </w:t>
      </w:r>
      <w:r w:rsidR="00F50494">
        <w:rPr>
          <w:rFonts w:ascii="Times New Roman" w:hAnsi="Times New Roman"/>
          <w:noProof/>
          <w:color w:val="000000" w:themeColor="text1"/>
          <w:lang w:val="ro-RO"/>
        </w:rPr>
        <w:t>c</w:t>
      </w:r>
      <w:r w:rsidRPr="00D7088F">
        <w:rPr>
          <w:rFonts w:ascii="Times New Roman" w:hAnsi="Times New Roman"/>
          <w:noProof/>
          <w:color w:val="000000" w:themeColor="text1"/>
          <w:lang w:val="ro-RO"/>
        </w:rPr>
        <w:t xml:space="preserve">auza </w:t>
      </w:r>
      <w:r w:rsidRPr="00F50494">
        <w:rPr>
          <w:rFonts w:ascii="Times New Roman" w:hAnsi="Times New Roman"/>
          <w:i/>
          <w:iCs/>
          <w:noProof/>
          <w:color w:val="000000" w:themeColor="text1"/>
          <w:lang w:val="ro-RO"/>
        </w:rPr>
        <w:t>Avotiņš împotriva Letoniei</w:t>
      </w:r>
      <w:r w:rsidR="00F50494">
        <w:rPr>
          <w:rFonts w:ascii="Times New Roman" w:hAnsi="Times New Roman"/>
          <w:noProof/>
          <w:color w:val="000000" w:themeColor="text1"/>
          <w:lang w:val="ro-RO"/>
        </w:rPr>
        <w:t>.</w:t>
      </w:r>
    </w:p>
  </w:footnote>
  <w:footnote w:id="10">
    <w:p w14:paraId="15F429E5" w14:textId="083205C0" w:rsidR="00564165" w:rsidRPr="00D7088F" w:rsidRDefault="00564165" w:rsidP="004C39BF">
      <w:pPr>
        <w:pStyle w:val="FootnoteText"/>
        <w:rPr>
          <w:rFonts w:ascii="Times New Roman" w:hAnsi="Times New Roman"/>
          <w:noProof/>
          <w:color w:val="000000" w:themeColor="text1"/>
          <w:lang w:val="ro-RO"/>
        </w:rPr>
      </w:pPr>
      <w:r w:rsidRPr="00D7088F">
        <w:rPr>
          <w:rStyle w:val="FootnoteReference"/>
          <w:rFonts w:ascii="Times New Roman" w:hAnsi="Times New Roman"/>
          <w:noProof/>
          <w:color w:val="000000" w:themeColor="text1"/>
          <w:lang w:val="ro-RO"/>
        </w:rPr>
        <w:footnoteRef/>
      </w:r>
      <w:r w:rsidRPr="00D7088F">
        <w:rPr>
          <w:rFonts w:ascii="Times New Roman" w:hAnsi="Times New Roman"/>
          <w:noProof/>
          <w:color w:val="000000" w:themeColor="text1"/>
          <w:lang w:val="ro-RO"/>
        </w:rPr>
        <w:t xml:space="preserve"> </w:t>
      </w:r>
      <w:r w:rsidRPr="00D7088F">
        <w:rPr>
          <w:rFonts w:ascii="Times New Roman" w:hAnsi="Times New Roman"/>
          <w:noProof/>
          <w:color w:val="000000" w:themeColor="text1"/>
          <w:lang w:val="ro-RO"/>
        </w:rPr>
        <w:t>Concluziile A</w:t>
      </w:r>
      <w:r w:rsidR="00F50494">
        <w:rPr>
          <w:rFonts w:ascii="Times New Roman" w:hAnsi="Times New Roman"/>
          <w:noProof/>
          <w:color w:val="000000" w:themeColor="text1"/>
          <w:lang w:val="ro-RO"/>
        </w:rPr>
        <w:t xml:space="preserve">vocatului </w:t>
      </w:r>
      <w:r w:rsidRPr="00D7088F">
        <w:rPr>
          <w:rFonts w:ascii="Times New Roman" w:hAnsi="Times New Roman"/>
          <w:noProof/>
          <w:color w:val="000000" w:themeColor="text1"/>
          <w:lang w:val="ro-RO"/>
        </w:rPr>
        <w:t>G</w:t>
      </w:r>
      <w:r w:rsidR="00F50494">
        <w:rPr>
          <w:rFonts w:ascii="Times New Roman" w:hAnsi="Times New Roman"/>
          <w:noProof/>
          <w:color w:val="000000" w:themeColor="text1"/>
          <w:lang w:val="ro-RO"/>
        </w:rPr>
        <w:t>eneral</w:t>
      </w:r>
      <w:r w:rsidRPr="00D7088F">
        <w:rPr>
          <w:rFonts w:ascii="Times New Roman" w:hAnsi="Times New Roman"/>
          <w:noProof/>
          <w:color w:val="000000" w:themeColor="text1"/>
          <w:lang w:val="ro-RO"/>
        </w:rPr>
        <w:t xml:space="preserve">  J. Kokott în cauza C-73/16, para. 122</w:t>
      </w:r>
      <w:r w:rsidR="00F50494">
        <w:rPr>
          <w:rFonts w:ascii="Times New Roman" w:hAnsi="Times New Roman"/>
          <w:noProof/>
          <w:color w:val="000000" w:themeColor="text1"/>
          <w:lang w:val="ro-RO"/>
        </w:rPr>
        <w:t>.</w:t>
      </w:r>
    </w:p>
  </w:footnote>
  <w:footnote w:id="11">
    <w:p w14:paraId="271E65A0" w14:textId="52BB6085" w:rsidR="00564165" w:rsidRPr="00D7088F" w:rsidRDefault="00564165" w:rsidP="004C39BF">
      <w:pPr>
        <w:pStyle w:val="FootnoteText"/>
        <w:rPr>
          <w:rFonts w:ascii="Times New Roman" w:hAnsi="Times New Roman"/>
          <w:noProof/>
          <w:color w:val="000000" w:themeColor="text1"/>
          <w:lang w:val="ro-RO"/>
        </w:rPr>
      </w:pPr>
      <w:r w:rsidRPr="00D7088F">
        <w:rPr>
          <w:rStyle w:val="FootnoteReference"/>
          <w:rFonts w:ascii="Times New Roman" w:hAnsi="Times New Roman"/>
          <w:noProof/>
          <w:color w:val="000000" w:themeColor="text1"/>
          <w:lang w:val="ro-RO"/>
        </w:rPr>
        <w:footnoteRef/>
      </w:r>
      <w:r w:rsidRPr="00D7088F">
        <w:rPr>
          <w:rFonts w:ascii="Times New Roman" w:hAnsi="Times New Roman"/>
          <w:noProof/>
          <w:color w:val="000000" w:themeColor="text1"/>
          <w:lang w:val="ro-RO"/>
        </w:rPr>
        <w:t xml:space="preserve"> </w:t>
      </w:r>
      <w:r w:rsidRPr="00D7088F">
        <w:rPr>
          <w:rFonts w:ascii="Times New Roman" w:hAnsi="Times New Roman"/>
          <w:noProof/>
          <w:color w:val="000000" w:themeColor="text1"/>
          <w:lang w:val="ro-RO"/>
        </w:rPr>
        <w:t>I</w:t>
      </w:r>
      <w:r w:rsidR="0055776A" w:rsidRPr="00D7088F">
        <w:rPr>
          <w:rFonts w:ascii="Times New Roman" w:hAnsi="Times New Roman"/>
          <w:noProof/>
          <w:color w:val="000000" w:themeColor="text1"/>
          <w:lang w:val="ro-RO"/>
        </w:rPr>
        <w:t>bi</w:t>
      </w:r>
      <w:r w:rsidRPr="00D7088F">
        <w:rPr>
          <w:rFonts w:ascii="Times New Roman" w:hAnsi="Times New Roman"/>
          <w:noProof/>
          <w:color w:val="000000" w:themeColor="text1"/>
          <w:lang w:val="ro-RO"/>
        </w:rPr>
        <w:t>dem, para.123</w:t>
      </w:r>
      <w:r w:rsidR="00F50494">
        <w:rPr>
          <w:rFonts w:ascii="Times New Roman" w:hAnsi="Times New Roman"/>
          <w:noProof/>
          <w:color w:val="000000" w:themeColor="text1"/>
          <w:lang w:val="ro-RO"/>
        </w:rPr>
        <w:t>.</w:t>
      </w:r>
    </w:p>
  </w:footnote>
  <w:footnote w:id="12">
    <w:p w14:paraId="73236973" w14:textId="61C7B064" w:rsidR="00F50494" w:rsidRPr="00D7088F" w:rsidRDefault="00564165" w:rsidP="004C39BF">
      <w:pPr>
        <w:pStyle w:val="FootnoteText"/>
        <w:jc w:val="both"/>
        <w:rPr>
          <w:rFonts w:ascii="Times New Roman" w:hAnsi="Times New Roman"/>
          <w:noProof/>
          <w:color w:val="000000" w:themeColor="text1"/>
          <w:lang w:val="ro-RO"/>
        </w:rPr>
      </w:pPr>
      <w:r w:rsidRPr="00D7088F">
        <w:rPr>
          <w:rStyle w:val="FootnoteReference"/>
          <w:rFonts w:ascii="Times New Roman" w:hAnsi="Times New Roman"/>
          <w:noProof/>
          <w:color w:val="000000" w:themeColor="text1"/>
          <w:lang w:val="ro-RO"/>
        </w:rPr>
        <w:footnoteRef/>
      </w:r>
      <w:r w:rsidRPr="00D7088F">
        <w:rPr>
          <w:rFonts w:ascii="Times New Roman" w:hAnsi="Times New Roman"/>
          <w:noProof/>
          <w:color w:val="000000" w:themeColor="text1"/>
          <w:lang w:val="ro-RO"/>
        </w:rPr>
        <w:t xml:space="preserve"> </w:t>
      </w:r>
      <w:r w:rsidR="00F50494" w:rsidRPr="00D7088F">
        <w:rPr>
          <w:rFonts w:ascii="Times New Roman" w:hAnsi="Times New Roman"/>
          <w:noProof/>
          <w:color w:val="000000" w:themeColor="text1"/>
          <w:lang w:val="ro-RO"/>
        </w:rPr>
        <w:t>Koen</w:t>
      </w:r>
      <w:r w:rsidR="00F50494">
        <w:rPr>
          <w:rFonts w:ascii="Times New Roman" w:hAnsi="Times New Roman"/>
          <w:noProof/>
          <w:color w:val="000000" w:themeColor="text1"/>
          <w:lang w:val="ro-RO"/>
        </w:rPr>
        <w:t xml:space="preserve"> Lenaerts, </w:t>
      </w:r>
      <w:r w:rsidR="004C39BF">
        <w:rPr>
          <w:rFonts w:ascii="Times New Roman" w:hAnsi="Times New Roman"/>
          <w:noProof/>
          <w:color w:val="000000" w:themeColor="text1"/>
          <w:lang w:val="ro-RO"/>
        </w:rPr>
        <w:t>op. cit</w:t>
      </w:r>
      <w:r w:rsidR="00F50494">
        <w:rPr>
          <w:rFonts w:ascii="Times New Roman" w:hAnsi="Times New Roman"/>
          <w:noProof/>
          <w:color w:val="000000" w:themeColor="text1"/>
          <w:lang w:val="ro-RO"/>
        </w:rPr>
        <w:t>.</w:t>
      </w:r>
    </w:p>
    <w:p w14:paraId="292DA7C6" w14:textId="309156CA" w:rsidR="00564165" w:rsidRPr="00D7088F" w:rsidRDefault="00564165" w:rsidP="004C39BF">
      <w:pPr>
        <w:pStyle w:val="FootnoteText"/>
        <w:jc w:val="both"/>
        <w:rPr>
          <w:rFonts w:ascii="Times New Roman" w:hAnsi="Times New Roman"/>
          <w:noProof/>
          <w:color w:val="000000" w:themeColor="text1"/>
          <w:lang w:val="ro-RO"/>
        </w:rPr>
      </w:pPr>
    </w:p>
  </w:footnote>
  <w:footnote w:id="13">
    <w:p w14:paraId="7855086B" w14:textId="23C7D2E0" w:rsidR="004C2D3E" w:rsidRPr="00D7088F" w:rsidRDefault="004C2D3E" w:rsidP="004C39BF">
      <w:pPr>
        <w:pStyle w:val="FootnoteText"/>
        <w:rPr>
          <w:rFonts w:ascii="Times New Roman" w:hAnsi="Times New Roman"/>
          <w:noProof/>
          <w:color w:val="000000" w:themeColor="text1"/>
          <w:lang w:val="ro-RO"/>
        </w:rPr>
      </w:pPr>
      <w:r w:rsidRPr="00D7088F">
        <w:rPr>
          <w:rStyle w:val="FootnoteReference"/>
          <w:rFonts w:ascii="Times New Roman" w:hAnsi="Times New Roman"/>
          <w:noProof/>
          <w:color w:val="000000" w:themeColor="text1"/>
          <w:lang w:val="ro-RO"/>
        </w:rPr>
        <w:footnoteRef/>
      </w:r>
      <w:r w:rsidRPr="00D7088F">
        <w:rPr>
          <w:rFonts w:ascii="Times New Roman" w:hAnsi="Times New Roman"/>
          <w:noProof/>
          <w:color w:val="000000" w:themeColor="text1"/>
          <w:lang w:val="ro-RO"/>
        </w:rPr>
        <w:t xml:space="preserve"> </w:t>
      </w:r>
      <w:r w:rsidRPr="00D7088F">
        <w:rPr>
          <w:rFonts w:ascii="Times New Roman" w:hAnsi="Times New Roman"/>
          <w:noProof/>
          <w:color w:val="000000" w:themeColor="text1"/>
          <w:lang w:val="ro-RO"/>
        </w:rPr>
        <w:t>Adrian Severin, Silvia Uscov</w:t>
      </w:r>
      <w:r w:rsidR="002807D8" w:rsidRPr="00D7088F">
        <w:rPr>
          <w:rFonts w:ascii="Times New Roman" w:hAnsi="Times New Roman"/>
          <w:noProof/>
          <w:color w:val="000000" w:themeColor="text1"/>
          <w:lang w:val="ro-RO"/>
        </w:rPr>
        <w:t>,</w:t>
      </w:r>
      <w:r w:rsidRPr="00D7088F">
        <w:rPr>
          <w:rFonts w:ascii="Times New Roman" w:hAnsi="Times New Roman"/>
          <w:noProof/>
          <w:color w:val="000000" w:themeColor="text1"/>
          <w:lang w:val="ro-RO"/>
        </w:rPr>
        <w:t xml:space="preserve"> </w:t>
      </w:r>
      <w:r w:rsidRPr="00F50494">
        <w:rPr>
          <w:rFonts w:ascii="Times New Roman" w:hAnsi="Times New Roman"/>
          <w:i/>
          <w:iCs/>
          <w:noProof/>
          <w:color w:val="000000" w:themeColor="text1"/>
          <w:lang w:val="ro-RO"/>
        </w:rPr>
        <w:t>Considerații asupra raportului dintre ordinea de drept națională română și ordinea de drept a UE</w:t>
      </w:r>
      <w:r w:rsidR="002807D8" w:rsidRPr="00D7088F">
        <w:rPr>
          <w:rFonts w:ascii="Times New Roman" w:hAnsi="Times New Roman"/>
          <w:noProof/>
          <w:color w:val="000000" w:themeColor="text1"/>
          <w:lang w:val="ro-RO"/>
        </w:rPr>
        <w:t>,</w:t>
      </w:r>
      <w:r w:rsidRPr="00D7088F">
        <w:rPr>
          <w:rFonts w:ascii="Times New Roman" w:hAnsi="Times New Roman"/>
          <w:noProof/>
          <w:color w:val="000000" w:themeColor="text1"/>
          <w:lang w:val="ro-RO"/>
        </w:rPr>
        <w:t xml:space="preserve"> publicat pe</w:t>
      </w:r>
      <w:r w:rsidR="00F50494">
        <w:rPr>
          <w:rFonts w:ascii="Times New Roman" w:hAnsi="Times New Roman"/>
          <w:noProof/>
          <w:color w:val="000000" w:themeColor="text1"/>
          <w:lang w:val="ro-RO"/>
        </w:rPr>
        <w:t xml:space="preserve"> site-ul </w:t>
      </w:r>
      <w:hyperlink r:id="rId2" w:history="1">
        <w:r w:rsidR="00F50494" w:rsidRPr="00F665B6">
          <w:rPr>
            <w:rStyle w:val="Hyperlink"/>
            <w:rFonts w:ascii="Times New Roman" w:hAnsi="Times New Roman"/>
            <w:noProof/>
            <w:lang w:val="ro-RO"/>
          </w:rPr>
          <w:t>www.juridice.ro</w:t>
        </w:r>
      </w:hyperlink>
      <w:r w:rsidR="00F50494">
        <w:rPr>
          <w:rFonts w:ascii="Times New Roman" w:hAnsi="Times New Roman"/>
          <w:noProof/>
          <w:color w:val="000000" w:themeColor="text1"/>
          <w:lang w:val="ro-RO"/>
        </w:rPr>
        <w:t xml:space="preserve"> </w:t>
      </w:r>
      <w:r w:rsidR="009B399B" w:rsidRPr="00D7088F">
        <w:rPr>
          <w:rFonts w:ascii="Times New Roman" w:hAnsi="Times New Roman"/>
          <w:noProof/>
          <w:color w:val="000000" w:themeColor="text1"/>
          <w:lang w:val="ro-RO"/>
        </w:rPr>
        <w:t xml:space="preserve">și în volumul </w:t>
      </w:r>
      <w:r w:rsidR="009B399B" w:rsidRPr="00D7088F">
        <w:rPr>
          <w:rFonts w:ascii="Times New Roman" w:hAnsi="Times New Roman"/>
          <w:i/>
          <w:iCs/>
          <w:noProof/>
          <w:color w:val="000000" w:themeColor="text1"/>
          <w:lang w:val="ro-RO"/>
        </w:rPr>
        <w:t>In honorem Brândușa Ștefănescu</w:t>
      </w:r>
      <w:r w:rsidR="009B399B" w:rsidRPr="00D7088F">
        <w:rPr>
          <w:rFonts w:ascii="Times New Roman" w:hAnsi="Times New Roman"/>
          <w:noProof/>
          <w:color w:val="000000" w:themeColor="text1"/>
          <w:lang w:val="ro-RO"/>
        </w:rPr>
        <w:t>, Ed</w:t>
      </w:r>
      <w:r w:rsidR="008C5EB0" w:rsidRPr="00D7088F">
        <w:rPr>
          <w:rFonts w:ascii="Times New Roman" w:hAnsi="Times New Roman"/>
          <w:noProof/>
          <w:color w:val="000000" w:themeColor="text1"/>
          <w:lang w:val="ro-RO"/>
        </w:rPr>
        <w:t>.</w:t>
      </w:r>
      <w:r w:rsidR="009B399B" w:rsidRPr="00D7088F">
        <w:rPr>
          <w:rFonts w:ascii="Times New Roman" w:hAnsi="Times New Roman"/>
          <w:noProof/>
          <w:color w:val="000000" w:themeColor="text1"/>
          <w:lang w:val="ro-RO"/>
        </w:rPr>
        <w:t xml:space="preserve"> Hamangiu</w:t>
      </w:r>
      <w:r w:rsidR="008C5EB0" w:rsidRPr="00D7088F">
        <w:rPr>
          <w:rFonts w:ascii="Times New Roman" w:hAnsi="Times New Roman"/>
          <w:noProof/>
          <w:color w:val="000000" w:themeColor="text1"/>
          <w:lang w:val="ro-RO"/>
        </w:rPr>
        <w:t>, 2023</w:t>
      </w:r>
      <w:r w:rsidR="00F50494">
        <w:rPr>
          <w:rFonts w:ascii="Times New Roman" w:hAnsi="Times New Roman"/>
          <w:noProof/>
          <w:color w:val="000000" w:themeColor="text1"/>
          <w:lang w:val="ro-RO"/>
        </w:rPr>
        <w:t>.</w:t>
      </w:r>
    </w:p>
  </w:footnote>
  <w:footnote w:id="14">
    <w:p w14:paraId="27FD412A" w14:textId="6F8750FC" w:rsidR="005645AE" w:rsidRPr="00D7088F" w:rsidRDefault="005645AE" w:rsidP="004C39BF">
      <w:pPr>
        <w:pStyle w:val="FootnoteText"/>
        <w:jc w:val="both"/>
        <w:rPr>
          <w:rFonts w:ascii="Times New Roman" w:hAnsi="Times New Roman"/>
          <w:noProof/>
          <w:color w:val="000000" w:themeColor="text1"/>
          <w:lang w:val="ro-RO"/>
        </w:rPr>
      </w:pPr>
      <w:r w:rsidRPr="00D7088F">
        <w:rPr>
          <w:rStyle w:val="FootnoteReference"/>
          <w:rFonts w:ascii="Times New Roman" w:hAnsi="Times New Roman"/>
          <w:noProof/>
          <w:color w:val="000000" w:themeColor="text1"/>
          <w:lang w:val="ro-RO"/>
        </w:rPr>
        <w:footnoteRef/>
      </w:r>
      <w:r w:rsidRPr="00D7088F">
        <w:rPr>
          <w:rFonts w:ascii="Times New Roman" w:hAnsi="Times New Roman"/>
          <w:noProof/>
          <w:color w:val="000000" w:themeColor="text1"/>
          <w:lang w:val="ro-RO"/>
        </w:rPr>
        <w:t xml:space="preserve"> </w:t>
      </w:r>
      <w:r w:rsidR="00D421D7">
        <w:rPr>
          <w:rFonts w:ascii="Times New Roman" w:hAnsi="Times New Roman"/>
          <w:noProof/>
          <w:color w:val="000000" w:themeColor="text1"/>
          <w:lang w:val="ro-RO"/>
        </w:rPr>
        <w:t xml:space="preserve">As se vedea în acest sens </w:t>
      </w:r>
      <w:r w:rsidRPr="00D7088F">
        <w:rPr>
          <w:rFonts w:ascii="Times New Roman" w:hAnsi="Times New Roman"/>
          <w:noProof/>
          <w:color w:val="000000" w:themeColor="text1"/>
          <w:lang w:val="ro-RO"/>
        </w:rPr>
        <w:t>Decizia nr. 148 din 16 aprilie 2003, publicată în Monitorul Oficial al României, Partea I, nr. 317 din 12 mai 2003, și Decizia nr. 80 din 16 februarie 2014, publicată în Monitorul Oficial al României, Partea I, nr. 246 din 7 aprilie 2014</w:t>
      </w:r>
      <w:r>
        <w:rPr>
          <w:rFonts w:ascii="Times New Roman" w:hAnsi="Times New Roman"/>
          <w:noProof/>
          <w:color w:val="000000" w:themeColor="text1"/>
          <w:lang w:val="ro-RO"/>
        </w:rPr>
        <w:t>.</w:t>
      </w:r>
    </w:p>
  </w:footnote>
  <w:footnote w:id="15">
    <w:p w14:paraId="31224B07" w14:textId="4740A7B3" w:rsidR="00E264E6" w:rsidRPr="00D7088F" w:rsidRDefault="00E264E6" w:rsidP="004C39BF">
      <w:pPr>
        <w:pStyle w:val="FootnoteText"/>
        <w:rPr>
          <w:rFonts w:ascii="Times New Roman" w:hAnsi="Times New Roman"/>
          <w:noProof/>
          <w:color w:val="000000" w:themeColor="text1"/>
          <w:lang w:val="ro-RO"/>
        </w:rPr>
      </w:pPr>
      <w:r w:rsidRPr="00D7088F">
        <w:rPr>
          <w:rStyle w:val="FootnoteReference"/>
          <w:rFonts w:ascii="Times New Roman" w:hAnsi="Times New Roman"/>
          <w:noProof/>
          <w:color w:val="000000" w:themeColor="text1"/>
          <w:lang w:val="ro-RO"/>
        </w:rPr>
        <w:footnoteRef/>
      </w:r>
      <w:r w:rsidRPr="00D7088F">
        <w:rPr>
          <w:rFonts w:ascii="Times New Roman" w:hAnsi="Times New Roman"/>
          <w:noProof/>
          <w:color w:val="000000" w:themeColor="text1"/>
          <w:lang w:val="ro-RO"/>
        </w:rPr>
        <w:t xml:space="preserve"> </w:t>
      </w:r>
      <w:r w:rsidRPr="00D7088F">
        <w:rPr>
          <w:rFonts w:ascii="Times New Roman" w:hAnsi="Times New Roman"/>
          <w:noProof/>
          <w:color w:val="000000" w:themeColor="text1"/>
          <w:lang w:val="ro-RO"/>
        </w:rPr>
        <w:t>Adrian Severin, Silvia Uscov</w:t>
      </w:r>
      <w:r w:rsidR="009B399B" w:rsidRPr="00D7088F">
        <w:rPr>
          <w:rFonts w:ascii="Times New Roman" w:hAnsi="Times New Roman"/>
          <w:noProof/>
          <w:color w:val="000000" w:themeColor="text1"/>
          <w:lang w:val="ro-RO"/>
        </w:rPr>
        <w:t>,</w:t>
      </w:r>
      <w:r w:rsidR="00D421D7">
        <w:rPr>
          <w:rFonts w:ascii="Times New Roman" w:hAnsi="Times New Roman"/>
          <w:noProof/>
          <w:color w:val="000000" w:themeColor="text1"/>
          <w:lang w:val="ro-RO"/>
        </w:rPr>
        <w:t xml:space="preserve"> op.cit</w:t>
      </w:r>
      <w:r w:rsidR="00E21CB9">
        <w:rPr>
          <w:rFonts w:ascii="Times New Roman" w:hAnsi="Times New Roman"/>
          <w:noProof/>
          <w:color w:val="000000" w:themeColor="text1"/>
          <w:lang w:val="ro-RO"/>
        </w:rPr>
        <w:t>.</w:t>
      </w:r>
    </w:p>
  </w:footnote>
  <w:footnote w:id="16">
    <w:p w14:paraId="7396D925" w14:textId="66BC5184" w:rsidR="00E264E6" w:rsidRPr="00D7088F" w:rsidRDefault="00E264E6" w:rsidP="004C39BF">
      <w:pPr>
        <w:pStyle w:val="FootnoteText"/>
        <w:rPr>
          <w:rFonts w:ascii="Times New Roman" w:hAnsi="Times New Roman"/>
          <w:noProof/>
          <w:color w:val="000000" w:themeColor="text1"/>
          <w:lang w:val="ro-RO"/>
        </w:rPr>
      </w:pPr>
      <w:r w:rsidRPr="00D7088F">
        <w:rPr>
          <w:rStyle w:val="FootnoteReference"/>
          <w:rFonts w:ascii="Times New Roman" w:hAnsi="Times New Roman"/>
          <w:noProof/>
          <w:color w:val="000000" w:themeColor="text1"/>
          <w:lang w:val="ro-RO"/>
        </w:rPr>
        <w:footnoteRef/>
      </w:r>
      <w:r w:rsidRPr="00D7088F">
        <w:rPr>
          <w:rFonts w:ascii="Times New Roman" w:hAnsi="Times New Roman"/>
          <w:noProof/>
          <w:color w:val="000000" w:themeColor="text1"/>
          <w:lang w:val="ro-RO"/>
        </w:rPr>
        <w:t xml:space="preserve"> </w:t>
      </w:r>
      <w:r w:rsidR="00E07359" w:rsidRPr="00D7088F">
        <w:rPr>
          <w:rFonts w:ascii="Times New Roman" w:hAnsi="Times New Roman"/>
          <w:noProof/>
          <w:color w:val="000000" w:themeColor="text1"/>
          <w:lang w:val="ro-RO"/>
        </w:rPr>
        <w:t>I</w:t>
      </w:r>
      <w:r w:rsidR="005D0A02" w:rsidRPr="00D7088F">
        <w:rPr>
          <w:rFonts w:ascii="Times New Roman" w:hAnsi="Times New Roman"/>
          <w:noProof/>
          <w:color w:val="000000" w:themeColor="text1"/>
          <w:lang w:val="ro-RO"/>
        </w:rPr>
        <w:t>bi</w:t>
      </w:r>
      <w:r w:rsidRPr="00D7088F">
        <w:rPr>
          <w:rFonts w:ascii="Times New Roman" w:hAnsi="Times New Roman"/>
          <w:noProof/>
          <w:color w:val="000000" w:themeColor="text1"/>
          <w:lang w:val="ro-RO"/>
        </w:rPr>
        <w:t>dem</w:t>
      </w:r>
      <w:r w:rsidR="00E21CB9">
        <w:rPr>
          <w:rFonts w:ascii="Times New Roman" w:hAnsi="Times New Roman"/>
          <w:noProof/>
          <w:color w:val="000000" w:themeColor="text1"/>
          <w:lang w:val="ro-RO"/>
        </w:rPr>
        <w:t>.</w:t>
      </w:r>
    </w:p>
  </w:footnote>
  <w:footnote w:id="17">
    <w:p w14:paraId="4FDD9EB7" w14:textId="09C205B3" w:rsidR="005D0A02" w:rsidRPr="00D7088F" w:rsidRDefault="005D0A02" w:rsidP="004C39BF">
      <w:pPr>
        <w:pStyle w:val="FootnoteText"/>
        <w:rPr>
          <w:rFonts w:ascii="Times New Roman" w:hAnsi="Times New Roman"/>
          <w:noProof/>
          <w:color w:val="000000" w:themeColor="text1"/>
          <w:lang w:val="ro-RO"/>
        </w:rPr>
      </w:pPr>
      <w:r w:rsidRPr="00D7088F">
        <w:rPr>
          <w:rStyle w:val="FootnoteReference"/>
          <w:rFonts w:ascii="Times New Roman" w:hAnsi="Times New Roman"/>
          <w:noProof/>
          <w:color w:val="000000" w:themeColor="text1"/>
          <w:lang w:val="ro-RO"/>
        </w:rPr>
        <w:footnoteRef/>
      </w:r>
      <w:r w:rsidRPr="00D7088F">
        <w:rPr>
          <w:rFonts w:ascii="Times New Roman" w:hAnsi="Times New Roman"/>
          <w:noProof/>
          <w:color w:val="000000" w:themeColor="text1"/>
          <w:lang w:val="ro-RO"/>
        </w:rPr>
        <w:t xml:space="preserve"> </w:t>
      </w:r>
      <w:r w:rsidRPr="00D7088F">
        <w:rPr>
          <w:rFonts w:ascii="Times New Roman" w:hAnsi="Times New Roman"/>
          <w:noProof/>
          <w:color w:val="000000" w:themeColor="text1"/>
          <w:lang w:val="ro-RO"/>
        </w:rPr>
        <w:t>Ibidem</w:t>
      </w:r>
      <w:r w:rsidR="00E21CB9">
        <w:rPr>
          <w:rFonts w:ascii="Times New Roman" w:hAnsi="Times New Roman"/>
          <w:noProof/>
          <w:color w:val="000000" w:themeColor="text1"/>
          <w:lang w:val="ro-RO"/>
        </w:rPr>
        <w:t>.</w:t>
      </w:r>
    </w:p>
  </w:footnote>
  <w:footnote w:id="18">
    <w:p w14:paraId="53D7DBFC" w14:textId="73614BD0" w:rsidR="00B33E51" w:rsidRPr="00D7088F" w:rsidRDefault="00B33E51" w:rsidP="004C39BF">
      <w:pPr>
        <w:pStyle w:val="FootnoteText"/>
        <w:rPr>
          <w:rFonts w:ascii="Times New Roman" w:hAnsi="Times New Roman"/>
          <w:noProof/>
          <w:color w:val="000000" w:themeColor="text1"/>
          <w:lang w:val="ro-RO"/>
        </w:rPr>
      </w:pPr>
      <w:r w:rsidRPr="00D7088F">
        <w:rPr>
          <w:rStyle w:val="FootnoteReference"/>
          <w:rFonts w:ascii="Times New Roman" w:hAnsi="Times New Roman"/>
          <w:noProof/>
          <w:color w:val="000000" w:themeColor="text1"/>
          <w:lang w:val="ro-RO"/>
        </w:rPr>
        <w:footnoteRef/>
      </w:r>
      <w:r w:rsidRPr="00D7088F">
        <w:rPr>
          <w:rFonts w:ascii="Times New Roman" w:hAnsi="Times New Roman"/>
          <w:noProof/>
          <w:color w:val="000000" w:themeColor="text1"/>
          <w:lang w:val="ro-RO"/>
        </w:rPr>
        <w:t xml:space="preserve"> </w:t>
      </w:r>
      <w:r w:rsidRPr="00D7088F">
        <w:rPr>
          <w:rFonts w:ascii="Times New Roman" w:hAnsi="Times New Roman"/>
          <w:noProof/>
          <w:color w:val="000000" w:themeColor="text1"/>
          <w:lang w:val="ro-RO"/>
        </w:rPr>
        <w:t>I</w:t>
      </w:r>
      <w:r w:rsidR="0055776A" w:rsidRPr="00D7088F">
        <w:rPr>
          <w:rFonts w:ascii="Times New Roman" w:hAnsi="Times New Roman"/>
          <w:noProof/>
          <w:color w:val="000000" w:themeColor="text1"/>
          <w:lang w:val="ro-RO"/>
        </w:rPr>
        <w:t>bi</w:t>
      </w:r>
      <w:r w:rsidRPr="00D7088F">
        <w:rPr>
          <w:rFonts w:ascii="Times New Roman" w:hAnsi="Times New Roman"/>
          <w:noProof/>
          <w:color w:val="000000" w:themeColor="text1"/>
          <w:lang w:val="ro-RO"/>
        </w:rPr>
        <w:t>dem</w:t>
      </w:r>
      <w:r w:rsidR="00E21CB9">
        <w:rPr>
          <w:rFonts w:ascii="Times New Roman" w:hAnsi="Times New Roman"/>
          <w:noProof/>
          <w:color w:val="000000" w:themeColor="text1"/>
          <w:lang w:val="ro-RO"/>
        </w:rPr>
        <w:t>.</w:t>
      </w:r>
    </w:p>
  </w:footnote>
  <w:footnote w:id="19">
    <w:p w14:paraId="51EEE679" w14:textId="77777777" w:rsidR="0001440B" w:rsidRPr="00D7088F" w:rsidRDefault="0001440B" w:rsidP="004C39BF">
      <w:pPr>
        <w:pStyle w:val="FootnoteText"/>
        <w:jc w:val="both"/>
        <w:rPr>
          <w:rFonts w:ascii="Times New Roman" w:hAnsi="Times New Roman"/>
          <w:noProof/>
          <w:color w:val="000000" w:themeColor="text1"/>
          <w:lang w:val="ro-RO"/>
        </w:rPr>
      </w:pPr>
      <w:r w:rsidRPr="00D7088F">
        <w:rPr>
          <w:rStyle w:val="FootnoteReference"/>
          <w:rFonts w:ascii="Times New Roman" w:hAnsi="Times New Roman"/>
          <w:noProof/>
          <w:color w:val="000000" w:themeColor="text1"/>
          <w:lang w:val="ro-RO"/>
        </w:rPr>
        <w:footnoteRef/>
      </w:r>
      <w:r w:rsidRPr="00D7088F">
        <w:rPr>
          <w:rFonts w:ascii="Times New Roman" w:hAnsi="Times New Roman"/>
          <w:noProof/>
          <w:color w:val="000000" w:themeColor="text1"/>
          <w:lang w:val="ro-RO"/>
        </w:rPr>
        <w:t xml:space="preserve"> </w:t>
      </w:r>
      <w:hyperlink r:id="rId3" w:history="1">
        <w:r w:rsidRPr="00D7088F">
          <w:rPr>
            <w:rStyle w:val="Hyperlink"/>
            <w:rFonts w:ascii="Times New Roman" w:hAnsi="Times New Roman"/>
            <w:noProof/>
            <w:color w:val="000000" w:themeColor="text1"/>
            <w:lang w:val="ro-RO"/>
          </w:rPr>
          <w:t>https://www.iccj.ro/2022/11/29/decizia-nr-67-din-25-octombrie-2022/</w:t>
        </w:r>
      </w:hyperlink>
      <w:r w:rsidRPr="00D7088F">
        <w:rPr>
          <w:rFonts w:ascii="Times New Roman" w:hAnsi="Times New Roman"/>
          <w:noProof/>
          <w:color w:val="000000" w:themeColor="text1"/>
          <w:lang w:val="ro-RO"/>
        </w:rPr>
        <w:t xml:space="preserve"> </w:t>
      </w:r>
    </w:p>
  </w:footnote>
  <w:footnote w:id="20">
    <w:p w14:paraId="779FA2F5" w14:textId="36B97738" w:rsidR="00CB2982" w:rsidRPr="00D7088F" w:rsidRDefault="00CB2982" w:rsidP="004C39BF">
      <w:pPr>
        <w:pStyle w:val="Heading2"/>
        <w:spacing w:after="0" w:line="240" w:lineRule="auto"/>
        <w:rPr>
          <w:rFonts w:ascii="Times New Roman" w:hAnsi="Times New Roman"/>
          <w:b w:val="0"/>
          <w:bCs/>
          <w:noProof/>
          <w:color w:val="000000" w:themeColor="text1"/>
          <w:sz w:val="20"/>
          <w:szCs w:val="20"/>
        </w:rPr>
      </w:pPr>
      <w:r w:rsidRPr="00D7088F">
        <w:rPr>
          <w:rStyle w:val="FootnoteReference"/>
          <w:rFonts w:ascii="Times New Roman" w:hAnsi="Times New Roman"/>
          <w:b w:val="0"/>
          <w:bCs/>
          <w:noProof/>
          <w:color w:val="000000" w:themeColor="text1"/>
          <w:sz w:val="20"/>
          <w:szCs w:val="20"/>
        </w:rPr>
        <w:footnoteRef/>
      </w:r>
      <w:r w:rsidRPr="00D7088F">
        <w:rPr>
          <w:rFonts w:ascii="Times New Roman" w:hAnsi="Times New Roman"/>
          <w:b w:val="0"/>
          <w:bCs/>
          <w:noProof/>
          <w:color w:val="000000" w:themeColor="text1"/>
          <w:sz w:val="20"/>
          <w:szCs w:val="20"/>
        </w:rPr>
        <w:t xml:space="preserve"> </w:t>
      </w:r>
      <w:r w:rsidRPr="00D7088F">
        <w:rPr>
          <w:rFonts w:ascii="Times New Roman" w:hAnsi="Times New Roman"/>
          <w:b w:val="0"/>
          <w:bCs/>
          <w:noProof/>
          <w:color w:val="000000" w:themeColor="text1"/>
          <w:sz w:val="20"/>
          <w:szCs w:val="20"/>
        </w:rPr>
        <w:t>Marieta Safta</w:t>
      </w:r>
      <w:r w:rsidR="006B3ADA">
        <w:rPr>
          <w:rFonts w:ascii="Times New Roman" w:hAnsi="Times New Roman"/>
          <w:b w:val="0"/>
          <w:bCs/>
          <w:noProof/>
          <w:color w:val="000000" w:themeColor="text1"/>
          <w:sz w:val="20"/>
          <w:szCs w:val="20"/>
        </w:rPr>
        <w:t>,</w:t>
      </w:r>
      <w:r w:rsidRPr="00D7088F">
        <w:rPr>
          <w:rFonts w:ascii="Times New Roman" w:hAnsi="Times New Roman"/>
          <w:b w:val="0"/>
          <w:bCs/>
          <w:noProof/>
          <w:color w:val="000000" w:themeColor="text1"/>
          <w:sz w:val="20"/>
          <w:szCs w:val="20"/>
        </w:rPr>
        <w:t xml:space="preserve"> </w:t>
      </w:r>
      <w:r w:rsidR="004C39BF">
        <w:rPr>
          <w:rFonts w:ascii="Times New Roman" w:hAnsi="Times New Roman"/>
          <w:b w:val="0"/>
          <w:bCs/>
          <w:noProof/>
          <w:color w:val="000000" w:themeColor="text1"/>
          <w:sz w:val="20"/>
          <w:szCs w:val="20"/>
        </w:rPr>
        <w:t>op. cit.</w:t>
      </w:r>
      <w:r w:rsidR="006B3ADA">
        <w:rPr>
          <w:rFonts w:ascii="Times New Roman" w:hAnsi="Times New Roman"/>
          <w:b w:val="0"/>
          <w:bCs/>
          <w:noProof/>
          <w:color w:val="000000" w:themeColor="text1"/>
          <w:sz w:val="20"/>
          <w:szCs w:val="20"/>
        </w:rPr>
        <w:t xml:space="preserve"> </w:t>
      </w:r>
      <w:r w:rsidRPr="00D7088F">
        <w:rPr>
          <w:rFonts w:ascii="Times New Roman" w:hAnsi="Times New Roman"/>
          <w:b w:val="0"/>
          <w:bCs/>
          <w:noProof/>
          <w:color w:val="000000" w:themeColor="text1"/>
          <w:sz w:val="20"/>
          <w:szCs w:val="20"/>
        </w:rPr>
        <w:t xml:space="preserve"> </w:t>
      </w:r>
    </w:p>
    <w:p w14:paraId="13634642" w14:textId="423B8BD0" w:rsidR="00CB2982" w:rsidRPr="00D7088F" w:rsidRDefault="00CB2982" w:rsidP="004C39BF">
      <w:pPr>
        <w:pStyle w:val="FootnoteText"/>
        <w:rPr>
          <w:rFonts w:ascii="Times New Roman" w:hAnsi="Times New Roman"/>
          <w:noProof/>
          <w:color w:val="000000" w:themeColor="text1"/>
          <w:lang w:val="ro-RO"/>
        </w:rPr>
      </w:pPr>
    </w:p>
  </w:footnote>
  <w:footnote w:id="21">
    <w:p w14:paraId="55262D9A" w14:textId="2F504E32" w:rsidR="00FD3A5C" w:rsidRPr="00D7088F" w:rsidRDefault="00FD3A5C" w:rsidP="004C39BF">
      <w:pPr>
        <w:pStyle w:val="Heading2"/>
        <w:spacing w:after="0" w:line="240" w:lineRule="auto"/>
        <w:rPr>
          <w:rFonts w:ascii="Times New Roman" w:hAnsi="Times New Roman"/>
          <w:b w:val="0"/>
          <w:bCs/>
          <w:noProof/>
          <w:color w:val="000000" w:themeColor="text1"/>
          <w:sz w:val="20"/>
          <w:szCs w:val="20"/>
        </w:rPr>
      </w:pPr>
      <w:r w:rsidRPr="00D7088F">
        <w:rPr>
          <w:rStyle w:val="FootnoteReference"/>
          <w:rFonts w:ascii="Times New Roman" w:hAnsi="Times New Roman"/>
          <w:b w:val="0"/>
          <w:bCs/>
          <w:noProof/>
          <w:color w:val="000000" w:themeColor="text1"/>
          <w:sz w:val="20"/>
          <w:szCs w:val="20"/>
        </w:rPr>
        <w:footnoteRef/>
      </w:r>
      <w:r w:rsidRPr="00D7088F">
        <w:rPr>
          <w:rFonts w:ascii="Times New Roman" w:hAnsi="Times New Roman"/>
          <w:b w:val="0"/>
          <w:bCs/>
          <w:noProof/>
          <w:color w:val="000000" w:themeColor="text1"/>
          <w:sz w:val="20"/>
          <w:szCs w:val="20"/>
        </w:rPr>
        <w:t xml:space="preserve"> </w:t>
      </w:r>
      <w:r w:rsidRPr="006B3ADA">
        <w:rPr>
          <w:rFonts w:ascii="Times New Roman" w:hAnsi="Times New Roman"/>
          <w:b w:val="0"/>
          <w:bCs/>
          <w:i/>
          <w:iCs/>
          <w:noProof/>
          <w:color w:val="000000" w:themeColor="text1"/>
          <w:sz w:val="20"/>
          <w:szCs w:val="20"/>
        </w:rPr>
        <w:t>Apud</w:t>
      </w:r>
      <w:r w:rsidRPr="00D7088F">
        <w:rPr>
          <w:rFonts w:ascii="Times New Roman" w:hAnsi="Times New Roman"/>
          <w:b w:val="0"/>
          <w:bCs/>
          <w:noProof/>
          <w:color w:val="000000" w:themeColor="text1"/>
          <w:sz w:val="20"/>
          <w:szCs w:val="20"/>
        </w:rPr>
        <w:t xml:space="preserve"> Marieta Safta</w:t>
      </w:r>
      <w:r w:rsidR="006B3ADA">
        <w:rPr>
          <w:rFonts w:ascii="Times New Roman" w:hAnsi="Times New Roman"/>
          <w:b w:val="0"/>
          <w:bCs/>
          <w:noProof/>
          <w:color w:val="000000" w:themeColor="text1"/>
          <w:sz w:val="20"/>
          <w:szCs w:val="20"/>
        </w:rPr>
        <w:t>,</w:t>
      </w:r>
      <w:r w:rsidRPr="00D7088F">
        <w:rPr>
          <w:rFonts w:ascii="Times New Roman" w:hAnsi="Times New Roman"/>
          <w:b w:val="0"/>
          <w:bCs/>
          <w:noProof/>
          <w:color w:val="000000" w:themeColor="text1"/>
          <w:sz w:val="20"/>
          <w:szCs w:val="20"/>
        </w:rPr>
        <w:t xml:space="preserve"> </w:t>
      </w:r>
      <w:r w:rsidR="004C39BF" w:rsidRPr="004C39BF">
        <w:rPr>
          <w:rFonts w:ascii="Times New Roman" w:hAnsi="Times New Roman"/>
          <w:b w:val="0"/>
          <w:bCs/>
          <w:noProof/>
          <w:color w:val="000000" w:themeColor="text1"/>
          <w:sz w:val="20"/>
          <w:szCs w:val="20"/>
        </w:rPr>
        <w:t>op. cit.</w:t>
      </w:r>
      <w:r w:rsidRPr="00D7088F">
        <w:rPr>
          <w:rFonts w:ascii="Times New Roman" w:hAnsi="Times New Roman"/>
          <w:b w:val="0"/>
          <w:bCs/>
          <w:noProof/>
          <w:color w:val="000000" w:themeColor="text1"/>
          <w:sz w:val="20"/>
          <w:szCs w:val="20"/>
        </w:rPr>
        <w:t xml:space="preserve"> </w:t>
      </w:r>
    </w:p>
  </w:footnote>
  <w:footnote w:id="22">
    <w:p w14:paraId="37F4F382" w14:textId="0E434D36" w:rsidR="00BF4613" w:rsidRPr="00D7088F" w:rsidRDefault="00BF4613" w:rsidP="004C39BF">
      <w:pPr>
        <w:pStyle w:val="Heading3"/>
        <w:spacing w:before="0" w:line="240" w:lineRule="auto"/>
        <w:jc w:val="both"/>
        <w:rPr>
          <w:rFonts w:ascii="Times New Roman" w:hAnsi="Times New Roman" w:cs="Times New Roman"/>
          <w:noProof/>
          <w:color w:val="000000" w:themeColor="text1"/>
          <w:sz w:val="20"/>
          <w:szCs w:val="20"/>
          <w:lang w:val="ro-RO"/>
        </w:rPr>
      </w:pPr>
      <w:r w:rsidRPr="00D7088F">
        <w:rPr>
          <w:rStyle w:val="FootnoteReference"/>
          <w:rFonts w:ascii="Times New Roman" w:hAnsi="Times New Roman" w:cs="Times New Roman"/>
          <w:noProof/>
          <w:color w:val="000000" w:themeColor="text1"/>
          <w:sz w:val="20"/>
          <w:szCs w:val="20"/>
          <w:lang w:val="ro-RO"/>
        </w:rPr>
        <w:footnoteRef/>
      </w:r>
      <w:r w:rsidRPr="00D7088F">
        <w:rPr>
          <w:rFonts w:ascii="Times New Roman" w:hAnsi="Times New Roman" w:cs="Times New Roman"/>
          <w:noProof/>
          <w:color w:val="000000" w:themeColor="text1"/>
          <w:sz w:val="20"/>
          <w:szCs w:val="20"/>
          <w:lang w:val="ro-RO"/>
        </w:rPr>
        <w:t xml:space="preserve"> </w:t>
      </w:r>
      <w:r w:rsidRPr="00D7088F">
        <w:rPr>
          <w:rFonts w:ascii="Times New Roman" w:hAnsi="Times New Roman" w:cs="Times New Roman"/>
          <w:noProof/>
          <w:color w:val="000000" w:themeColor="text1"/>
          <w:sz w:val="20"/>
          <w:szCs w:val="20"/>
          <w:lang w:val="ro-RO"/>
        </w:rPr>
        <w:t>Paul Craig, Gráinne de Búrca</w:t>
      </w:r>
      <w:r w:rsidR="005645AE">
        <w:rPr>
          <w:rFonts w:ascii="Times New Roman" w:hAnsi="Times New Roman" w:cs="Times New Roman"/>
          <w:noProof/>
          <w:color w:val="000000" w:themeColor="text1"/>
          <w:sz w:val="20"/>
          <w:szCs w:val="20"/>
          <w:lang w:val="ro-RO"/>
        </w:rPr>
        <w:t>,</w:t>
      </w:r>
      <w:r w:rsidRPr="00D7088F">
        <w:rPr>
          <w:rFonts w:ascii="Times New Roman" w:hAnsi="Times New Roman" w:cs="Times New Roman"/>
          <w:noProof/>
          <w:color w:val="000000" w:themeColor="text1"/>
          <w:sz w:val="20"/>
          <w:szCs w:val="20"/>
          <w:lang w:val="ro-RO"/>
        </w:rPr>
        <w:t xml:space="preserve"> </w:t>
      </w:r>
      <w:r w:rsidR="005645AE">
        <w:rPr>
          <w:rFonts w:ascii="Times New Roman" w:hAnsi="Times New Roman" w:cs="Times New Roman"/>
          <w:noProof/>
          <w:color w:val="000000" w:themeColor="text1"/>
          <w:sz w:val="20"/>
          <w:szCs w:val="20"/>
          <w:lang w:val="ro-RO"/>
        </w:rPr>
        <w:t>op. cit.</w:t>
      </w:r>
      <w:r w:rsidRPr="00D7088F">
        <w:rPr>
          <w:rFonts w:ascii="Times New Roman" w:hAnsi="Times New Roman" w:cs="Times New Roman"/>
          <w:noProof/>
          <w:color w:val="000000" w:themeColor="text1"/>
          <w:sz w:val="20"/>
          <w:szCs w:val="20"/>
          <w:lang w:val="ro-RO"/>
        </w:rPr>
        <w:t>, pag. 308</w:t>
      </w:r>
    </w:p>
  </w:footnote>
  <w:footnote w:id="23">
    <w:p w14:paraId="2AA55452" w14:textId="46F5C118" w:rsidR="00BF4613" w:rsidRPr="00D7088F" w:rsidRDefault="00BF4613" w:rsidP="004C39BF">
      <w:pPr>
        <w:pStyle w:val="FootnoteText"/>
        <w:rPr>
          <w:rFonts w:ascii="Times New Roman" w:hAnsi="Times New Roman"/>
          <w:noProof/>
          <w:color w:val="000000" w:themeColor="text1"/>
          <w:lang w:val="ro-RO"/>
        </w:rPr>
      </w:pPr>
      <w:r w:rsidRPr="00D7088F">
        <w:rPr>
          <w:rStyle w:val="FootnoteReference"/>
          <w:rFonts w:ascii="Times New Roman" w:hAnsi="Times New Roman"/>
          <w:noProof/>
          <w:color w:val="000000" w:themeColor="text1"/>
          <w:lang w:val="ro-RO"/>
        </w:rPr>
        <w:footnoteRef/>
      </w:r>
      <w:r w:rsidRPr="00D7088F">
        <w:rPr>
          <w:rFonts w:ascii="Times New Roman" w:hAnsi="Times New Roman"/>
          <w:noProof/>
          <w:color w:val="000000" w:themeColor="text1"/>
          <w:lang w:val="ro-RO"/>
        </w:rPr>
        <w:t xml:space="preserve"> </w:t>
      </w:r>
      <w:r w:rsidRPr="00D7088F">
        <w:rPr>
          <w:rFonts w:ascii="Times New Roman" w:hAnsi="Times New Roman"/>
          <w:noProof/>
          <w:color w:val="000000" w:themeColor="text1"/>
          <w:lang w:val="ro-RO"/>
        </w:rPr>
        <w:t>I</w:t>
      </w:r>
      <w:r w:rsidR="00CC5329" w:rsidRPr="00D7088F">
        <w:rPr>
          <w:rFonts w:ascii="Times New Roman" w:hAnsi="Times New Roman"/>
          <w:noProof/>
          <w:color w:val="000000" w:themeColor="text1"/>
          <w:lang w:val="ro-RO"/>
        </w:rPr>
        <w:t>bi</w:t>
      </w:r>
      <w:r w:rsidRPr="00D7088F">
        <w:rPr>
          <w:rFonts w:ascii="Times New Roman" w:hAnsi="Times New Roman"/>
          <w:noProof/>
          <w:color w:val="000000" w:themeColor="text1"/>
          <w:lang w:val="ro-RO"/>
        </w:rPr>
        <w:t>dem, pag. 345</w:t>
      </w:r>
      <w:r w:rsidR="005645AE">
        <w:rPr>
          <w:rFonts w:ascii="Times New Roman" w:hAnsi="Times New Roman"/>
          <w:noProof/>
          <w:color w:val="000000" w:themeColor="text1"/>
          <w:lang w:val="ro-RO"/>
        </w:rPr>
        <w:t>.</w:t>
      </w:r>
    </w:p>
  </w:footnote>
  <w:footnote w:id="24">
    <w:p w14:paraId="69AF4CDA" w14:textId="5CFDA390" w:rsidR="000D7F20" w:rsidRPr="00D7088F" w:rsidRDefault="000D7F20" w:rsidP="004C39BF">
      <w:pPr>
        <w:pStyle w:val="FootnoteText"/>
        <w:rPr>
          <w:rFonts w:ascii="Times New Roman" w:hAnsi="Times New Roman"/>
          <w:noProof/>
          <w:color w:val="000000" w:themeColor="text1"/>
          <w:lang w:val="ro-RO"/>
        </w:rPr>
      </w:pPr>
      <w:r w:rsidRPr="00D7088F">
        <w:rPr>
          <w:rStyle w:val="FootnoteReference"/>
          <w:rFonts w:ascii="Times New Roman" w:hAnsi="Times New Roman"/>
          <w:noProof/>
          <w:color w:val="000000" w:themeColor="text1"/>
          <w:lang w:val="ro-RO"/>
        </w:rPr>
        <w:footnoteRef/>
      </w:r>
      <w:r w:rsidRPr="00D7088F">
        <w:rPr>
          <w:rFonts w:ascii="Times New Roman" w:hAnsi="Times New Roman"/>
          <w:noProof/>
          <w:color w:val="000000" w:themeColor="text1"/>
          <w:lang w:val="ro-RO"/>
        </w:rPr>
        <w:t xml:space="preserve"> </w:t>
      </w:r>
      <w:r w:rsidRPr="00D7088F">
        <w:rPr>
          <w:rFonts w:ascii="Times New Roman" w:hAnsi="Times New Roman"/>
          <w:noProof/>
          <w:color w:val="000000" w:themeColor="text1"/>
          <w:lang w:val="ro-RO"/>
        </w:rPr>
        <w:t>I</w:t>
      </w:r>
      <w:r w:rsidR="00CC5329" w:rsidRPr="00D7088F">
        <w:rPr>
          <w:rFonts w:ascii="Times New Roman" w:hAnsi="Times New Roman"/>
          <w:noProof/>
          <w:color w:val="000000" w:themeColor="text1"/>
          <w:lang w:val="ro-RO"/>
        </w:rPr>
        <w:t>bi</w:t>
      </w:r>
      <w:r w:rsidRPr="00D7088F">
        <w:rPr>
          <w:rFonts w:ascii="Times New Roman" w:hAnsi="Times New Roman"/>
          <w:noProof/>
          <w:color w:val="000000" w:themeColor="text1"/>
          <w:lang w:val="ro-RO"/>
        </w:rPr>
        <w:t>dem, pag.348</w:t>
      </w:r>
      <w:r w:rsidR="005645AE">
        <w:rPr>
          <w:rFonts w:ascii="Times New Roman" w:hAnsi="Times New Roman"/>
          <w:noProof/>
          <w:color w:val="000000" w:themeColor="text1"/>
          <w:lang w:val="ro-RO"/>
        </w:rPr>
        <w:t>.</w:t>
      </w:r>
    </w:p>
  </w:footnote>
  <w:footnote w:id="25">
    <w:p w14:paraId="547BBC73" w14:textId="1878A944" w:rsidR="00432B3B" w:rsidRPr="00D7088F" w:rsidRDefault="00432B3B" w:rsidP="004C39BF">
      <w:pPr>
        <w:pStyle w:val="FootnoteText"/>
        <w:rPr>
          <w:rFonts w:ascii="Times New Roman" w:hAnsi="Times New Roman"/>
          <w:noProof/>
          <w:color w:val="000000" w:themeColor="text1"/>
          <w:lang w:val="ro-RO"/>
        </w:rPr>
      </w:pPr>
      <w:r w:rsidRPr="00D7088F">
        <w:rPr>
          <w:rStyle w:val="FootnoteReference"/>
          <w:rFonts w:ascii="Times New Roman" w:hAnsi="Times New Roman"/>
          <w:noProof/>
          <w:color w:val="000000" w:themeColor="text1"/>
          <w:lang w:val="ro-RO"/>
        </w:rPr>
        <w:footnoteRef/>
      </w:r>
      <w:r w:rsidRPr="00D7088F">
        <w:rPr>
          <w:rFonts w:ascii="Times New Roman" w:hAnsi="Times New Roman"/>
          <w:noProof/>
          <w:color w:val="000000" w:themeColor="text1"/>
          <w:lang w:val="ro-RO"/>
        </w:rPr>
        <w:t xml:space="preserve"> </w:t>
      </w:r>
      <w:r w:rsidR="00F536D2" w:rsidRPr="00D7088F">
        <w:rPr>
          <w:rFonts w:ascii="Times New Roman" w:hAnsi="Times New Roman"/>
          <w:noProof/>
          <w:color w:val="000000" w:themeColor="text1"/>
          <w:lang w:val="ro-RO"/>
        </w:rPr>
        <w:t>Curtea de Apel Oradea</w:t>
      </w:r>
      <w:r w:rsidR="005645AE">
        <w:rPr>
          <w:rFonts w:ascii="Times New Roman" w:hAnsi="Times New Roman"/>
          <w:noProof/>
          <w:color w:val="000000" w:themeColor="text1"/>
          <w:lang w:val="ro-RO"/>
        </w:rPr>
        <w:t xml:space="preserve"> - </w:t>
      </w:r>
      <w:r w:rsidR="005645AE" w:rsidRPr="005645AE">
        <w:rPr>
          <w:rFonts w:ascii="Times New Roman" w:hAnsi="Times New Roman"/>
          <w:noProof/>
          <w:color w:val="000000" w:themeColor="text1"/>
          <w:lang w:val="ro-RO"/>
        </w:rPr>
        <w:t>Secţia penală şi pentru cauze cu minori</w:t>
      </w:r>
      <w:r w:rsidR="005645AE">
        <w:rPr>
          <w:rFonts w:ascii="Times New Roman" w:hAnsi="Times New Roman"/>
          <w:noProof/>
          <w:color w:val="000000" w:themeColor="text1"/>
          <w:lang w:val="ro-RO"/>
        </w:rPr>
        <w:t>.</w:t>
      </w:r>
      <w:r w:rsidR="00F536D2" w:rsidRPr="00D7088F">
        <w:rPr>
          <w:rFonts w:ascii="Times New Roman" w:hAnsi="Times New Roman"/>
          <w:noProof/>
          <w:color w:val="000000" w:themeColor="text1"/>
          <w:lang w:val="ro-RO"/>
        </w:rPr>
        <w:t xml:space="preserve"> Decizia penală nr. 350/A/2022 din 22 iunie 2022</w:t>
      </w:r>
      <w:r w:rsidR="005645AE">
        <w:rPr>
          <w:rFonts w:ascii="Times New Roman" w:hAnsi="Times New Roman"/>
          <w:noProof/>
          <w:color w:val="000000" w:themeColor="text1"/>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2C29" w14:textId="11682F92" w:rsidR="00287681" w:rsidRDefault="00287681" w:rsidP="00E4363C">
    <w:pPr>
      <w:pStyle w:val="Header"/>
      <w:tabs>
        <w:tab w:val="clear" w:pos="4680"/>
        <w:tab w:val="clear" w:pos="9360"/>
      </w:tabs>
    </w:pPr>
  </w:p>
  <w:p w14:paraId="23FDE8CD" w14:textId="77777777" w:rsidR="00DF06A4" w:rsidRDefault="00DF06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133"/>
    <w:multiLevelType w:val="hybridMultilevel"/>
    <w:tmpl w:val="41A270DC"/>
    <w:lvl w:ilvl="0" w:tplc="3F66AB10">
      <w:start w:val="1"/>
      <w:numFmt w:val="decimal"/>
      <w:lvlText w:val="%1."/>
      <w:lvlJc w:val="left"/>
      <w:pPr>
        <w:ind w:left="720" w:hanging="360"/>
      </w:pPr>
      <w:rPr>
        <w:rFont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97330B"/>
    <w:multiLevelType w:val="hybridMultilevel"/>
    <w:tmpl w:val="5002B3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E6A52"/>
    <w:multiLevelType w:val="hybridMultilevel"/>
    <w:tmpl w:val="1F98768C"/>
    <w:lvl w:ilvl="0" w:tplc="72522EF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C40AA"/>
    <w:multiLevelType w:val="hybridMultilevel"/>
    <w:tmpl w:val="131C7E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0A403F"/>
    <w:multiLevelType w:val="multilevel"/>
    <w:tmpl w:val="43D6D0A8"/>
    <w:styleLink w:val="OrderedListStyle"/>
    <w:lvl w:ilvl="0">
      <w:start w:val="5"/>
      <w:numFmt w:val="decimal"/>
      <w:lvlText w:val=" %1."/>
      <w:lvlJc w:val="left"/>
      <w:pPr>
        <w:tabs>
          <w:tab w:val="num" w:pos="57"/>
        </w:tabs>
        <w:ind w:left="454" w:hanging="454"/>
      </w:pPr>
      <w:rPr>
        <w:rFonts w:ascii="Roboto Condensed" w:hAnsi="Roboto Condensed" w:hint="default"/>
        <w:b/>
        <w:i w:val="0"/>
        <w:color w:val="DD5B46"/>
      </w:rPr>
    </w:lvl>
    <w:lvl w:ilvl="1">
      <w:start w:val="1"/>
      <w:numFmt w:val="decimal"/>
      <w:lvlText w:val=" %1.%2."/>
      <w:lvlJc w:val="left"/>
      <w:pPr>
        <w:tabs>
          <w:tab w:val="num" w:pos="624"/>
        </w:tabs>
        <w:ind w:left="1134" w:hanging="567"/>
      </w:pPr>
      <w:rPr>
        <w:rFonts w:ascii="Roboto Condensed" w:hAnsi="Roboto Condensed" w:hint="default"/>
        <w:b w:val="0"/>
        <w:i w:val="0"/>
      </w:rPr>
    </w:lvl>
    <w:lvl w:ilvl="2">
      <w:start w:val="1"/>
      <w:numFmt w:val="decimal"/>
      <w:lvlRestart w:val="0"/>
      <w:isLgl/>
      <w:lvlText w:val="%1"/>
      <w:lvlJc w:val="left"/>
      <w:pPr>
        <w:tabs>
          <w:tab w:val="num" w:pos="1353"/>
        </w:tabs>
        <w:ind w:left="1353"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5" w15:restartNumberingAfterBreak="0">
    <w:nsid w:val="0D883D8C"/>
    <w:multiLevelType w:val="hybridMultilevel"/>
    <w:tmpl w:val="BFD49B32"/>
    <w:lvl w:ilvl="0" w:tplc="75246692">
      <w:start w:val="1"/>
      <w:numFmt w:val="decimal"/>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F3348"/>
    <w:multiLevelType w:val="hybridMultilevel"/>
    <w:tmpl w:val="063EDF30"/>
    <w:lvl w:ilvl="0" w:tplc="72522EF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4A2FF7"/>
    <w:multiLevelType w:val="hybridMultilevel"/>
    <w:tmpl w:val="4F5ABA80"/>
    <w:lvl w:ilvl="0" w:tplc="C846E290">
      <w:start w:val="1"/>
      <w:numFmt w:val="bullet"/>
      <w:pStyle w:val="ListParagraph"/>
      <w:lvlText w:val="›"/>
      <w:lvlJc w:val="left"/>
      <w:pPr>
        <w:ind w:left="720" w:hanging="360"/>
      </w:pPr>
      <w:rPr>
        <w:rFonts w:ascii="Roboto" w:hAnsi="Roboto" w:hint="default"/>
        <w:b/>
        <w:i w:val="0"/>
        <w:color w:val="BF1F3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73F47"/>
    <w:multiLevelType w:val="hybridMultilevel"/>
    <w:tmpl w:val="7A521D4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2A4B8E"/>
    <w:multiLevelType w:val="hybridMultilevel"/>
    <w:tmpl w:val="96CEC52E"/>
    <w:lvl w:ilvl="0" w:tplc="72522EF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01A86"/>
    <w:multiLevelType w:val="hybridMultilevel"/>
    <w:tmpl w:val="939898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F1680A"/>
    <w:multiLevelType w:val="hybridMultilevel"/>
    <w:tmpl w:val="4BF66964"/>
    <w:lvl w:ilvl="0" w:tplc="72522EFE">
      <w:start w:val="1"/>
      <w:numFmt w:val="bullet"/>
      <w:lvlText w:val="-"/>
      <w:lvlJc w:val="left"/>
      <w:pPr>
        <w:ind w:left="781" w:hanging="360"/>
      </w:pPr>
      <w:rPr>
        <w:rFonts w:ascii="Times New Roman" w:hAnsi="Times New Roman" w:cs="Times New Roman"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2" w15:restartNumberingAfterBreak="0">
    <w:nsid w:val="1A265AAE"/>
    <w:multiLevelType w:val="hybridMultilevel"/>
    <w:tmpl w:val="144021D2"/>
    <w:lvl w:ilvl="0" w:tplc="72522EFE">
      <w:start w:val="1"/>
      <w:numFmt w:val="bullet"/>
      <w:lvlText w:val="-"/>
      <w:lvlJc w:val="left"/>
      <w:pPr>
        <w:ind w:left="781" w:hanging="360"/>
      </w:pPr>
      <w:rPr>
        <w:rFonts w:ascii="Times New Roman" w:hAnsi="Times New Roman" w:cs="Times New Roman"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3" w15:restartNumberingAfterBreak="0">
    <w:nsid w:val="1BA656E0"/>
    <w:multiLevelType w:val="multilevel"/>
    <w:tmpl w:val="A79802C0"/>
    <w:lvl w:ilvl="0">
      <w:start w:val="1"/>
      <w:numFmt w:val="decimal"/>
      <w:pStyle w:val="TextNumbered"/>
      <w:lvlText w:val="%1."/>
      <w:lvlJc w:val="left"/>
      <w:pPr>
        <w:tabs>
          <w:tab w:val="num" w:pos="567"/>
        </w:tabs>
        <w:ind w:left="567" w:hanging="567"/>
      </w:pPr>
      <w:rPr>
        <w:rFonts w:ascii="Trebuchet MS" w:hAnsi="Trebuchet MS" w:hint="default"/>
        <w:b w:val="0"/>
        <w:bCs w:val="0"/>
        <w:strike w:val="0"/>
        <w:color w:val="000000" w:themeColor="text1"/>
      </w:rPr>
    </w:lvl>
    <w:lvl w:ilvl="1">
      <w:start w:val="1"/>
      <w:numFmt w:val="lowerLetter"/>
      <w:pStyle w:val="Alpha"/>
      <w:lvlText w:val="%2)"/>
      <w:lvlJc w:val="left"/>
      <w:pPr>
        <w:tabs>
          <w:tab w:val="num" w:pos="1134"/>
        </w:tabs>
        <w:ind w:left="1134" w:hanging="567"/>
      </w:pPr>
      <w:rPr>
        <w:rFonts w:hint="default"/>
      </w:rPr>
    </w:lvl>
    <w:lvl w:ilvl="2">
      <w:start w:val="1"/>
      <w:numFmt w:val="lowerRoman"/>
      <w:pStyle w:val="Alpha2"/>
      <w:lvlText w:val="(%3)"/>
      <w:lvlJc w:val="left"/>
      <w:pPr>
        <w:tabs>
          <w:tab w:val="num" w:pos="1701"/>
        </w:tabs>
        <w:ind w:left="1701" w:hanging="567"/>
      </w:pPr>
      <w:rPr>
        <w:rFonts w:hint="default"/>
      </w:rPr>
    </w:lvl>
    <w:lvl w:ilvl="3">
      <w:start w:val="1"/>
      <w:numFmt w:val="decimal"/>
      <w:lvlText w:val="%3.%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4" w15:restartNumberingAfterBreak="0">
    <w:nsid w:val="1DEC2AC1"/>
    <w:multiLevelType w:val="hybridMultilevel"/>
    <w:tmpl w:val="D248A52E"/>
    <w:lvl w:ilvl="0" w:tplc="72522EFE">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E374B4B"/>
    <w:multiLevelType w:val="hybridMultilevel"/>
    <w:tmpl w:val="63B4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6C35C7"/>
    <w:multiLevelType w:val="hybridMultilevel"/>
    <w:tmpl w:val="7F7E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910F1A"/>
    <w:multiLevelType w:val="hybridMultilevel"/>
    <w:tmpl w:val="03AC5154"/>
    <w:lvl w:ilvl="0" w:tplc="72522EF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C85378"/>
    <w:multiLevelType w:val="hybridMultilevel"/>
    <w:tmpl w:val="CCDEDB06"/>
    <w:lvl w:ilvl="0" w:tplc="FEC09914">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E81995"/>
    <w:multiLevelType w:val="hybridMultilevel"/>
    <w:tmpl w:val="B2A87CB0"/>
    <w:lvl w:ilvl="0" w:tplc="FEDA8080">
      <w:start w:val="1"/>
      <w:numFmt w:val="upperLetter"/>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6C7840"/>
    <w:multiLevelType w:val="hybridMultilevel"/>
    <w:tmpl w:val="41A270DC"/>
    <w:lvl w:ilvl="0" w:tplc="3F66AB10">
      <w:start w:val="1"/>
      <w:numFmt w:val="decimal"/>
      <w:lvlText w:val="%1."/>
      <w:lvlJc w:val="left"/>
      <w:pPr>
        <w:ind w:left="720" w:hanging="360"/>
      </w:pPr>
      <w:rPr>
        <w:rFont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52F11E5"/>
    <w:multiLevelType w:val="hybridMultilevel"/>
    <w:tmpl w:val="F3E405C8"/>
    <w:lvl w:ilvl="0" w:tplc="0809000F">
      <w:start w:val="1"/>
      <w:numFmt w:val="decimal"/>
      <w:lvlText w:val="%1."/>
      <w:lvlJc w:val="left"/>
      <w:pPr>
        <w:ind w:left="720" w:hanging="360"/>
      </w:pPr>
      <w:rPr>
        <w:rFonts w:hint="default"/>
        <w:b/>
        <w:bCs/>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743EC3"/>
    <w:multiLevelType w:val="multilevel"/>
    <w:tmpl w:val="3F48195E"/>
    <w:lvl w:ilvl="0">
      <w:start w:val="1"/>
      <w:numFmt w:val="decimal"/>
      <w:lvlText w:val=" %1."/>
      <w:lvlJc w:val="left"/>
      <w:pPr>
        <w:tabs>
          <w:tab w:val="num" w:pos="57"/>
        </w:tabs>
        <w:ind w:left="454" w:hanging="454"/>
      </w:pPr>
      <w:rPr>
        <w:rFonts w:ascii="Roboto Condensed" w:hAnsi="Roboto Condensed" w:hint="default"/>
        <w:b/>
        <w:i w:val="0"/>
        <w:color w:val="BF1F3F"/>
      </w:rPr>
    </w:lvl>
    <w:lvl w:ilvl="1">
      <w:start w:val="1"/>
      <w:numFmt w:val="decimal"/>
      <w:lvlText w:val=" %1.%2."/>
      <w:lvlJc w:val="left"/>
      <w:pPr>
        <w:tabs>
          <w:tab w:val="num" w:pos="624"/>
        </w:tabs>
        <w:ind w:left="1134" w:hanging="567"/>
      </w:pPr>
      <w:rPr>
        <w:rFonts w:ascii="Roboto Condensed" w:hAnsi="Roboto Condensed" w:hint="default"/>
        <w:b w:val="0"/>
        <w:i w:val="0"/>
      </w:rPr>
    </w:lvl>
    <w:lvl w:ilvl="2">
      <w:start w:val="1"/>
      <w:numFmt w:val="decimal"/>
      <w:lvlRestart w:val="0"/>
      <w:lvlText w:val="%1.%2.%3"/>
      <w:lvlJc w:val="left"/>
      <w:pPr>
        <w:tabs>
          <w:tab w:val="num" w:pos="1353"/>
        </w:tabs>
        <w:ind w:left="1353" w:hanging="360"/>
      </w:pPr>
      <w:rPr>
        <w:rFonts w:ascii="Roboto Condensed" w:hAnsi="Roboto Condensed" w:hint="default"/>
        <w:color w:val="7F7F7F"/>
      </w:rPr>
    </w:lvl>
    <w:lvl w:ilvl="3">
      <w:start w:val="1"/>
      <w:numFmt w:val="lowerLetter"/>
      <w:lvlText w:val="%1.%2.%3.%4"/>
      <w:lvlJc w:val="left"/>
      <w:pPr>
        <w:tabs>
          <w:tab w:val="num" w:pos="1800"/>
        </w:tabs>
        <w:ind w:left="1800" w:hanging="360"/>
      </w:pPr>
      <w:rPr>
        <w:rFonts w:ascii="Roboto Condensed" w:hAnsi="Roboto Condensed" w:hint="default"/>
        <w:b w:val="0"/>
        <w:i/>
        <w:color w:val="7F7F7F"/>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3" w15:restartNumberingAfterBreak="0">
    <w:nsid w:val="3F085978"/>
    <w:multiLevelType w:val="multilevel"/>
    <w:tmpl w:val="240E7D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DD1493"/>
    <w:multiLevelType w:val="hybridMultilevel"/>
    <w:tmpl w:val="710C549A"/>
    <w:lvl w:ilvl="0" w:tplc="0418000F">
      <w:start w:val="1"/>
      <w:numFmt w:val="decimal"/>
      <w:lvlText w:val="%1."/>
      <w:lvlJc w:val="left"/>
      <w:pPr>
        <w:ind w:left="720" w:hanging="360"/>
      </w:pPr>
    </w:lvl>
    <w:lvl w:ilvl="1" w:tplc="FD2AD366">
      <w:start w:val="1"/>
      <w:numFmt w:val="lowerLetter"/>
      <w:lvlText w:val="%2."/>
      <w:lvlJc w:val="left"/>
      <w:pPr>
        <w:ind w:left="1440" w:hanging="360"/>
      </w:pPr>
      <w:rPr>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7AD6DD6"/>
    <w:multiLevelType w:val="hybridMultilevel"/>
    <w:tmpl w:val="F3E405C8"/>
    <w:lvl w:ilvl="0" w:tplc="FFFFFFFF">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A612B82"/>
    <w:multiLevelType w:val="hybridMultilevel"/>
    <w:tmpl w:val="32DEEAB0"/>
    <w:lvl w:ilvl="0" w:tplc="BB36BF22">
      <w:start w:val="19"/>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A8B75A9"/>
    <w:multiLevelType w:val="hybridMultilevel"/>
    <w:tmpl w:val="6792A58A"/>
    <w:lvl w:ilvl="0" w:tplc="72522EFE">
      <w:start w:val="1"/>
      <w:numFmt w:val="bullet"/>
      <w:lvlText w:val="-"/>
      <w:lvlJc w:val="left"/>
      <w:pPr>
        <w:ind w:left="1440" w:hanging="360"/>
      </w:pPr>
      <w:rPr>
        <w:rFonts w:ascii="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4BB77099"/>
    <w:multiLevelType w:val="hybridMultilevel"/>
    <w:tmpl w:val="F9A6EF3A"/>
    <w:lvl w:ilvl="0" w:tplc="72522EFE">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38C77B2"/>
    <w:multiLevelType w:val="hybridMultilevel"/>
    <w:tmpl w:val="74347120"/>
    <w:lvl w:ilvl="0" w:tplc="72522EF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272876"/>
    <w:multiLevelType w:val="hybridMultilevel"/>
    <w:tmpl w:val="0EFE9808"/>
    <w:lvl w:ilvl="0" w:tplc="08090013">
      <w:start w:val="1"/>
      <w:numFmt w:val="upperRoman"/>
      <w:lvlText w:val="%1."/>
      <w:lvlJc w:val="righ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517F3C"/>
    <w:multiLevelType w:val="hybridMultilevel"/>
    <w:tmpl w:val="F628F62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8C42764"/>
    <w:multiLevelType w:val="hybridMultilevel"/>
    <w:tmpl w:val="77DE14B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9137A90"/>
    <w:multiLevelType w:val="hybridMultilevel"/>
    <w:tmpl w:val="65B89FF2"/>
    <w:lvl w:ilvl="0" w:tplc="72522EF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6A6508"/>
    <w:multiLevelType w:val="hybridMultilevel"/>
    <w:tmpl w:val="54220432"/>
    <w:lvl w:ilvl="0" w:tplc="72522EF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D86E90"/>
    <w:multiLevelType w:val="hybridMultilevel"/>
    <w:tmpl w:val="9E50CCE2"/>
    <w:lvl w:ilvl="0" w:tplc="F69A218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BA4CDA"/>
    <w:multiLevelType w:val="hybridMultilevel"/>
    <w:tmpl w:val="7954F3F8"/>
    <w:lvl w:ilvl="0" w:tplc="16007442">
      <w:numFmt w:val="bullet"/>
      <w:lvlText w:val="-"/>
      <w:lvlJc w:val="left"/>
      <w:pPr>
        <w:ind w:left="1060" w:hanging="360"/>
      </w:pPr>
      <w:rPr>
        <w:rFonts w:ascii="Times New Roman" w:eastAsiaTheme="minorHAnsi" w:hAnsi="Times New Roman" w:cs="Times New Roman" w:hint="default"/>
      </w:rPr>
    </w:lvl>
    <w:lvl w:ilvl="1" w:tplc="08090003">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7" w15:restartNumberingAfterBreak="0">
    <w:nsid w:val="69C60F5B"/>
    <w:multiLevelType w:val="hybridMultilevel"/>
    <w:tmpl w:val="6FD23692"/>
    <w:lvl w:ilvl="0" w:tplc="72522EF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BA3F1D"/>
    <w:multiLevelType w:val="hybridMultilevel"/>
    <w:tmpl w:val="1448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6454EC"/>
    <w:multiLevelType w:val="hybridMultilevel"/>
    <w:tmpl w:val="B19638D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8A11D02"/>
    <w:multiLevelType w:val="hybridMultilevel"/>
    <w:tmpl w:val="1F16183C"/>
    <w:lvl w:ilvl="0" w:tplc="72522EFE">
      <w:start w:val="1"/>
      <w:numFmt w:val="bullet"/>
      <w:lvlText w:val="-"/>
      <w:lvlJc w:val="left"/>
      <w:pPr>
        <w:ind w:left="770" w:hanging="360"/>
      </w:pPr>
      <w:rPr>
        <w:rFonts w:ascii="Times New Roman" w:hAnsi="Times New Roman" w:cs="Times New Roman"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1" w15:restartNumberingAfterBreak="0">
    <w:nsid w:val="7D917077"/>
    <w:multiLevelType w:val="hybridMultilevel"/>
    <w:tmpl w:val="F628F62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7ED800E7"/>
    <w:multiLevelType w:val="hybridMultilevel"/>
    <w:tmpl w:val="41A270DC"/>
    <w:lvl w:ilvl="0" w:tplc="3F66AB10">
      <w:start w:val="1"/>
      <w:numFmt w:val="decimal"/>
      <w:lvlText w:val="%1."/>
      <w:lvlJc w:val="left"/>
      <w:pPr>
        <w:ind w:left="720" w:hanging="360"/>
      </w:pPr>
      <w:rPr>
        <w:rFont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917520699">
    <w:abstractNumId w:val="7"/>
  </w:num>
  <w:num w:numId="2" w16cid:durableId="286740016">
    <w:abstractNumId w:val="22"/>
  </w:num>
  <w:num w:numId="3" w16cid:durableId="1215893686">
    <w:abstractNumId w:val="4"/>
  </w:num>
  <w:num w:numId="4" w16cid:durableId="638219577">
    <w:abstractNumId w:val="20"/>
  </w:num>
  <w:num w:numId="5" w16cid:durableId="151876242">
    <w:abstractNumId w:val="28"/>
  </w:num>
  <w:num w:numId="6" w16cid:durableId="1972442510">
    <w:abstractNumId w:val="14"/>
  </w:num>
  <w:num w:numId="7" w16cid:durableId="618799458">
    <w:abstractNumId w:val="24"/>
  </w:num>
  <w:num w:numId="8" w16cid:durableId="55008965">
    <w:abstractNumId w:val="26"/>
  </w:num>
  <w:num w:numId="9" w16cid:durableId="1640266108">
    <w:abstractNumId w:val="0"/>
  </w:num>
  <w:num w:numId="10" w16cid:durableId="2058773140">
    <w:abstractNumId w:val="42"/>
  </w:num>
  <w:num w:numId="11" w16cid:durableId="156506293">
    <w:abstractNumId w:val="27"/>
  </w:num>
  <w:num w:numId="12" w16cid:durableId="2097630207">
    <w:abstractNumId w:val="38"/>
  </w:num>
  <w:num w:numId="13" w16cid:durableId="1747414745">
    <w:abstractNumId w:val="40"/>
  </w:num>
  <w:num w:numId="14" w16cid:durableId="525949115">
    <w:abstractNumId w:val="30"/>
  </w:num>
  <w:num w:numId="15" w16cid:durableId="182666738">
    <w:abstractNumId w:val="1"/>
  </w:num>
  <w:num w:numId="16" w16cid:durableId="164827115">
    <w:abstractNumId w:val="8"/>
  </w:num>
  <w:num w:numId="17" w16cid:durableId="615019078">
    <w:abstractNumId w:val="2"/>
  </w:num>
  <w:num w:numId="18" w16cid:durableId="18972630">
    <w:abstractNumId w:val="12"/>
  </w:num>
  <w:num w:numId="19" w16cid:durableId="852721658">
    <w:abstractNumId w:val="18"/>
  </w:num>
  <w:num w:numId="20" w16cid:durableId="2059279913">
    <w:abstractNumId w:val="19"/>
  </w:num>
  <w:num w:numId="21" w16cid:durableId="211117588">
    <w:abstractNumId w:val="5"/>
  </w:num>
  <w:num w:numId="22" w16cid:durableId="279995214">
    <w:abstractNumId w:val="39"/>
  </w:num>
  <w:num w:numId="23" w16cid:durableId="1311786682">
    <w:abstractNumId w:val="6"/>
  </w:num>
  <w:num w:numId="24" w16cid:durableId="1180118992">
    <w:abstractNumId w:val="17"/>
  </w:num>
  <w:num w:numId="25" w16cid:durableId="1704594868">
    <w:abstractNumId w:val="34"/>
  </w:num>
  <w:num w:numId="26" w16cid:durableId="69498496">
    <w:abstractNumId w:val="11"/>
  </w:num>
  <w:num w:numId="27" w16cid:durableId="575359623">
    <w:abstractNumId w:val="37"/>
  </w:num>
  <w:num w:numId="28" w16cid:durableId="1056205275">
    <w:abstractNumId w:val="33"/>
  </w:num>
  <w:num w:numId="29" w16cid:durableId="213588554">
    <w:abstractNumId w:val="3"/>
  </w:num>
  <w:num w:numId="30" w16cid:durableId="201750680">
    <w:abstractNumId w:val="21"/>
  </w:num>
  <w:num w:numId="31" w16cid:durableId="1361392611">
    <w:abstractNumId w:val="29"/>
  </w:num>
  <w:num w:numId="32" w16cid:durableId="1586307904">
    <w:abstractNumId w:val="35"/>
  </w:num>
  <w:num w:numId="33" w16cid:durableId="1763605573">
    <w:abstractNumId w:val="36"/>
  </w:num>
  <w:num w:numId="34" w16cid:durableId="1643778209">
    <w:abstractNumId w:val="23"/>
  </w:num>
  <w:num w:numId="35" w16cid:durableId="147597723">
    <w:abstractNumId w:val="32"/>
  </w:num>
  <w:num w:numId="36" w16cid:durableId="1361197768">
    <w:abstractNumId w:val="31"/>
  </w:num>
  <w:num w:numId="37" w16cid:durableId="1790968791">
    <w:abstractNumId w:val="25"/>
  </w:num>
  <w:num w:numId="38" w16cid:durableId="520821195">
    <w:abstractNumId w:val="16"/>
  </w:num>
  <w:num w:numId="39" w16cid:durableId="1339967333">
    <w:abstractNumId w:val="41"/>
  </w:num>
  <w:num w:numId="40" w16cid:durableId="1003050240">
    <w:abstractNumId w:val="9"/>
  </w:num>
  <w:num w:numId="41" w16cid:durableId="697773629">
    <w:abstractNumId w:val="10"/>
  </w:num>
  <w:num w:numId="42" w16cid:durableId="2005814534">
    <w:abstractNumId w:val="15"/>
  </w:num>
  <w:num w:numId="43" w16cid:durableId="14402255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76E"/>
    <w:rsid w:val="00000369"/>
    <w:rsid w:val="00006EFF"/>
    <w:rsid w:val="00007CEF"/>
    <w:rsid w:val="00010EF8"/>
    <w:rsid w:val="00011C06"/>
    <w:rsid w:val="00011DFF"/>
    <w:rsid w:val="0001440B"/>
    <w:rsid w:val="00015EFC"/>
    <w:rsid w:val="000203E5"/>
    <w:rsid w:val="00021269"/>
    <w:rsid w:val="00023AF8"/>
    <w:rsid w:val="000243A4"/>
    <w:rsid w:val="00025A6B"/>
    <w:rsid w:val="00027D93"/>
    <w:rsid w:val="00031463"/>
    <w:rsid w:val="00032B2B"/>
    <w:rsid w:val="00032BBA"/>
    <w:rsid w:val="000362AF"/>
    <w:rsid w:val="00040BD1"/>
    <w:rsid w:val="00044D56"/>
    <w:rsid w:val="00046393"/>
    <w:rsid w:val="000467CE"/>
    <w:rsid w:val="00046907"/>
    <w:rsid w:val="00050C73"/>
    <w:rsid w:val="00050CF6"/>
    <w:rsid w:val="00051AEB"/>
    <w:rsid w:val="00051CF0"/>
    <w:rsid w:val="000520C3"/>
    <w:rsid w:val="00053FAA"/>
    <w:rsid w:val="0005470D"/>
    <w:rsid w:val="00055BBF"/>
    <w:rsid w:val="00055CBE"/>
    <w:rsid w:val="00056698"/>
    <w:rsid w:val="00056EEE"/>
    <w:rsid w:val="0006193C"/>
    <w:rsid w:val="00062044"/>
    <w:rsid w:val="00064714"/>
    <w:rsid w:val="00064B6B"/>
    <w:rsid w:val="0006525E"/>
    <w:rsid w:val="00065760"/>
    <w:rsid w:val="00067A1B"/>
    <w:rsid w:val="0007021D"/>
    <w:rsid w:val="0007060A"/>
    <w:rsid w:val="00073D0D"/>
    <w:rsid w:val="00073FE3"/>
    <w:rsid w:val="00075094"/>
    <w:rsid w:val="00075AC8"/>
    <w:rsid w:val="00076DA8"/>
    <w:rsid w:val="00077437"/>
    <w:rsid w:val="00082493"/>
    <w:rsid w:val="000831B2"/>
    <w:rsid w:val="000832C5"/>
    <w:rsid w:val="00084B25"/>
    <w:rsid w:val="00085B97"/>
    <w:rsid w:val="00090269"/>
    <w:rsid w:val="00090565"/>
    <w:rsid w:val="000937A1"/>
    <w:rsid w:val="00094AB1"/>
    <w:rsid w:val="00094BB4"/>
    <w:rsid w:val="00095143"/>
    <w:rsid w:val="00095986"/>
    <w:rsid w:val="000A0A5D"/>
    <w:rsid w:val="000A41E0"/>
    <w:rsid w:val="000A5D37"/>
    <w:rsid w:val="000A6F59"/>
    <w:rsid w:val="000A7F57"/>
    <w:rsid w:val="000B3777"/>
    <w:rsid w:val="000B4911"/>
    <w:rsid w:val="000C03F4"/>
    <w:rsid w:val="000C1437"/>
    <w:rsid w:val="000C2E8D"/>
    <w:rsid w:val="000C4F17"/>
    <w:rsid w:val="000C59E0"/>
    <w:rsid w:val="000C5F4E"/>
    <w:rsid w:val="000C78CC"/>
    <w:rsid w:val="000C7AB7"/>
    <w:rsid w:val="000D0A31"/>
    <w:rsid w:val="000D24A9"/>
    <w:rsid w:val="000D2A92"/>
    <w:rsid w:val="000D2B28"/>
    <w:rsid w:val="000D3366"/>
    <w:rsid w:val="000D468A"/>
    <w:rsid w:val="000D55C6"/>
    <w:rsid w:val="000D5C01"/>
    <w:rsid w:val="000D7F20"/>
    <w:rsid w:val="000E2502"/>
    <w:rsid w:val="000E772B"/>
    <w:rsid w:val="000F1896"/>
    <w:rsid w:val="000F2BA3"/>
    <w:rsid w:val="000F423D"/>
    <w:rsid w:val="000F4807"/>
    <w:rsid w:val="000F5DAD"/>
    <w:rsid w:val="00101772"/>
    <w:rsid w:val="0010268A"/>
    <w:rsid w:val="001027E6"/>
    <w:rsid w:val="00105C6C"/>
    <w:rsid w:val="00106BFB"/>
    <w:rsid w:val="00107BD6"/>
    <w:rsid w:val="00107FA5"/>
    <w:rsid w:val="00110B1B"/>
    <w:rsid w:val="00116D14"/>
    <w:rsid w:val="00127AC9"/>
    <w:rsid w:val="00130FBD"/>
    <w:rsid w:val="001318FB"/>
    <w:rsid w:val="0013217E"/>
    <w:rsid w:val="00132F81"/>
    <w:rsid w:val="00134D58"/>
    <w:rsid w:val="0013552C"/>
    <w:rsid w:val="0014087E"/>
    <w:rsid w:val="00141360"/>
    <w:rsid w:val="0014139B"/>
    <w:rsid w:val="00142698"/>
    <w:rsid w:val="0014614B"/>
    <w:rsid w:val="00147243"/>
    <w:rsid w:val="0014739D"/>
    <w:rsid w:val="00147E8D"/>
    <w:rsid w:val="00150D63"/>
    <w:rsid w:val="00155A7D"/>
    <w:rsid w:val="001563C9"/>
    <w:rsid w:val="00161BAA"/>
    <w:rsid w:val="00165B9E"/>
    <w:rsid w:val="00167471"/>
    <w:rsid w:val="00170350"/>
    <w:rsid w:val="00171A8C"/>
    <w:rsid w:val="00172AA7"/>
    <w:rsid w:val="00173DB2"/>
    <w:rsid w:val="00180CFE"/>
    <w:rsid w:val="00180F35"/>
    <w:rsid w:val="00181323"/>
    <w:rsid w:val="00181469"/>
    <w:rsid w:val="00181F2E"/>
    <w:rsid w:val="00183A0F"/>
    <w:rsid w:val="00186FC7"/>
    <w:rsid w:val="00187A5B"/>
    <w:rsid w:val="00190349"/>
    <w:rsid w:val="00192D72"/>
    <w:rsid w:val="00193D42"/>
    <w:rsid w:val="001940E0"/>
    <w:rsid w:val="00195AFB"/>
    <w:rsid w:val="001A04BA"/>
    <w:rsid w:val="001A5AB0"/>
    <w:rsid w:val="001A606F"/>
    <w:rsid w:val="001A6A05"/>
    <w:rsid w:val="001B0334"/>
    <w:rsid w:val="001B109B"/>
    <w:rsid w:val="001B153E"/>
    <w:rsid w:val="001B4160"/>
    <w:rsid w:val="001B489A"/>
    <w:rsid w:val="001B5175"/>
    <w:rsid w:val="001B5B9D"/>
    <w:rsid w:val="001C0FD6"/>
    <w:rsid w:val="001C4ED6"/>
    <w:rsid w:val="001C6214"/>
    <w:rsid w:val="001D279F"/>
    <w:rsid w:val="001D7128"/>
    <w:rsid w:val="001D7BA5"/>
    <w:rsid w:val="001D7D1B"/>
    <w:rsid w:val="001E1C19"/>
    <w:rsid w:val="001E3179"/>
    <w:rsid w:val="001E3CA1"/>
    <w:rsid w:val="001E4991"/>
    <w:rsid w:val="001E4C01"/>
    <w:rsid w:val="001E4DED"/>
    <w:rsid w:val="001E52F3"/>
    <w:rsid w:val="001E773D"/>
    <w:rsid w:val="001F221D"/>
    <w:rsid w:val="001F2629"/>
    <w:rsid w:val="001F2CE0"/>
    <w:rsid w:val="001F34EA"/>
    <w:rsid w:val="001F37C3"/>
    <w:rsid w:val="001F4F61"/>
    <w:rsid w:val="001F6728"/>
    <w:rsid w:val="001F6AAC"/>
    <w:rsid w:val="001F6B25"/>
    <w:rsid w:val="001F70B1"/>
    <w:rsid w:val="001F7921"/>
    <w:rsid w:val="00203E8E"/>
    <w:rsid w:val="002040BD"/>
    <w:rsid w:val="00205946"/>
    <w:rsid w:val="00205AF1"/>
    <w:rsid w:val="00207431"/>
    <w:rsid w:val="00210AFF"/>
    <w:rsid w:val="00211436"/>
    <w:rsid w:val="002123D0"/>
    <w:rsid w:val="00216328"/>
    <w:rsid w:val="00220DAF"/>
    <w:rsid w:val="00223265"/>
    <w:rsid w:val="0022390F"/>
    <w:rsid w:val="00224EEB"/>
    <w:rsid w:val="00225E37"/>
    <w:rsid w:val="002260E5"/>
    <w:rsid w:val="00231A2C"/>
    <w:rsid w:val="00231E25"/>
    <w:rsid w:val="00233CBC"/>
    <w:rsid w:val="002342E6"/>
    <w:rsid w:val="00234796"/>
    <w:rsid w:val="00234A4F"/>
    <w:rsid w:val="00237467"/>
    <w:rsid w:val="00237B5C"/>
    <w:rsid w:val="00244FAF"/>
    <w:rsid w:val="00247FA5"/>
    <w:rsid w:val="002509C8"/>
    <w:rsid w:val="00250D50"/>
    <w:rsid w:val="00252014"/>
    <w:rsid w:val="00252B37"/>
    <w:rsid w:val="00260295"/>
    <w:rsid w:val="002636FE"/>
    <w:rsid w:val="00263FDF"/>
    <w:rsid w:val="00264BD8"/>
    <w:rsid w:val="00265B59"/>
    <w:rsid w:val="00265CD1"/>
    <w:rsid w:val="0026633F"/>
    <w:rsid w:val="002666C4"/>
    <w:rsid w:val="0026710E"/>
    <w:rsid w:val="002672D4"/>
    <w:rsid w:val="0027015B"/>
    <w:rsid w:val="002704E6"/>
    <w:rsid w:val="00270EB4"/>
    <w:rsid w:val="0027307C"/>
    <w:rsid w:val="00274ACB"/>
    <w:rsid w:val="00275D62"/>
    <w:rsid w:val="002771B6"/>
    <w:rsid w:val="002807D8"/>
    <w:rsid w:val="0028105B"/>
    <w:rsid w:val="00284BCF"/>
    <w:rsid w:val="002852BF"/>
    <w:rsid w:val="00285C18"/>
    <w:rsid w:val="0028648F"/>
    <w:rsid w:val="00286F03"/>
    <w:rsid w:val="00287681"/>
    <w:rsid w:val="00290602"/>
    <w:rsid w:val="00291680"/>
    <w:rsid w:val="002922EF"/>
    <w:rsid w:val="00294218"/>
    <w:rsid w:val="002A0A42"/>
    <w:rsid w:val="002A4D3E"/>
    <w:rsid w:val="002A5AAA"/>
    <w:rsid w:val="002A65A2"/>
    <w:rsid w:val="002A745A"/>
    <w:rsid w:val="002A7B42"/>
    <w:rsid w:val="002B1316"/>
    <w:rsid w:val="002B24F0"/>
    <w:rsid w:val="002B43E4"/>
    <w:rsid w:val="002B5769"/>
    <w:rsid w:val="002B5B96"/>
    <w:rsid w:val="002B618F"/>
    <w:rsid w:val="002B6B5E"/>
    <w:rsid w:val="002C0433"/>
    <w:rsid w:val="002C1A51"/>
    <w:rsid w:val="002C2993"/>
    <w:rsid w:val="002C4422"/>
    <w:rsid w:val="002C4E51"/>
    <w:rsid w:val="002C7BED"/>
    <w:rsid w:val="002D18AA"/>
    <w:rsid w:val="002D3402"/>
    <w:rsid w:val="002D492A"/>
    <w:rsid w:val="002D5DDF"/>
    <w:rsid w:val="002D6784"/>
    <w:rsid w:val="002D7235"/>
    <w:rsid w:val="002D72CD"/>
    <w:rsid w:val="002E0960"/>
    <w:rsid w:val="002E1A04"/>
    <w:rsid w:val="002E2499"/>
    <w:rsid w:val="002E26C8"/>
    <w:rsid w:val="002E3A82"/>
    <w:rsid w:val="002E6DC4"/>
    <w:rsid w:val="002E7818"/>
    <w:rsid w:val="002F0020"/>
    <w:rsid w:val="002F0BBC"/>
    <w:rsid w:val="002F53CB"/>
    <w:rsid w:val="002F55CC"/>
    <w:rsid w:val="00300BE7"/>
    <w:rsid w:val="003015FF"/>
    <w:rsid w:val="003017B1"/>
    <w:rsid w:val="00301A0F"/>
    <w:rsid w:val="00303359"/>
    <w:rsid w:val="00305DBF"/>
    <w:rsid w:val="003069FD"/>
    <w:rsid w:val="0031201A"/>
    <w:rsid w:val="00313D31"/>
    <w:rsid w:val="00314675"/>
    <w:rsid w:val="00316727"/>
    <w:rsid w:val="00317476"/>
    <w:rsid w:val="00317C11"/>
    <w:rsid w:val="00320A5A"/>
    <w:rsid w:val="00320E0D"/>
    <w:rsid w:val="00321577"/>
    <w:rsid w:val="00333ACB"/>
    <w:rsid w:val="0033556D"/>
    <w:rsid w:val="00336BB2"/>
    <w:rsid w:val="003376BA"/>
    <w:rsid w:val="00341BA0"/>
    <w:rsid w:val="00342331"/>
    <w:rsid w:val="00343A54"/>
    <w:rsid w:val="00344352"/>
    <w:rsid w:val="00346775"/>
    <w:rsid w:val="00346D07"/>
    <w:rsid w:val="00347335"/>
    <w:rsid w:val="00351F9A"/>
    <w:rsid w:val="00356BA4"/>
    <w:rsid w:val="003573C7"/>
    <w:rsid w:val="00357F63"/>
    <w:rsid w:val="0036060D"/>
    <w:rsid w:val="00361EAF"/>
    <w:rsid w:val="003635DE"/>
    <w:rsid w:val="00363E45"/>
    <w:rsid w:val="003655EC"/>
    <w:rsid w:val="003705EC"/>
    <w:rsid w:val="003709F7"/>
    <w:rsid w:val="0037146A"/>
    <w:rsid w:val="00371690"/>
    <w:rsid w:val="003720C2"/>
    <w:rsid w:val="0037269A"/>
    <w:rsid w:val="0037349F"/>
    <w:rsid w:val="00375A84"/>
    <w:rsid w:val="00375AB1"/>
    <w:rsid w:val="0038241B"/>
    <w:rsid w:val="00382EFE"/>
    <w:rsid w:val="00384087"/>
    <w:rsid w:val="00386C02"/>
    <w:rsid w:val="003875E9"/>
    <w:rsid w:val="0038764F"/>
    <w:rsid w:val="003878D1"/>
    <w:rsid w:val="00387974"/>
    <w:rsid w:val="0039128B"/>
    <w:rsid w:val="003924DF"/>
    <w:rsid w:val="003935A6"/>
    <w:rsid w:val="00395B22"/>
    <w:rsid w:val="003A194A"/>
    <w:rsid w:val="003A3CAF"/>
    <w:rsid w:val="003A3DB6"/>
    <w:rsid w:val="003A4BC8"/>
    <w:rsid w:val="003A6AA8"/>
    <w:rsid w:val="003B0318"/>
    <w:rsid w:val="003B051C"/>
    <w:rsid w:val="003B1934"/>
    <w:rsid w:val="003B48A8"/>
    <w:rsid w:val="003B73F0"/>
    <w:rsid w:val="003C199C"/>
    <w:rsid w:val="003C1A57"/>
    <w:rsid w:val="003C22FC"/>
    <w:rsid w:val="003C2816"/>
    <w:rsid w:val="003C2D85"/>
    <w:rsid w:val="003C5FE7"/>
    <w:rsid w:val="003D03D0"/>
    <w:rsid w:val="003D0ED7"/>
    <w:rsid w:val="003D20BF"/>
    <w:rsid w:val="003D35EC"/>
    <w:rsid w:val="003D404E"/>
    <w:rsid w:val="003D515E"/>
    <w:rsid w:val="003D53DA"/>
    <w:rsid w:val="003D5D90"/>
    <w:rsid w:val="003E30F0"/>
    <w:rsid w:val="003E4A42"/>
    <w:rsid w:val="003E53ED"/>
    <w:rsid w:val="003E7812"/>
    <w:rsid w:val="003E78A8"/>
    <w:rsid w:val="003F04E7"/>
    <w:rsid w:val="003F47BB"/>
    <w:rsid w:val="003F7243"/>
    <w:rsid w:val="00400830"/>
    <w:rsid w:val="004023C7"/>
    <w:rsid w:val="00402562"/>
    <w:rsid w:val="00407767"/>
    <w:rsid w:val="004078D0"/>
    <w:rsid w:val="004110BF"/>
    <w:rsid w:val="00411670"/>
    <w:rsid w:val="004122F1"/>
    <w:rsid w:val="004126E6"/>
    <w:rsid w:val="00413FC1"/>
    <w:rsid w:val="0041415A"/>
    <w:rsid w:val="004148C0"/>
    <w:rsid w:val="00415343"/>
    <w:rsid w:val="0041554E"/>
    <w:rsid w:val="00416385"/>
    <w:rsid w:val="00416916"/>
    <w:rsid w:val="00417A20"/>
    <w:rsid w:val="00417CF9"/>
    <w:rsid w:val="0042181F"/>
    <w:rsid w:val="00422B81"/>
    <w:rsid w:val="00423DA1"/>
    <w:rsid w:val="0042438A"/>
    <w:rsid w:val="00425570"/>
    <w:rsid w:val="004255CA"/>
    <w:rsid w:val="0042721C"/>
    <w:rsid w:val="00427C6D"/>
    <w:rsid w:val="00431B6C"/>
    <w:rsid w:val="00432B3B"/>
    <w:rsid w:val="004330B8"/>
    <w:rsid w:val="00433E26"/>
    <w:rsid w:val="004344AA"/>
    <w:rsid w:val="004353D4"/>
    <w:rsid w:val="00440CD5"/>
    <w:rsid w:val="00440FA4"/>
    <w:rsid w:val="00445133"/>
    <w:rsid w:val="00445766"/>
    <w:rsid w:val="00450EDA"/>
    <w:rsid w:val="0045370D"/>
    <w:rsid w:val="00453D54"/>
    <w:rsid w:val="00456EAE"/>
    <w:rsid w:val="00457AFE"/>
    <w:rsid w:val="0046284F"/>
    <w:rsid w:val="00465775"/>
    <w:rsid w:val="004657D5"/>
    <w:rsid w:val="00465B76"/>
    <w:rsid w:val="00467908"/>
    <w:rsid w:val="00467FAE"/>
    <w:rsid w:val="004703BC"/>
    <w:rsid w:val="00471D62"/>
    <w:rsid w:val="00472646"/>
    <w:rsid w:val="00473BE3"/>
    <w:rsid w:val="00473F65"/>
    <w:rsid w:val="0047433D"/>
    <w:rsid w:val="00477C03"/>
    <w:rsid w:val="0048148C"/>
    <w:rsid w:val="00481629"/>
    <w:rsid w:val="0048237F"/>
    <w:rsid w:val="00482A29"/>
    <w:rsid w:val="00482FAD"/>
    <w:rsid w:val="00483BEE"/>
    <w:rsid w:val="00483FDA"/>
    <w:rsid w:val="00484371"/>
    <w:rsid w:val="00486E0D"/>
    <w:rsid w:val="00490D80"/>
    <w:rsid w:val="004949A6"/>
    <w:rsid w:val="004966DC"/>
    <w:rsid w:val="004A0A4F"/>
    <w:rsid w:val="004A0F87"/>
    <w:rsid w:val="004A1D77"/>
    <w:rsid w:val="004A206E"/>
    <w:rsid w:val="004A2129"/>
    <w:rsid w:val="004A226F"/>
    <w:rsid w:val="004A26F8"/>
    <w:rsid w:val="004A298A"/>
    <w:rsid w:val="004A3C4C"/>
    <w:rsid w:val="004A4E3B"/>
    <w:rsid w:val="004B0EC1"/>
    <w:rsid w:val="004B1F27"/>
    <w:rsid w:val="004B22E5"/>
    <w:rsid w:val="004B5294"/>
    <w:rsid w:val="004B674F"/>
    <w:rsid w:val="004C015D"/>
    <w:rsid w:val="004C05EF"/>
    <w:rsid w:val="004C0949"/>
    <w:rsid w:val="004C12B4"/>
    <w:rsid w:val="004C1E74"/>
    <w:rsid w:val="004C2D3E"/>
    <w:rsid w:val="004C34E4"/>
    <w:rsid w:val="004C39BF"/>
    <w:rsid w:val="004C5E23"/>
    <w:rsid w:val="004C62BD"/>
    <w:rsid w:val="004C7B00"/>
    <w:rsid w:val="004D12A7"/>
    <w:rsid w:val="004D37E3"/>
    <w:rsid w:val="004D4113"/>
    <w:rsid w:val="004D48BB"/>
    <w:rsid w:val="004D500D"/>
    <w:rsid w:val="004D6362"/>
    <w:rsid w:val="004D66AD"/>
    <w:rsid w:val="004D79EE"/>
    <w:rsid w:val="004E0C37"/>
    <w:rsid w:val="004E1334"/>
    <w:rsid w:val="004E1614"/>
    <w:rsid w:val="004E1C26"/>
    <w:rsid w:val="004E3C62"/>
    <w:rsid w:val="004E4B01"/>
    <w:rsid w:val="004E561E"/>
    <w:rsid w:val="004E5B83"/>
    <w:rsid w:val="004F1B23"/>
    <w:rsid w:val="004F2F75"/>
    <w:rsid w:val="004F324F"/>
    <w:rsid w:val="004F3DED"/>
    <w:rsid w:val="004F4103"/>
    <w:rsid w:val="004F52CE"/>
    <w:rsid w:val="004F586D"/>
    <w:rsid w:val="004F62A3"/>
    <w:rsid w:val="004F68AB"/>
    <w:rsid w:val="004F695C"/>
    <w:rsid w:val="004F7702"/>
    <w:rsid w:val="00501E64"/>
    <w:rsid w:val="0050338A"/>
    <w:rsid w:val="0050555B"/>
    <w:rsid w:val="00505BA2"/>
    <w:rsid w:val="00505FB0"/>
    <w:rsid w:val="0051048C"/>
    <w:rsid w:val="00511724"/>
    <w:rsid w:val="00512DCB"/>
    <w:rsid w:val="00513F13"/>
    <w:rsid w:val="005150B5"/>
    <w:rsid w:val="00515836"/>
    <w:rsid w:val="00517630"/>
    <w:rsid w:val="005179A5"/>
    <w:rsid w:val="00520161"/>
    <w:rsid w:val="00520B32"/>
    <w:rsid w:val="005227F9"/>
    <w:rsid w:val="00522A33"/>
    <w:rsid w:val="00524A44"/>
    <w:rsid w:val="00526AC7"/>
    <w:rsid w:val="00527BEF"/>
    <w:rsid w:val="00527CA3"/>
    <w:rsid w:val="00530EE5"/>
    <w:rsid w:val="005328A9"/>
    <w:rsid w:val="005332A4"/>
    <w:rsid w:val="00535087"/>
    <w:rsid w:val="00535E3F"/>
    <w:rsid w:val="00535EB3"/>
    <w:rsid w:val="00536320"/>
    <w:rsid w:val="00536586"/>
    <w:rsid w:val="00537573"/>
    <w:rsid w:val="005378B9"/>
    <w:rsid w:val="005404BC"/>
    <w:rsid w:val="0054090A"/>
    <w:rsid w:val="00540966"/>
    <w:rsid w:val="0054137C"/>
    <w:rsid w:val="00541D1B"/>
    <w:rsid w:val="005426F8"/>
    <w:rsid w:val="00544BEC"/>
    <w:rsid w:val="00545AD9"/>
    <w:rsid w:val="005462B3"/>
    <w:rsid w:val="005465E6"/>
    <w:rsid w:val="00546769"/>
    <w:rsid w:val="005477A7"/>
    <w:rsid w:val="0055047D"/>
    <w:rsid w:val="00551B0E"/>
    <w:rsid w:val="00551B2E"/>
    <w:rsid w:val="00555858"/>
    <w:rsid w:val="005566DF"/>
    <w:rsid w:val="00557225"/>
    <w:rsid w:val="005574D8"/>
    <w:rsid w:val="0055776A"/>
    <w:rsid w:val="005608BE"/>
    <w:rsid w:val="00561AC5"/>
    <w:rsid w:val="005622C7"/>
    <w:rsid w:val="005626E7"/>
    <w:rsid w:val="00564165"/>
    <w:rsid w:val="005645AE"/>
    <w:rsid w:val="005704DD"/>
    <w:rsid w:val="00574B8B"/>
    <w:rsid w:val="00575EB7"/>
    <w:rsid w:val="00577AFB"/>
    <w:rsid w:val="00582DD2"/>
    <w:rsid w:val="0058438B"/>
    <w:rsid w:val="00584D1B"/>
    <w:rsid w:val="005902DE"/>
    <w:rsid w:val="005919E9"/>
    <w:rsid w:val="00591ED7"/>
    <w:rsid w:val="005933B4"/>
    <w:rsid w:val="00594366"/>
    <w:rsid w:val="00594ABF"/>
    <w:rsid w:val="005955D5"/>
    <w:rsid w:val="00595D67"/>
    <w:rsid w:val="005964DC"/>
    <w:rsid w:val="005A1980"/>
    <w:rsid w:val="005A2227"/>
    <w:rsid w:val="005A2682"/>
    <w:rsid w:val="005A29C1"/>
    <w:rsid w:val="005A2CC1"/>
    <w:rsid w:val="005A33DA"/>
    <w:rsid w:val="005A3861"/>
    <w:rsid w:val="005A3D27"/>
    <w:rsid w:val="005A555C"/>
    <w:rsid w:val="005A716F"/>
    <w:rsid w:val="005B0821"/>
    <w:rsid w:val="005B0B33"/>
    <w:rsid w:val="005B2C86"/>
    <w:rsid w:val="005B7BCB"/>
    <w:rsid w:val="005C0A50"/>
    <w:rsid w:val="005C2C88"/>
    <w:rsid w:val="005C5A94"/>
    <w:rsid w:val="005C7C9A"/>
    <w:rsid w:val="005C7CAC"/>
    <w:rsid w:val="005D0A02"/>
    <w:rsid w:val="005D534A"/>
    <w:rsid w:val="005E00EA"/>
    <w:rsid w:val="005E1036"/>
    <w:rsid w:val="005E1315"/>
    <w:rsid w:val="005E1335"/>
    <w:rsid w:val="005E6B6A"/>
    <w:rsid w:val="005E7AEC"/>
    <w:rsid w:val="005E7D54"/>
    <w:rsid w:val="005F15DA"/>
    <w:rsid w:val="005F1844"/>
    <w:rsid w:val="005F20C2"/>
    <w:rsid w:val="005F4020"/>
    <w:rsid w:val="005F4197"/>
    <w:rsid w:val="005F428B"/>
    <w:rsid w:val="005F4D0D"/>
    <w:rsid w:val="005F53FF"/>
    <w:rsid w:val="005F7563"/>
    <w:rsid w:val="006007A6"/>
    <w:rsid w:val="00601F87"/>
    <w:rsid w:val="006021BC"/>
    <w:rsid w:val="00602EE2"/>
    <w:rsid w:val="006068EE"/>
    <w:rsid w:val="00607E09"/>
    <w:rsid w:val="0061115C"/>
    <w:rsid w:val="006138F3"/>
    <w:rsid w:val="006139F2"/>
    <w:rsid w:val="00614470"/>
    <w:rsid w:val="006160B7"/>
    <w:rsid w:val="00616ABE"/>
    <w:rsid w:val="00617AB5"/>
    <w:rsid w:val="00617FA7"/>
    <w:rsid w:val="00620D78"/>
    <w:rsid w:val="0062251A"/>
    <w:rsid w:val="00622937"/>
    <w:rsid w:val="00622979"/>
    <w:rsid w:val="00624BA2"/>
    <w:rsid w:val="00625785"/>
    <w:rsid w:val="00625851"/>
    <w:rsid w:val="0062590A"/>
    <w:rsid w:val="00626B79"/>
    <w:rsid w:val="00627EA9"/>
    <w:rsid w:val="00627FE2"/>
    <w:rsid w:val="00631B5D"/>
    <w:rsid w:val="006320E0"/>
    <w:rsid w:val="00632672"/>
    <w:rsid w:val="006334D8"/>
    <w:rsid w:val="0063366D"/>
    <w:rsid w:val="00633B68"/>
    <w:rsid w:val="00634378"/>
    <w:rsid w:val="00634F85"/>
    <w:rsid w:val="00635C18"/>
    <w:rsid w:val="00635FD8"/>
    <w:rsid w:val="00640807"/>
    <w:rsid w:val="00640B0B"/>
    <w:rsid w:val="00641456"/>
    <w:rsid w:val="00644432"/>
    <w:rsid w:val="00644A50"/>
    <w:rsid w:val="0064701B"/>
    <w:rsid w:val="0064704E"/>
    <w:rsid w:val="006473CA"/>
    <w:rsid w:val="006477EC"/>
    <w:rsid w:val="006500DA"/>
    <w:rsid w:val="0065080A"/>
    <w:rsid w:val="0065224A"/>
    <w:rsid w:val="00653E80"/>
    <w:rsid w:val="00656B8D"/>
    <w:rsid w:val="00666431"/>
    <w:rsid w:val="00667F5B"/>
    <w:rsid w:val="00670089"/>
    <w:rsid w:val="006718B5"/>
    <w:rsid w:val="00671992"/>
    <w:rsid w:val="006727FA"/>
    <w:rsid w:val="00674C49"/>
    <w:rsid w:val="006760CC"/>
    <w:rsid w:val="006777D9"/>
    <w:rsid w:val="00677AD2"/>
    <w:rsid w:val="00677E96"/>
    <w:rsid w:val="00682FEF"/>
    <w:rsid w:val="0068627D"/>
    <w:rsid w:val="006869DB"/>
    <w:rsid w:val="00690F02"/>
    <w:rsid w:val="006933A2"/>
    <w:rsid w:val="0069435D"/>
    <w:rsid w:val="00695538"/>
    <w:rsid w:val="00695A7A"/>
    <w:rsid w:val="00696312"/>
    <w:rsid w:val="00696413"/>
    <w:rsid w:val="00696DD2"/>
    <w:rsid w:val="00697134"/>
    <w:rsid w:val="006A0BE8"/>
    <w:rsid w:val="006A21DC"/>
    <w:rsid w:val="006A24F3"/>
    <w:rsid w:val="006A2940"/>
    <w:rsid w:val="006A2971"/>
    <w:rsid w:val="006A2DE7"/>
    <w:rsid w:val="006A4A64"/>
    <w:rsid w:val="006A4FFB"/>
    <w:rsid w:val="006A5D12"/>
    <w:rsid w:val="006A7321"/>
    <w:rsid w:val="006A7BBA"/>
    <w:rsid w:val="006B0369"/>
    <w:rsid w:val="006B3ADA"/>
    <w:rsid w:val="006B42C2"/>
    <w:rsid w:val="006B5830"/>
    <w:rsid w:val="006C1BBC"/>
    <w:rsid w:val="006C2A30"/>
    <w:rsid w:val="006C3868"/>
    <w:rsid w:val="006C5CF3"/>
    <w:rsid w:val="006D048A"/>
    <w:rsid w:val="006D1213"/>
    <w:rsid w:val="006D1E4C"/>
    <w:rsid w:val="006D32D0"/>
    <w:rsid w:val="006D3769"/>
    <w:rsid w:val="006D3D2E"/>
    <w:rsid w:val="006D6440"/>
    <w:rsid w:val="006E0428"/>
    <w:rsid w:val="006E1422"/>
    <w:rsid w:val="006E1541"/>
    <w:rsid w:val="006E1674"/>
    <w:rsid w:val="006E4735"/>
    <w:rsid w:val="006E4E0B"/>
    <w:rsid w:val="006E604A"/>
    <w:rsid w:val="006F10B6"/>
    <w:rsid w:val="006F16B3"/>
    <w:rsid w:val="006F1DEA"/>
    <w:rsid w:val="006F43F2"/>
    <w:rsid w:val="006F476E"/>
    <w:rsid w:val="006F48F5"/>
    <w:rsid w:val="006F4F8E"/>
    <w:rsid w:val="006F5676"/>
    <w:rsid w:val="006F5A5A"/>
    <w:rsid w:val="006F5AFD"/>
    <w:rsid w:val="006F7115"/>
    <w:rsid w:val="007003D0"/>
    <w:rsid w:val="00703DD8"/>
    <w:rsid w:val="007048A4"/>
    <w:rsid w:val="0070500D"/>
    <w:rsid w:val="007064D6"/>
    <w:rsid w:val="00706D58"/>
    <w:rsid w:val="00707EFC"/>
    <w:rsid w:val="00711930"/>
    <w:rsid w:val="00715B9F"/>
    <w:rsid w:val="00715FF1"/>
    <w:rsid w:val="007166A7"/>
    <w:rsid w:val="00716DDA"/>
    <w:rsid w:val="00717490"/>
    <w:rsid w:val="00720FB2"/>
    <w:rsid w:val="00723047"/>
    <w:rsid w:val="00725152"/>
    <w:rsid w:val="007318BF"/>
    <w:rsid w:val="00734716"/>
    <w:rsid w:val="007352AA"/>
    <w:rsid w:val="00737038"/>
    <w:rsid w:val="00741336"/>
    <w:rsid w:val="00742165"/>
    <w:rsid w:val="00747085"/>
    <w:rsid w:val="0075025F"/>
    <w:rsid w:val="007505B3"/>
    <w:rsid w:val="0075132B"/>
    <w:rsid w:val="00753CBF"/>
    <w:rsid w:val="007540F1"/>
    <w:rsid w:val="007546F3"/>
    <w:rsid w:val="00755BC7"/>
    <w:rsid w:val="00755FE8"/>
    <w:rsid w:val="007569A1"/>
    <w:rsid w:val="00761B69"/>
    <w:rsid w:val="007622D8"/>
    <w:rsid w:val="00762441"/>
    <w:rsid w:val="0076260E"/>
    <w:rsid w:val="0076284D"/>
    <w:rsid w:val="00763651"/>
    <w:rsid w:val="00763AE2"/>
    <w:rsid w:val="00764404"/>
    <w:rsid w:val="007669E0"/>
    <w:rsid w:val="0076705C"/>
    <w:rsid w:val="00767CE5"/>
    <w:rsid w:val="00772BA1"/>
    <w:rsid w:val="007765EA"/>
    <w:rsid w:val="00776759"/>
    <w:rsid w:val="0078140F"/>
    <w:rsid w:val="00782F50"/>
    <w:rsid w:val="0078347E"/>
    <w:rsid w:val="007838A4"/>
    <w:rsid w:val="007845E8"/>
    <w:rsid w:val="00790B88"/>
    <w:rsid w:val="00791FC3"/>
    <w:rsid w:val="00792FB8"/>
    <w:rsid w:val="00793C0D"/>
    <w:rsid w:val="0079695A"/>
    <w:rsid w:val="00797744"/>
    <w:rsid w:val="007A0426"/>
    <w:rsid w:val="007A080C"/>
    <w:rsid w:val="007A3087"/>
    <w:rsid w:val="007A4102"/>
    <w:rsid w:val="007A6B7E"/>
    <w:rsid w:val="007B0387"/>
    <w:rsid w:val="007B2B24"/>
    <w:rsid w:val="007B3014"/>
    <w:rsid w:val="007B37E2"/>
    <w:rsid w:val="007B39CD"/>
    <w:rsid w:val="007B4B29"/>
    <w:rsid w:val="007B4B76"/>
    <w:rsid w:val="007C12B9"/>
    <w:rsid w:val="007C3315"/>
    <w:rsid w:val="007C41BF"/>
    <w:rsid w:val="007C5F90"/>
    <w:rsid w:val="007C60B9"/>
    <w:rsid w:val="007C707A"/>
    <w:rsid w:val="007D05EE"/>
    <w:rsid w:val="007D10D6"/>
    <w:rsid w:val="007D1AB7"/>
    <w:rsid w:val="007D36B1"/>
    <w:rsid w:val="007D455A"/>
    <w:rsid w:val="007D5CF7"/>
    <w:rsid w:val="007D63ED"/>
    <w:rsid w:val="007E0B1E"/>
    <w:rsid w:val="007E378E"/>
    <w:rsid w:val="007E5D13"/>
    <w:rsid w:val="007F0AED"/>
    <w:rsid w:val="007F14D6"/>
    <w:rsid w:val="007F25EC"/>
    <w:rsid w:val="007F2FE5"/>
    <w:rsid w:val="007F3057"/>
    <w:rsid w:val="007F3A6D"/>
    <w:rsid w:val="007F77F1"/>
    <w:rsid w:val="007F7A9D"/>
    <w:rsid w:val="0080026E"/>
    <w:rsid w:val="00800EF4"/>
    <w:rsid w:val="008018BD"/>
    <w:rsid w:val="0080475B"/>
    <w:rsid w:val="00805188"/>
    <w:rsid w:val="00805B95"/>
    <w:rsid w:val="008077F2"/>
    <w:rsid w:val="008106D8"/>
    <w:rsid w:val="0081277F"/>
    <w:rsid w:val="00813DC0"/>
    <w:rsid w:val="008150AC"/>
    <w:rsid w:val="00816E37"/>
    <w:rsid w:val="00820496"/>
    <w:rsid w:val="00820BAD"/>
    <w:rsid w:val="008226D1"/>
    <w:rsid w:val="008254BB"/>
    <w:rsid w:val="0082581C"/>
    <w:rsid w:val="00826F67"/>
    <w:rsid w:val="00827DBF"/>
    <w:rsid w:val="00833363"/>
    <w:rsid w:val="008334D9"/>
    <w:rsid w:val="008337F6"/>
    <w:rsid w:val="00833AEB"/>
    <w:rsid w:val="00834F6A"/>
    <w:rsid w:val="008356E3"/>
    <w:rsid w:val="00836BB8"/>
    <w:rsid w:val="0083709A"/>
    <w:rsid w:val="00837473"/>
    <w:rsid w:val="00837A60"/>
    <w:rsid w:val="00841CDA"/>
    <w:rsid w:val="00843CD8"/>
    <w:rsid w:val="00845B12"/>
    <w:rsid w:val="00846F7C"/>
    <w:rsid w:val="00851E2B"/>
    <w:rsid w:val="00851FF0"/>
    <w:rsid w:val="008536FD"/>
    <w:rsid w:val="00856CE1"/>
    <w:rsid w:val="00856CEC"/>
    <w:rsid w:val="00857A5B"/>
    <w:rsid w:val="008600B7"/>
    <w:rsid w:val="008612A5"/>
    <w:rsid w:val="00861C7D"/>
    <w:rsid w:val="008626A0"/>
    <w:rsid w:val="00862AE1"/>
    <w:rsid w:val="00862D3E"/>
    <w:rsid w:val="00863438"/>
    <w:rsid w:val="00865C7A"/>
    <w:rsid w:val="00870463"/>
    <w:rsid w:val="008710C6"/>
    <w:rsid w:val="0087167F"/>
    <w:rsid w:val="008775E5"/>
    <w:rsid w:val="00881CD8"/>
    <w:rsid w:val="00881EC3"/>
    <w:rsid w:val="00881F55"/>
    <w:rsid w:val="00884E55"/>
    <w:rsid w:val="008870C5"/>
    <w:rsid w:val="00890773"/>
    <w:rsid w:val="00890991"/>
    <w:rsid w:val="00891082"/>
    <w:rsid w:val="0089147E"/>
    <w:rsid w:val="00892035"/>
    <w:rsid w:val="00895599"/>
    <w:rsid w:val="008968D6"/>
    <w:rsid w:val="00896DF3"/>
    <w:rsid w:val="008978F4"/>
    <w:rsid w:val="00897E38"/>
    <w:rsid w:val="008A157D"/>
    <w:rsid w:val="008A26BB"/>
    <w:rsid w:val="008A2ADE"/>
    <w:rsid w:val="008A3FB9"/>
    <w:rsid w:val="008A48D8"/>
    <w:rsid w:val="008A70AE"/>
    <w:rsid w:val="008A7E55"/>
    <w:rsid w:val="008B0065"/>
    <w:rsid w:val="008B4112"/>
    <w:rsid w:val="008B5A00"/>
    <w:rsid w:val="008C4644"/>
    <w:rsid w:val="008C4811"/>
    <w:rsid w:val="008C4D1D"/>
    <w:rsid w:val="008C5EB0"/>
    <w:rsid w:val="008C62C7"/>
    <w:rsid w:val="008C6CDA"/>
    <w:rsid w:val="008C7965"/>
    <w:rsid w:val="008D06C2"/>
    <w:rsid w:val="008D1225"/>
    <w:rsid w:val="008D1460"/>
    <w:rsid w:val="008D1BBD"/>
    <w:rsid w:val="008D1CF2"/>
    <w:rsid w:val="008D27AF"/>
    <w:rsid w:val="008D5F18"/>
    <w:rsid w:val="008D6549"/>
    <w:rsid w:val="008D7396"/>
    <w:rsid w:val="008E0E33"/>
    <w:rsid w:val="008E260F"/>
    <w:rsid w:val="008E3886"/>
    <w:rsid w:val="008E6A6B"/>
    <w:rsid w:val="008F01B6"/>
    <w:rsid w:val="008F12BB"/>
    <w:rsid w:val="008F1765"/>
    <w:rsid w:val="008F1A3C"/>
    <w:rsid w:val="008F26E1"/>
    <w:rsid w:val="008F3F56"/>
    <w:rsid w:val="008F5657"/>
    <w:rsid w:val="008F675D"/>
    <w:rsid w:val="0090161D"/>
    <w:rsid w:val="0090374D"/>
    <w:rsid w:val="009051C5"/>
    <w:rsid w:val="00905B92"/>
    <w:rsid w:val="009103D1"/>
    <w:rsid w:val="00911F2D"/>
    <w:rsid w:val="009122F8"/>
    <w:rsid w:val="00914BFF"/>
    <w:rsid w:val="009152DC"/>
    <w:rsid w:val="009170B3"/>
    <w:rsid w:val="00920B61"/>
    <w:rsid w:val="00921A81"/>
    <w:rsid w:val="00921A82"/>
    <w:rsid w:val="0092296D"/>
    <w:rsid w:val="00922D00"/>
    <w:rsid w:val="00924890"/>
    <w:rsid w:val="00924BFE"/>
    <w:rsid w:val="0092585F"/>
    <w:rsid w:val="00926EAA"/>
    <w:rsid w:val="00930AB6"/>
    <w:rsid w:val="0093140F"/>
    <w:rsid w:val="00934A1B"/>
    <w:rsid w:val="00934FE3"/>
    <w:rsid w:val="00935BBB"/>
    <w:rsid w:val="009404F7"/>
    <w:rsid w:val="00941561"/>
    <w:rsid w:val="00941EB3"/>
    <w:rsid w:val="00942026"/>
    <w:rsid w:val="00947E06"/>
    <w:rsid w:val="00947E4E"/>
    <w:rsid w:val="009502B2"/>
    <w:rsid w:val="00952703"/>
    <w:rsid w:val="0095436C"/>
    <w:rsid w:val="00954860"/>
    <w:rsid w:val="00955D8B"/>
    <w:rsid w:val="0095713E"/>
    <w:rsid w:val="00957185"/>
    <w:rsid w:val="00957A7D"/>
    <w:rsid w:val="0096543F"/>
    <w:rsid w:val="009659F8"/>
    <w:rsid w:val="00966951"/>
    <w:rsid w:val="009700B8"/>
    <w:rsid w:val="009706BA"/>
    <w:rsid w:val="00970A0F"/>
    <w:rsid w:val="009718F2"/>
    <w:rsid w:val="00972CA9"/>
    <w:rsid w:val="00974840"/>
    <w:rsid w:val="00976141"/>
    <w:rsid w:val="0097769B"/>
    <w:rsid w:val="00977F37"/>
    <w:rsid w:val="0098071D"/>
    <w:rsid w:val="00981FBA"/>
    <w:rsid w:val="0098262C"/>
    <w:rsid w:val="00982A61"/>
    <w:rsid w:val="009832DB"/>
    <w:rsid w:val="00983B15"/>
    <w:rsid w:val="0098506C"/>
    <w:rsid w:val="00990C0C"/>
    <w:rsid w:val="0099121F"/>
    <w:rsid w:val="00991C18"/>
    <w:rsid w:val="0099380A"/>
    <w:rsid w:val="00994F14"/>
    <w:rsid w:val="009978CE"/>
    <w:rsid w:val="009A135B"/>
    <w:rsid w:val="009A49FD"/>
    <w:rsid w:val="009A5F21"/>
    <w:rsid w:val="009A6696"/>
    <w:rsid w:val="009A72A4"/>
    <w:rsid w:val="009B0751"/>
    <w:rsid w:val="009B113E"/>
    <w:rsid w:val="009B1A4F"/>
    <w:rsid w:val="009B2A76"/>
    <w:rsid w:val="009B2ED9"/>
    <w:rsid w:val="009B3296"/>
    <w:rsid w:val="009B399B"/>
    <w:rsid w:val="009B45CD"/>
    <w:rsid w:val="009B482B"/>
    <w:rsid w:val="009B5A65"/>
    <w:rsid w:val="009B705D"/>
    <w:rsid w:val="009C1BF3"/>
    <w:rsid w:val="009C1C51"/>
    <w:rsid w:val="009C3BBE"/>
    <w:rsid w:val="009C5183"/>
    <w:rsid w:val="009C5A03"/>
    <w:rsid w:val="009C5DFE"/>
    <w:rsid w:val="009C5ED4"/>
    <w:rsid w:val="009C791D"/>
    <w:rsid w:val="009C7D0B"/>
    <w:rsid w:val="009D0EDC"/>
    <w:rsid w:val="009D3D2C"/>
    <w:rsid w:val="009D4DBD"/>
    <w:rsid w:val="009D5678"/>
    <w:rsid w:val="009E1CE3"/>
    <w:rsid w:val="009E525D"/>
    <w:rsid w:val="009E57E2"/>
    <w:rsid w:val="009E7294"/>
    <w:rsid w:val="009E733A"/>
    <w:rsid w:val="009F2F02"/>
    <w:rsid w:val="009F3203"/>
    <w:rsid w:val="009F4611"/>
    <w:rsid w:val="009F4844"/>
    <w:rsid w:val="009F6D6D"/>
    <w:rsid w:val="009F6FEA"/>
    <w:rsid w:val="00A006C6"/>
    <w:rsid w:val="00A01D62"/>
    <w:rsid w:val="00A027D4"/>
    <w:rsid w:val="00A03792"/>
    <w:rsid w:val="00A03CD5"/>
    <w:rsid w:val="00A0469C"/>
    <w:rsid w:val="00A046D9"/>
    <w:rsid w:val="00A04FF9"/>
    <w:rsid w:val="00A06F6F"/>
    <w:rsid w:val="00A07DED"/>
    <w:rsid w:val="00A1121F"/>
    <w:rsid w:val="00A115CA"/>
    <w:rsid w:val="00A12501"/>
    <w:rsid w:val="00A1307C"/>
    <w:rsid w:val="00A13B90"/>
    <w:rsid w:val="00A21322"/>
    <w:rsid w:val="00A21335"/>
    <w:rsid w:val="00A2133E"/>
    <w:rsid w:val="00A24DA0"/>
    <w:rsid w:val="00A250AF"/>
    <w:rsid w:val="00A27C0A"/>
    <w:rsid w:val="00A30B21"/>
    <w:rsid w:val="00A31DA3"/>
    <w:rsid w:val="00A358B6"/>
    <w:rsid w:val="00A35B58"/>
    <w:rsid w:val="00A3701B"/>
    <w:rsid w:val="00A376AB"/>
    <w:rsid w:val="00A37781"/>
    <w:rsid w:val="00A379DF"/>
    <w:rsid w:val="00A46B55"/>
    <w:rsid w:val="00A473BA"/>
    <w:rsid w:val="00A47572"/>
    <w:rsid w:val="00A47E0F"/>
    <w:rsid w:val="00A51F55"/>
    <w:rsid w:val="00A52B7D"/>
    <w:rsid w:val="00A5379D"/>
    <w:rsid w:val="00A54815"/>
    <w:rsid w:val="00A55BA7"/>
    <w:rsid w:val="00A55C9A"/>
    <w:rsid w:val="00A5689D"/>
    <w:rsid w:val="00A569E0"/>
    <w:rsid w:val="00A56C60"/>
    <w:rsid w:val="00A57384"/>
    <w:rsid w:val="00A577D3"/>
    <w:rsid w:val="00A6233B"/>
    <w:rsid w:val="00A62AD9"/>
    <w:rsid w:val="00A641B5"/>
    <w:rsid w:val="00A644FA"/>
    <w:rsid w:val="00A667C5"/>
    <w:rsid w:val="00A66B7B"/>
    <w:rsid w:val="00A66CC8"/>
    <w:rsid w:val="00A67A05"/>
    <w:rsid w:val="00A70EA6"/>
    <w:rsid w:val="00A715B8"/>
    <w:rsid w:val="00A73607"/>
    <w:rsid w:val="00A74EB8"/>
    <w:rsid w:val="00A75449"/>
    <w:rsid w:val="00A75841"/>
    <w:rsid w:val="00A7778F"/>
    <w:rsid w:val="00A77A94"/>
    <w:rsid w:val="00A8054C"/>
    <w:rsid w:val="00A82533"/>
    <w:rsid w:val="00A82A3B"/>
    <w:rsid w:val="00A82CAD"/>
    <w:rsid w:val="00A8308D"/>
    <w:rsid w:val="00A92899"/>
    <w:rsid w:val="00A9432A"/>
    <w:rsid w:val="00AA64A3"/>
    <w:rsid w:val="00AA6869"/>
    <w:rsid w:val="00AB09CA"/>
    <w:rsid w:val="00AB10E3"/>
    <w:rsid w:val="00AB1744"/>
    <w:rsid w:val="00AB1F46"/>
    <w:rsid w:val="00AB371E"/>
    <w:rsid w:val="00AB3B43"/>
    <w:rsid w:val="00AB3DDE"/>
    <w:rsid w:val="00AB4AD8"/>
    <w:rsid w:val="00AB5039"/>
    <w:rsid w:val="00AB58E6"/>
    <w:rsid w:val="00AB5AC8"/>
    <w:rsid w:val="00AC34FA"/>
    <w:rsid w:val="00AC3CB4"/>
    <w:rsid w:val="00AC64E7"/>
    <w:rsid w:val="00AC78F5"/>
    <w:rsid w:val="00AD04C5"/>
    <w:rsid w:val="00AD2A04"/>
    <w:rsid w:val="00AD2F47"/>
    <w:rsid w:val="00AD3BF3"/>
    <w:rsid w:val="00AD4A4F"/>
    <w:rsid w:val="00AD4CBD"/>
    <w:rsid w:val="00AE07DF"/>
    <w:rsid w:val="00AE4007"/>
    <w:rsid w:val="00AE65DA"/>
    <w:rsid w:val="00AF17E2"/>
    <w:rsid w:val="00AF1957"/>
    <w:rsid w:val="00AF4EF0"/>
    <w:rsid w:val="00AF5BC1"/>
    <w:rsid w:val="00AF685E"/>
    <w:rsid w:val="00AF6C9D"/>
    <w:rsid w:val="00B003FA"/>
    <w:rsid w:val="00B01AC3"/>
    <w:rsid w:val="00B0467B"/>
    <w:rsid w:val="00B06832"/>
    <w:rsid w:val="00B117E6"/>
    <w:rsid w:val="00B16281"/>
    <w:rsid w:val="00B1690C"/>
    <w:rsid w:val="00B2400C"/>
    <w:rsid w:val="00B24BCF"/>
    <w:rsid w:val="00B24C88"/>
    <w:rsid w:val="00B25383"/>
    <w:rsid w:val="00B2664F"/>
    <w:rsid w:val="00B26768"/>
    <w:rsid w:val="00B27D18"/>
    <w:rsid w:val="00B31695"/>
    <w:rsid w:val="00B31F90"/>
    <w:rsid w:val="00B3274D"/>
    <w:rsid w:val="00B33E51"/>
    <w:rsid w:val="00B348D7"/>
    <w:rsid w:val="00B34B86"/>
    <w:rsid w:val="00B34CE2"/>
    <w:rsid w:val="00B372D5"/>
    <w:rsid w:val="00B37363"/>
    <w:rsid w:val="00B37BA1"/>
    <w:rsid w:val="00B37FC1"/>
    <w:rsid w:val="00B40760"/>
    <w:rsid w:val="00B4165D"/>
    <w:rsid w:val="00B41DAC"/>
    <w:rsid w:val="00B44085"/>
    <w:rsid w:val="00B44DCB"/>
    <w:rsid w:val="00B464B8"/>
    <w:rsid w:val="00B46E23"/>
    <w:rsid w:val="00B478AE"/>
    <w:rsid w:val="00B51681"/>
    <w:rsid w:val="00B51B76"/>
    <w:rsid w:val="00B5483C"/>
    <w:rsid w:val="00B5541A"/>
    <w:rsid w:val="00B569C5"/>
    <w:rsid w:val="00B5731D"/>
    <w:rsid w:val="00B607B1"/>
    <w:rsid w:val="00B67F7E"/>
    <w:rsid w:val="00B71325"/>
    <w:rsid w:val="00B71C78"/>
    <w:rsid w:val="00B71ED6"/>
    <w:rsid w:val="00B744B7"/>
    <w:rsid w:val="00B7669C"/>
    <w:rsid w:val="00B813A2"/>
    <w:rsid w:val="00B824A2"/>
    <w:rsid w:val="00B87D31"/>
    <w:rsid w:val="00B904F7"/>
    <w:rsid w:val="00B9247E"/>
    <w:rsid w:val="00B9483F"/>
    <w:rsid w:val="00B95732"/>
    <w:rsid w:val="00B9687D"/>
    <w:rsid w:val="00B96FC6"/>
    <w:rsid w:val="00B974C3"/>
    <w:rsid w:val="00B977F3"/>
    <w:rsid w:val="00B97B7E"/>
    <w:rsid w:val="00BA0E6C"/>
    <w:rsid w:val="00BA3E3E"/>
    <w:rsid w:val="00BA4134"/>
    <w:rsid w:val="00BA6242"/>
    <w:rsid w:val="00BA6F10"/>
    <w:rsid w:val="00BA74CE"/>
    <w:rsid w:val="00BA79C2"/>
    <w:rsid w:val="00BB1621"/>
    <w:rsid w:val="00BB43FB"/>
    <w:rsid w:val="00BB6F97"/>
    <w:rsid w:val="00BB7072"/>
    <w:rsid w:val="00BC00C1"/>
    <w:rsid w:val="00BC0593"/>
    <w:rsid w:val="00BC30D9"/>
    <w:rsid w:val="00BC4C76"/>
    <w:rsid w:val="00BC4DEB"/>
    <w:rsid w:val="00BC538A"/>
    <w:rsid w:val="00BC6681"/>
    <w:rsid w:val="00BC7C32"/>
    <w:rsid w:val="00BD017C"/>
    <w:rsid w:val="00BD37EE"/>
    <w:rsid w:val="00BD5334"/>
    <w:rsid w:val="00BD659B"/>
    <w:rsid w:val="00BD67DE"/>
    <w:rsid w:val="00BD6D65"/>
    <w:rsid w:val="00BD7DE5"/>
    <w:rsid w:val="00BD7E1F"/>
    <w:rsid w:val="00BE1739"/>
    <w:rsid w:val="00BE21CA"/>
    <w:rsid w:val="00BE6083"/>
    <w:rsid w:val="00BE7BD4"/>
    <w:rsid w:val="00BF0A3A"/>
    <w:rsid w:val="00BF0F46"/>
    <w:rsid w:val="00BF25E1"/>
    <w:rsid w:val="00BF453B"/>
    <w:rsid w:val="00BF4613"/>
    <w:rsid w:val="00C003EF"/>
    <w:rsid w:val="00C053BD"/>
    <w:rsid w:val="00C103ED"/>
    <w:rsid w:val="00C12362"/>
    <w:rsid w:val="00C13667"/>
    <w:rsid w:val="00C1473F"/>
    <w:rsid w:val="00C156F2"/>
    <w:rsid w:val="00C16BC2"/>
    <w:rsid w:val="00C1760E"/>
    <w:rsid w:val="00C2019A"/>
    <w:rsid w:val="00C207D6"/>
    <w:rsid w:val="00C218FB"/>
    <w:rsid w:val="00C22858"/>
    <w:rsid w:val="00C2384E"/>
    <w:rsid w:val="00C2385D"/>
    <w:rsid w:val="00C2720F"/>
    <w:rsid w:val="00C27BDE"/>
    <w:rsid w:val="00C30369"/>
    <w:rsid w:val="00C30736"/>
    <w:rsid w:val="00C30772"/>
    <w:rsid w:val="00C308D9"/>
    <w:rsid w:val="00C31617"/>
    <w:rsid w:val="00C334B4"/>
    <w:rsid w:val="00C33802"/>
    <w:rsid w:val="00C351EB"/>
    <w:rsid w:val="00C37B44"/>
    <w:rsid w:val="00C43692"/>
    <w:rsid w:val="00C43CCC"/>
    <w:rsid w:val="00C44D3C"/>
    <w:rsid w:val="00C473AE"/>
    <w:rsid w:val="00C475E3"/>
    <w:rsid w:val="00C478F4"/>
    <w:rsid w:val="00C506AC"/>
    <w:rsid w:val="00C532D4"/>
    <w:rsid w:val="00C55075"/>
    <w:rsid w:val="00C562F6"/>
    <w:rsid w:val="00C576E3"/>
    <w:rsid w:val="00C57712"/>
    <w:rsid w:val="00C578BF"/>
    <w:rsid w:val="00C60176"/>
    <w:rsid w:val="00C61321"/>
    <w:rsid w:val="00C6177F"/>
    <w:rsid w:val="00C61AC8"/>
    <w:rsid w:val="00C65B90"/>
    <w:rsid w:val="00C65EFF"/>
    <w:rsid w:val="00C70266"/>
    <w:rsid w:val="00C72FDD"/>
    <w:rsid w:val="00C7323D"/>
    <w:rsid w:val="00C756EF"/>
    <w:rsid w:val="00C77549"/>
    <w:rsid w:val="00C809E9"/>
    <w:rsid w:val="00C80BD9"/>
    <w:rsid w:val="00C83626"/>
    <w:rsid w:val="00C8486B"/>
    <w:rsid w:val="00C84EBE"/>
    <w:rsid w:val="00C85A8D"/>
    <w:rsid w:val="00C85F47"/>
    <w:rsid w:val="00C902EC"/>
    <w:rsid w:val="00C90B80"/>
    <w:rsid w:val="00C90D2F"/>
    <w:rsid w:val="00C90E61"/>
    <w:rsid w:val="00C92232"/>
    <w:rsid w:val="00C92BCE"/>
    <w:rsid w:val="00C92DDC"/>
    <w:rsid w:val="00C94090"/>
    <w:rsid w:val="00C94900"/>
    <w:rsid w:val="00C95C10"/>
    <w:rsid w:val="00CA1529"/>
    <w:rsid w:val="00CA2043"/>
    <w:rsid w:val="00CA24A3"/>
    <w:rsid w:val="00CA3F74"/>
    <w:rsid w:val="00CA4748"/>
    <w:rsid w:val="00CA53B9"/>
    <w:rsid w:val="00CA6075"/>
    <w:rsid w:val="00CA6F4E"/>
    <w:rsid w:val="00CB08CF"/>
    <w:rsid w:val="00CB1760"/>
    <w:rsid w:val="00CB2982"/>
    <w:rsid w:val="00CB2AC4"/>
    <w:rsid w:val="00CB4AAB"/>
    <w:rsid w:val="00CB5365"/>
    <w:rsid w:val="00CB5B8E"/>
    <w:rsid w:val="00CB751F"/>
    <w:rsid w:val="00CC081B"/>
    <w:rsid w:val="00CC09C0"/>
    <w:rsid w:val="00CC0D4A"/>
    <w:rsid w:val="00CC0F4D"/>
    <w:rsid w:val="00CC2D6B"/>
    <w:rsid w:val="00CC48C9"/>
    <w:rsid w:val="00CC4C3F"/>
    <w:rsid w:val="00CC5329"/>
    <w:rsid w:val="00CC6121"/>
    <w:rsid w:val="00CC7192"/>
    <w:rsid w:val="00CD5660"/>
    <w:rsid w:val="00CD62EA"/>
    <w:rsid w:val="00CD683B"/>
    <w:rsid w:val="00CD74A0"/>
    <w:rsid w:val="00CE09F6"/>
    <w:rsid w:val="00CE24C6"/>
    <w:rsid w:val="00CE4A20"/>
    <w:rsid w:val="00CE4EEA"/>
    <w:rsid w:val="00CE52D9"/>
    <w:rsid w:val="00CE5FCF"/>
    <w:rsid w:val="00CF0489"/>
    <w:rsid w:val="00CF0780"/>
    <w:rsid w:val="00CF07CE"/>
    <w:rsid w:val="00CF0B06"/>
    <w:rsid w:val="00CF1AF9"/>
    <w:rsid w:val="00CF2553"/>
    <w:rsid w:val="00CF3B4D"/>
    <w:rsid w:val="00CF62BA"/>
    <w:rsid w:val="00D00272"/>
    <w:rsid w:val="00D011DA"/>
    <w:rsid w:val="00D065DC"/>
    <w:rsid w:val="00D1273C"/>
    <w:rsid w:val="00D16928"/>
    <w:rsid w:val="00D210F5"/>
    <w:rsid w:val="00D21B6B"/>
    <w:rsid w:val="00D21F09"/>
    <w:rsid w:val="00D225C0"/>
    <w:rsid w:val="00D24E31"/>
    <w:rsid w:val="00D25811"/>
    <w:rsid w:val="00D26381"/>
    <w:rsid w:val="00D27FDD"/>
    <w:rsid w:val="00D3077A"/>
    <w:rsid w:val="00D30F66"/>
    <w:rsid w:val="00D315DB"/>
    <w:rsid w:val="00D34464"/>
    <w:rsid w:val="00D34DC9"/>
    <w:rsid w:val="00D40B19"/>
    <w:rsid w:val="00D40BC0"/>
    <w:rsid w:val="00D41B3E"/>
    <w:rsid w:val="00D41F86"/>
    <w:rsid w:val="00D421D7"/>
    <w:rsid w:val="00D43954"/>
    <w:rsid w:val="00D43E70"/>
    <w:rsid w:val="00D449E8"/>
    <w:rsid w:val="00D45A46"/>
    <w:rsid w:val="00D45FED"/>
    <w:rsid w:val="00D470F4"/>
    <w:rsid w:val="00D502AF"/>
    <w:rsid w:val="00D50353"/>
    <w:rsid w:val="00D50650"/>
    <w:rsid w:val="00D50C15"/>
    <w:rsid w:val="00D5553A"/>
    <w:rsid w:val="00D60B3F"/>
    <w:rsid w:val="00D62656"/>
    <w:rsid w:val="00D627E8"/>
    <w:rsid w:val="00D65E07"/>
    <w:rsid w:val="00D66BCC"/>
    <w:rsid w:val="00D701C7"/>
    <w:rsid w:val="00D7088F"/>
    <w:rsid w:val="00D709AC"/>
    <w:rsid w:val="00D70AA9"/>
    <w:rsid w:val="00D74E04"/>
    <w:rsid w:val="00D75BC0"/>
    <w:rsid w:val="00D76BBB"/>
    <w:rsid w:val="00D76E51"/>
    <w:rsid w:val="00D824C1"/>
    <w:rsid w:val="00D86BBE"/>
    <w:rsid w:val="00D94B4C"/>
    <w:rsid w:val="00D94F7E"/>
    <w:rsid w:val="00D95B5C"/>
    <w:rsid w:val="00D96AEF"/>
    <w:rsid w:val="00DA16B5"/>
    <w:rsid w:val="00DA1DF7"/>
    <w:rsid w:val="00DA2765"/>
    <w:rsid w:val="00DA27EC"/>
    <w:rsid w:val="00DA2CE6"/>
    <w:rsid w:val="00DA392D"/>
    <w:rsid w:val="00DA4704"/>
    <w:rsid w:val="00DA55B9"/>
    <w:rsid w:val="00DA6176"/>
    <w:rsid w:val="00DA6385"/>
    <w:rsid w:val="00DB2499"/>
    <w:rsid w:val="00DB3F40"/>
    <w:rsid w:val="00DB77A9"/>
    <w:rsid w:val="00DB7946"/>
    <w:rsid w:val="00DC48D8"/>
    <w:rsid w:val="00DC54DB"/>
    <w:rsid w:val="00DC6847"/>
    <w:rsid w:val="00DC7295"/>
    <w:rsid w:val="00DC7784"/>
    <w:rsid w:val="00DD031F"/>
    <w:rsid w:val="00DD3995"/>
    <w:rsid w:val="00DD404A"/>
    <w:rsid w:val="00DD4323"/>
    <w:rsid w:val="00DD72F7"/>
    <w:rsid w:val="00DE0BB0"/>
    <w:rsid w:val="00DE28BF"/>
    <w:rsid w:val="00DE32AE"/>
    <w:rsid w:val="00DE3DCF"/>
    <w:rsid w:val="00DE50D1"/>
    <w:rsid w:val="00DE6A47"/>
    <w:rsid w:val="00DE7686"/>
    <w:rsid w:val="00DF046A"/>
    <w:rsid w:val="00DF06A4"/>
    <w:rsid w:val="00DF1C47"/>
    <w:rsid w:val="00DF5E2C"/>
    <w:rsid w:val="00DF7EBA"/>
    <w:rsid w:val="00E0095B"/>
    <w:rsid w:val="00E013E7"/>
    <w:rsid w:val="00E0276C"/>
    <w:rsid w:val="00E02A8D"/>
    <w:rsid w:val="00E04466"/>
    <w:rsid w:val="00E047AC"/>
    <w:rsid w:val="00E07359"/>
    <w:rsid w:val="00E10079"/>
    <w:rsid w:val="00E12459"/>
    <w:rsid w:val="00E13CAC"/>
    <w:rsid w:val="00E1434C"/>
    <w:rsid w:val="00E15EBD"/>
    <w:rsid w:val="00E16662"/>
    <w:rsid w:val="00E169F8"/>
    <w:rsid w:val="00E21B18"/>
    <w:rsid w:val="00E21CB9"/>
    <w:rsid w:val="00E23485"/>
    <w:rsid w:val="00E23701"/>
    <w:rsid w:val="00E23E40"/>
    <w:rsid w:val="00E2436C"/>
    <w:rsid w:val="00E25C62"/>
    <w:rsid w:val="00E264E6"/>
    <w:rsid w:val="00E2684D"/>
    <w:rsid w:val="00E26B96"/>
    <w:rsid w:val="00E26DFD"/>
    <w:rsid w:val="00E30E0A"/>
    <w:rsid w:val="00E30FFD"/>
    <w:rsid w:val="00E312F3"/>
    <w:rsid w:val="00E31505"/>
    <w:rsid w:val="00E323EC"/>
    <w:rsid w:val="00E33AD4"/>
    <w:rsid w:val="00E34CE8"/>
    <w:rsid w:val="00E34E84"/>
    <w:rsid w:val="00E433CE"/>
    <w:rsid w:val="00E4363C"/>
    <w:rsid w:val="00E43A97"/>
    <w:rsid w:val="00E50457"/>
    <w:rsid w:val="00E51C33"/>
    <w:rsid w:val="00E51E39"/>
    <w:rsid w:val="00E52150"/>
    <w:rsid w:val="00E53C6C"/>
    <w:rsid w:val="00E54155"/>
    <w:rsid w:val="00E61A70"/>
    <w:rsid w:val="00E64CC0"/>
    <w:rsid w:val="00E64CEC"/>
    <w:rsid w:val="00E65AF8"/>
    <w:rsid w:val="00E67318"/>
    <w:rsid w:val="00E715BB"/>
    <w:rsid w:val="00E75706"/>
    <w:rsid w:val="00E7614B"/>
    <w:rsid w:val="00E76F6A"/>
    <w:rsid w:val="00E77541"/>
    <w:rsid w:val="00E77F51"/>
    <w:rsid w:val="00E810FC"/>
    <w:rsid w:val="00E81FFF"/>
    <w:rsid w:val="00E84CDE"/>
    <w:rsid w:val="00E85AA9"/>
    <w:rsid w:val="00E8748B"/>
    <w:rsid w:val="00E87E23"/>
    <w:rsid w:val="00E90C67"/>
    <w:rsid w:val="00E915CB"/>
    <w:rsid w:val="00E9162C"/>
    <w:rsid w:val="00E92F13"/>
    <w:rsid w:val="00E93812"/>
    <w:rsid w:val="00E958E9"/>
    <w:rsid w:val="00E971BC"/>
    <w:rsid w:val="00E9765B"/>
    <w:rsid w:val="00E97AD8"/>
    <w:rsid w:val="00EA17B6"/>
    <w:rsid w:val="00EA1E00"/>
    <w:rsid w:val="00EA26F9"/>
    <w:rsid w:val="00EA4468"/>
    <w:rsid w:val="00EA6C34"/>
    <w:rsid w:val="00EA7BB0"/>
    <w:rsid w:val="00EB0906"/>
    <w:rsid w:val="00EB1DD6"/>
    <w:rsid w:val="00EB30F6"/>
    <w:rsid w:val="00EB39B0"/>
    <w:rsid w:val="00EB3A12"/>
    <w:rsid w:val="00EB3C60"/>
    <w:rsid w:val="00EB5403"/>
    <w:rsid w:val="00EB6AA9"/>
    <w:rsid w:val="00EB7778"/>
    <w:rsid w:val="00EC0D84"/>
    <w:rsid w:val="00EC0E52"/>
    <w:rsid w:val="00EC1378"/>
    <w:rsid w:val="00EC5B67"/>
    <w:rsid w:val="00EC6929"/>
    <w:rsid w:val="00ED1313"/>
    <w:rsid w:val="00ED1B3D"/>
    <w:rsid w:val="00ED1C50"/>
    <w:rsid w:val="00ED2096"/>
    <w:rsid w:val="00ED3D5D"/>
    <w:rsid w:val="00ED440F"/>
    <w:rsid w:val="00ED501B"/>
    <w:rsid w:val="00EE070B"/>
    <w:rsid w:val="00EE0965"/>
    <w:rsid w:val="00EE20E2"/>
    <w:rsid w:val="00EE4315"/>
    <w:rsid w:val="00EE57F8"/>
    <w:rsid w:val="00EE585D"/>
    <w:rsid w:val="00EF02D9"/>
    <w:rsid w:val="00EF1B38"/>
    <w:rsid w:val="00EF28A9"/>
    <w:rsid w:val="00EF5542"/>
    <w:rsid w:val="00EF638E"/>
    <w:rsid w:val="00EF69D6"/>
    <w:rsid w:val="00EF6B7A"/>
    <w:rsid w:val="00F00A19"/>
    <w:rsid w:val="00F00F36"/>
    <w:rsid w:val="00F033D2"/>
    <w:rsid w:val="00F03428"/>
    <w:rsid w:val="00F0488F"/>
    <w:rsid w:val="00F04C4B"/>
    <w:rsid w:val="00F05ADA"/>
    <w:rsid w:val="00F05D04"/>
    <w:rsid w:val="00F07279"/>
    <w:rsid w:val="00F10A47"/>
    <w:rsid w:val="00F112BF"/>
    <w:rsid w:val="00F12FF5"/>
    <w:rsid w:val="00F17D83"/>
    <w:rsid w:val="00F20306"/>
    <w:rsid w:val="00F20983"/>
    <w:rsid w:val="00F21DD0"/>
    <w:rsid w:val="00F24FCD"/>
    <w:rsid w:val="00F25009"/>
    <w:rsid w:val="00F266BE"/>
    <w:rsid w:val="00F26825"/>
    <w:rsid w:val="00F2769D"/>
    <w:rsid w:val="00F27822"/>
    <w:rsid w:val="00F3078C"/>
    <w:rsid w:val="00F316E9"/>
    <w:rsid w:val="00F342DF"/>
    <w:rsid w:val="00F348F7"/>
    <w:rsid w:val="00F34D08"/>
    <w:rsid w:val="00F37120"/>
    <w:rsid w:val="00F3782E"/>
    <w:rsid w:val="00F402A9"/>
    <w:rsid w:val="00F407D3"/>
    <w:rsid w:val="00F4205B"/>
    <w:rsid w:val="00F432A5"/>
    <w:rsid w:val="00F440FB"/>
    <w:rsid w:val="00F452B9"/>
    <w:rsid w:val="00F4637F"/>
    <w:rsid w:val="00F50494"/>
    <w:rsid w:val="00F51521"/>
    <w:rsid w:val="00F51BA9"/>
    <w:rsid w:val="00F5307B"/>
    <w:rsid w:val="00F536D2"/>
    <w:rsid w:val="00F56574"/>
    <w:rsid w:val="00F56750"/>
    <w:rsid w:val="00F57405"/>
    <w:rsid w:val="00F60F57"/>
    <w:rsid w:val="00F61016"/>
    <w:rsid w:val="00F6122E"/>
    <w:rsid w:val="00F61B2A"/>
    <w:rsid w:val="00F627EA"/>
    <w:rsid w:val="00F62B8D"/>
    <w:rsid w:val="00F62FF3"/>
    <w:rsid w:val="00F63E8C"/>
    <w:rsid w:val="00F66D78"/>
    <w:rsid w:val="00F70177"/>
    <w:rsid w:val="00F70314"/>
    <w:rsid w:val="00F70BD2"/>
    <w:rsid w:val="00F7170C"/>
    <w:rsid w:val="00F739F3"/>
    <w:rsid w:val="00F73F10"/>
    <w:rsid w:val="00F75A12"/>
    <w:rsid w:val="00F75FF6"/>
    <w:rsid w:val="00F7762C"/>
    <w:rsid w:val="00F77BAC"/>
    <w:rsid w:val="00F80429"/>
    <w:rsid w:val="00F82F50"/>
    <w:rsid w:val="00F85BD1"/>
    <w:rsid w:val="00F87F9E"/>
    <w:rsid w:val="00F93A45"/>
    <w:rsid w:val="00F93BA2"/>
    <w:rsid w:val="00F9461B"/>
    <w:rsid w:val="00F95892"/>
    <w:rsid w:val="00F96B62"/>
    <w:rsid w:val="00F97758"/>
    <w:rsid w:val="00FA07C4"/>
    <w:rsid w:val="00FA1BDF"/>
    <w:rsid w:val="00FA2FA9"/>
    <w:rsid w:val="00FA622E"/>
    <w:rsid w:val="00FA65CF"/>
    <w:rsid w:val="00FA7E5B"/>
    <w:rsid w:val="00FB01F5"/>
    <w:rsid w:val="00FB0900"/>
    <w:rsid w:val="00FB0D20"/>
    <w:rsid w:val="00FB1E71"/>
    <w:rsid w:val="00FB2C5E"/>
    <w:rsid w:val="00FB3369"/>
    <w:rsid w:val="00FB39A7"/>
    <w:rsid w:val="00FB4A43"/>
    <w:rsid w:val="00FB4B93"/>
    <w:rsid w:val="00FB55F1"/>
    <w:rsid w:val="00FB6317"/>
    <w:rsid w:val="00FB6692"/>
    <w:rsid w:val="00FC4CF9"/>
    <w:rsid w:val="00FC600E"/>
    <w:rsid w:val="00FD0BCE"/>
    <w:rsid w:val="00FD1275"/>
    <w:rsid w:val="00FD1A59"/>
    <w:rsid w:val="00FD26F5"/>
    <w:rsid w:val="00FD307F"/>
    <w:rsid w:val="00FD3A5C"/>
    <w:rsid w:val="00FD6DEF"/>
    <w:rsid w:val="00FD7B3A"/>
    <w:rsid w:val="00FE0848"/>
    <w:rsid w:val="00FE08F7"/>
    <w:rsid w:val="00FE11A1"/>
    <w:rsid w:val="00FE4780"/>
    <w:rsid w:val="00FE484F"/>
    <w:rsid w:val="00FF4A2D"/>
    <w:rsid w:val="00FF6A63"/>
    <w:rsid w:val="00FF7597"/>
    <w:rsid w:val="00FF7860"/>
    <w:rsid w:val="00FF7D25"/>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81557C"/>
  <w15:docId w15:val="{AF2AA75A-1F52-CA4D-B1ED-57528852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EFC"/>
    <w:pPr>
      <w:spacing w:after="160" w:line="259" w:lineRule="auto"/>
    </w:pPr>
    <w:rPr>
      <w:rFonts w:ascii="Lora" w:hAnsi="Lora"/>
      <w:szCs w:val="22"/>
      <w:lang w:val="en-US" w:eastAsia="en-US"/>
    </w:rPr>
  </w:style>
  <w:style w:type="paragraph" w:styleId="Heading1">
    <w:name w:val="heading 1"/>
    <w:basedOn w:val="Normal"/>
    <w:next w:val="Normal"/>
    <w:link w:val="Heading1Char"/>
    <w:uiPriority w:val="9"/>
    <w:qFormat/>
    <w:rsid w:val="004D500D"/>
    <w:pPr>
      <w:outlineLvl w:val="0"/>
    </w:pPr>
    <w:rPr>
      <w:rFonts w:ascii="Geometria Light" w:hAnsi="Geometria Light"/>
      <w:color w:val="BF1F3F"/>
      <w:sz w:val="32"/>
      <w:szCs w:val="32"/>
      <w:lang w:val="ro-RO"/>
    </w:rPr>
  </w:style>
  <w:style w:type="paragraph" w:styleId="Heading2">
    <w:name w:val="heading 2"/>
    <w:basedOn w:val="Normal"/>
    <w:next w:val="Normal"/>
    <w:link w:val="Heading2Char"/>
    <w:uiPriority w:val="9"/>
    <w:unhideWhenUsed/>
    <w:qFormat/>
    <w:rsid w:val="004D500D"/>
    <w:pPr>
      <w:outlineLvl w:val="1"/>
    </w:pPr>
    <w:rPr>
      <w:rFonts w:ascii="Geometria Light" w:hAnsi="Geometria Light"/>
      <w:b/>
      <w:sz w:val="24"/>
      <w:lang w:val="ro-RO"/>
    </w:rPr>
  </w:style>
  <w:style w:type="paragraph" w:styleId="Heading3">
    <w:name w:val="heading 3"/>
    <w:basedOn w:val="Normal"/>
    <w:next w:val="Normal"/>
    <w:link w:val="Heading3Char"/>
    <w:uiPriority w:val="9"/>
    <w:unhideWhenUsed/>
    <w:qFormat/>
    <w:rsid w:val="001F4F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681"/>
  </w:style>
  <w:style w:type="paragraph" w:styleId="Footer">
    <w:name w:val="footer"/>
    <w:basedOn w:val="Normal"/>
    <w:link w:val="FooterChar"/>
    <w:uiPriority w:val="99"/>
    <w:unhideWhenUsed/>
    <w:rsid w:val="00287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681"/>
  </w:style>
  <w:style w:type="paragraph" w:styleId="NormalWeb">
    <w:name w:val="Normal (Web)"/>
    <w:basedOn w:val="Normal"/>
    <w:uiPriority w:val="99"/>
    <w:semiHidden/>
    <w:unhideWhenUsed/>
    <w:rsid w:val="00287681"/>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4D500D"/>
    <w:rPr>
      <w:sz w:val="52"/>
      <w:szCs w:val="52"/>
      <w:lang w:val="ro-RO"/>
    </w:rPr>
  </w:style>
  <w:style w:type="character" w:customStyle="1" w:styleId="TitleChar">
    <w:name w:val="Title Char"/>
    <w:basedOn w:val="DefaultParagraphFont"/>
    <w:link w:val="Title"/>
    <w:uiPriority w:val="10"/>
    <w:rsid w:val="004D500D"/>
    <w:rPr>
      <w:rFonts w:ascii="Lora" w:hAnsi="Lora"/>
      <w:sz w:val="52"/>
      <w:szCs w:val="52"/>
      <w:lang w:val="ro-RO"/>
    </w:rPr>
  </w:style>
  <w:style w:type="character" w:customStyle="1" w:styleId="Heading1Char">
    <w:name w:val="Heading 1 Char"/>
    <w:basedOn w:val="DefaultParagraphFont"/>
    <w:link w:val="Heading1"/>
    <w:uiPriority w:val="9"/>
    <w:rsid w:val="004D500D"/>
    <w:rPr>
      <w:rFonts w:ascii="Geometria Light" w:hAnsi="Geometria Light"/>
      <w:color w:val="BF1F3F"/>
      <w:sz w:val="32"/>
      <w:szCs w:val="32"/>
      <w:lang w:val="ro-RO"/>
    </w:rPr>
  </w:style>
  <w:style w:type="character" w:customStyle="1" w:styleId="Heading2Char">
    <w:name w:val="Heading 2 Char"/>
    <w:basedOn w:val="DefaultParagraphFont"/>
    <w:link w:val="Heading2"/>
    <w:uiPriority w:val="9"/>
    <w:rsid w:val="004D500D"/>
    <w:rPr>
      <w:rFonts w:ascii="Geometria Light" w:hAnsi="Geometria Light"/>
      <w:b/>
      <w:sz w:val="24"/>
      <w:lang w:val="ro-RO"/>
    </w:rPr>
  </w:style>
  <w:style w:type="paragraph" w:styleId="ListParagraph">
    <w:name w:val="List Paragraph"/>
    <w:basedOn w:val="Normal"/>
    <w:uiPriority w:val="34"/>
    <w:qFormat/>
    <w:rsid w:val="004D500D"/>
    <w:pPr>
      <w:numPr>
        <w:numId w:val="1"/>
      </w:numPr>
      <w:contextualSpacing/>
    </w:pPr>
  </w:style>
  <w:style w:type="numbering" w:customStyle="1" w:styleId="OrderedListStyle">
    <w:name w:val="Ordered List Style"/>
    <w:uiPriority w:val="99"/>
    <w:rsid w:val="008F3F56"/>
    <w:pPr>
      <w:numPr>
        <w:numId w:val="3"/>
      </w:numPr>
    </w:pPr>
  </w:style>
  <w:style w:type="table" w:styleId="TableGrid">
    <w:name w:val="Table Grid"/>
    <w:basedOn w:val="TableNormal"/>
    <w:uiPriority w:val="39"/>
    <w:rsid w:val="008F3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aliases w:val="Tabel Personalizat"/>
    <w:basedOn w:val="TableNormal"/>
    <w:uiPriority w:val="44"/>
    <w:rsid w:val="004D500D"/>
    <w:rPr>
      <w:rFonts w:ascii="Lora" w:hAnsi="Lora"/>
    </w:rPr>
    <w:tblPr>
      <w:tblStyleRowBandSize w:val="1"/>
      <w:tblStyleColBandSize w:val="1"/>
      <w:tblBorders>
        <w:top w:val="single" w:sz="4" w:space="0" w:color="7F7F7F"/>
        <w:left w:val="single" w:sz="4" w:space="0" w:color="7F7F7F"/>
        <w:bottom w:val="single" w:sz="4" w:space="0" w:color="7F7F7F"/>
        <w:right w:val="single" w:sz="4" w:space="0" w:color="7F7F7F"/>
      </w:tblBorders>
      <w:tblCellMar>
        <w:top w:w="72" w:type="dxa"/>
        <w:left w:w="288" w:type="dxa"/>
        <w:bottom w:w="72" w:type="dxa"/>
        <w:right w:w="115" w:type="dxa"/>
      </w:tblCellMar>
    </w:tblPr>
    <w:tblStylePr w:type="firstRow">
      <w:rPr>
        <w:rFonts w:ascii="Geometria Light" w:hAnsi="Geometria Light"/>
        <w:b/>
        <w:bCs/>
        <w:caps/>
        <w:smallCaps w:val="0"/>
        <w:color w:val="FFFFFF"/>
      </w:rPr>
      <w:tblPr/>
      <w:tcPr>
        <w:shd w:val="clear" w:color="auto" w:fill="BF1F3F"/>
      </w:tcPr>
    </w:tblStylePr>
    <w:tblStylePr w:type="lastRow">
      <w:rPr>
        <w:b/>
        <w:bCs/>
      </w:rPr>
    </w:tblStylePr>
    <w:tblStylePr w:type="firstCol">
      <w:rPr>
        <w:b/>
        <w:bCs/>
      </w:rPr>
      <w:tblPr>
        <w:tblCellMar>
          <w:top w:w="72" w:type="dxa"/>
          <w:left w:w="144" w:type="dxa"/>
          <w:bottom w:w="72" w:type="dxa"/>
          <w:right w:w="115" w:type="dxa"/>
        </w:tblCellMar>
      </w:tblPr>
    </w:tblStylePr>
    <w:tblStylePr w:type="lastCol">
      <w:rPr>
        <w:b/>
        <w:bCs/>
      </w:rPr>
    </w:tblStylePr>
    <w:tblStylePr w:type="band1Horz">
      <w:tblPr/>
      <w:tcPr>
        <w:shd w:val="clear" w:color="auto" w:fill="F2F2F2"/>
      </w:tcPr>
    </w:tblStylePr>
    <w:tblStylePr w:type="band2Horz">
      <w:tblPr/>
      <w:tcPr>
        <w:shd w:val="clear" w:color="auto" w:fill="FFFFFF"/>
      </w:tcPr>
    </w:tblStylePr>
  </w:style>
  <w:style w:type="table" w:customStyle="1" w:styleId="Style1">
    <w:name w:val="Style1"/>
    <w:basedOn w:val="TableNormal"/>
    <w:uiPriority w:val="99"/>
    <w:rsid w:val="008F3F56"/>
    <w:tblPr/>
  </w:style>
  <w:style w:type="character" w:styleId="Hyperlink">
    <w:name w:val="Hyperlink"/>
    <w:basedOn w:val="DefaultParagraphFont"/>
    <w:uiPriority w:val="99"/>
    <w:unhideWhenUsed/>
    <w:rsid w:val="003924DF"/>
    <w:rPr>
      <w:color w:val="0563C1"/>
      <w:u w:val="single"/>
    </w:rPr>
  </w:style>
  <w:style w:type="paragraph" w:styleId="HTMLPreformatted">
    <w:name w:val="HTML Preformatted"/>
    <w:basedOn w:val="Normal"/>
    <w:link w:val="HTMLPreformattedChar"/>
    <w:uiPriority w:val="99"/>
    <w:semiHidden/>
    <w:unhideWhenUsed/>
    <w:rsid w:val="004703BC"/>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4703BC"/>
    <w:rPr>
      <w:rFonts w:ascii="Courier New" w:hAnsi="Courier New" w:cs="Courier New"/>
      <w:lang w:val="en-US" w:eastAsia="en-US"/>
    </w:rPr>
  </w:style>
  <w:style w:type="character" w:styleId="UnresolvedMention">
    <w:name w:val="Unresolved Mention"/>
    <w:basedOn w:val="DefaultParagraphFont"/>
    <w:uiPriority w:val="99"/>
    <w:semiHidden/>
    <w:unhideWhenUsed/>
    <w:rsid w:val="000A7F57"/>
    <w:rPr>
      <w:color w:val="605E5C"/>
      <w:shd w:val="clear" w:color="auto" w:fill="E1DFDD"/>
    </w:rPr>
  </w:style>
  <w:style w:type="paragraph" w:styleId="FootnoteText">
    <w:name w:val="footnote text"/>
    <w:aliases w:val="Footnote Text Char2,Footnote Text Char1 Char,Footnote Text Char Char Char,Footnote Text Char Char1 Caracter Caracter Caracter Char Char,Footnote Text Char Char1 Caracter Caracter Caracter Char,Char, Char,Footnote,Fußnote,Fotnotstext1,fn,ft"/>
    <w:basedOn w:val="Normal"/>
    <w:link w:val="FootnoteTextChar"/>
    <w:uiPriority w:val="99"/>
    <w:unhideWhenUsed/>
    <w:rsid w:val="006A4A64"/>
    <w:pPr>
      <w:spacing w:after="0" w:line="240" w:lineRule="auto"/>
    </w:pPr>
    <w:rPr>
      <w:szCs w:val="20"/>
    </w:rPr>
  </w:style>
  <w:style w:type="character" w:customStyle="1" w:styleId="FootnoteTextChar">
    <w:name w:val="Footnote Text Char"/>
    <w:aliases w:val="Footnote Text Char2 Char,Footnote Text Char1 Char Char,Footnote Text Char Char Char Char,Footnote Text Char Char1 Caracter Caracter Caracter Char Char Char,Footnote Text Char Char1 Caracter Caracter Caracter Char Char1,Char Char"/>
    <w:basedOn w:val="DefaultParagraphFont"/>
    <w:link w:val="FootnoteText"/>
    <w:uiPriority w:val="99"/>
    <w:rsid w:val="006A4A64"/>
    <w:rPr>
      <w:rFonts w:ascii="Lora" w:hAnsi="Lora"/>
      <w:lang w:val="en-US" w:eastAsia="en-US"/>
    </w:rPr>
  </w:style>
  <w:style w:type="character" w:styleId="FootnoteReference">
    <w:name w:val="footnote reference"/>
    <w:aliases w:val="fr"/>
    <w:basedOn w:val="DefaultParagraphFont"/>
    <w:uiPriority w:val="99"/>
    <w:unhideWhenUsed/>
    <w:rsid w:val="006A4A64"/>
    <w:rPr>
      <w:vertAlign w:val="superscript"/>
    </w:rPr>
  </w:style>
  <w:style w:type="paragraph" w:styleId="Revision">
    <w:name w:val="Revision"/>
    <w:hidden/>
    <w:uiPriority w:val="99"/>
    <w:semiHidden/>
    <w:rsid w:val="000467CE"/>
    <w:rPr>
      <w:rFonts w:ascii="Lora" w:hAnsi="Lora"/>
      <w:szCs w:val="22"/>
      <w:lang w:val="en-US" w:eastAsia="en-US"/>
    </w:rPr>
  </w:style>
  <w:style w:type="character" w:customStyle="1" w:styleId="markedcontent">
    <w:name w:val="markedcontent"/>
    <w:basedOn w:val="DefaultParagraphFont"/>
    <w:rsid w:val="008968D6"/>
  </w:style>
  <w:style w:type="paragraph" w:customStyle="1" w:styleId="Normal1">
    <w:name w:val="Normal1"/>
    <w:basedOn w:val="Normal"/>
    <w:rsid w:val="00AB58E6"/>
    <w:pPr>
      <w:spacing w:before="100" w:beforeAutospacing="1" w:after="100" w:afterAutospacing="1" w:line="240" w:lineRule="auto"/>
    </w:pPr>
    <w:rPr>
      <w:rFonts w:ascii="Times New Roman" w:eastAsia="Times New Roman" w:hAnsi="Times New Roman"/>
      <w:sz w:val="24"/>
      <w:szCs w:val="24"/>
    </w:rPr>
  </w:style>
  <w:style w:type="paragraph" w:customStyle="1" w:styleId="count">
    <w:name w:val="count"/>
    <w:basedOn w:val="Normal"/>
    <w:rsid w:val="00AB58E6"/>
    <w:pPr>
      <w:spacing w:before="100" w:beforeAutospacing="1" w:after="100" w:afterAutospacing="1" w:line="240" w:lineRule="auto"/>
    </w:pPr>
    <w:rPr>
      <w:rFonts w:ascii="Times New Roman" w:eastAsia="Times New Roman" w:hAnsi="Times New Roman"/>
      <w:sz w:val="24"/>
      <w:szCs w:val="24"/>
    </w:rPr>
  </w:style>
  <w:style w:type="character" w:customStyle="1" w:styleId="note">
    <w:name w:val="note"/>
    <w:basedOn w:val="DefaultParagraphFont"/>
    <w:rsid w:val="00AB58E6"/>
  </w:style>
  <w:style w:type="character" w:customStyle="1" w:styleId="italic">
    <w:name w:val="italic"/>
    <w:basedOn w:val="DefaultParagraphFont"/>
    <w:rsid w:val="00AB58E6"/>
  </w:style>
  <w:style w:type="paragraph" w:customStyle="1" w:styleId="TextNumbered">
    <w:name w:val="Text Numbered"/>
    <w:basedOn w:val="Normal"/>
    <w:qFormat/>
    <w:rsid w:val="003017B1"/>
    <w:pPr>
      <w:numPr>
        <w:numId w:val="43"/>
      </w:numPr>
      <w:spacing w:after="120" w:line="320" w:lineRule="exact"/>
      <w:jc w:val="both"/>
    </w:pPr>
    <w:rPr>
      <w:rFonts w:ascii="Trebuchet MS" w:eastAsia="Cambria" w:hAnsi="Trebuchet MS"/>
      <w:szCs w:val="20"/>
      <w:lang w:val="ro-RO" w:eastAsia="ro-RO"/>
    </w:rPr>
  </w:style>
  <w:style w:type="paragraph" w:customStyle="1" w:styleId="Alpha">
    <w:name w:val="Alpha"/>
    <w:basedOn w:val="TextNumbered"/>
    <w:qFormat/>
    <w:rsid w:val="003017B1"/>
    <w:pPr>
      <w:numPr>
        <w:ilvl w:val="1"/>
      </w:numPr>
    </w:pPr>
  </w:style>
  <w:style w:type="paragraph" w:customStyle="1" w:styleId="Alpha2">
    <w:name w:val="Alpha 2"/>
    <w:basedOn w:val="Alpha"/>
    <w:qFormat/>
    <w:rsid w:val="003017B1"/>
    <w:pPr>
      <w:numPr>
        <w:ilvl w:val="2"/>
      </w:numPr>
    </w:pPr>
    <w:rPr>
      <w:rFonts w:eastAsia="MS Mincho"/>
      <w:lang w:bidi="ne-NP"/>
    </w:rPr>
  </w:style>
  <w:style w:type="character" w:styleId="Strong">
    <w:name w:val="Strong"/>
    <w:basedOn w:val="DefaultParagraphFont"/>
    <w:uiPriority w:val="22"/>
    <w:qFormat/>
    <w:rsid w:val="003017B1"/>
    <w:rPr>
      <w:b/>
      <w:bCs/>
    </w:rPr>
  </w:style>
  <w:style w:type="character" w:styleId="Emphasis">
    <w:name w:val="Emphasis"/>
    <w:basedOn w:val="DefaultParagraphFont"/>
    <w:uiPriority w:val="20"/>
    <w:qFormat/>
    <w:rsid w:val="003017B1"/>
    <w:rPr>
      <w:i/>
      <w:iCs/>
    </w:rPr>
  </w:style>
  <w:style w:type="paragraph" w:customStyle="1" w:styleId="western">
    <w:name w:val="western"/>
    <w:basedOn w:val="Normal"/>
    <w:rsid w:val="002F0BBC"/>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1F4F61"/>
    <w:rPr>
      <w:rFonts w:asciiTheme="majorHAnsi" w:eastAsiaTheme="majorEastAsia" w:hAnsiTheme="majorHAnsi" w:cstheme="majorBidi"/>
      <w:color w:val="243F60" w:themeColor="accent1" w:themeShade="7F"/>
      <w:sz w:val="24"/>
      <w:szCs w:val="24"/>
      <w:lang w:val="en-US" w:eastAsia="en-US"/>
    </w:rPr>
  </w:style>
  <w:style w:type="character" w:customStyle="1" w:styleId="bold">
    <w:name w:val="bold"/>
    <w:basedOn w:val="DefaultParagraphFont"/>
    <w:rsid w:val="00FA1BDF"/>
  </w:style>
  <w:style w:type="paragraph" w:customStyle="1" w:styleId="ac">
    <w:name w:val="a_c"/>
    <w:basedOn w:val="Normal"/>
    <w:rsid w:val="009B3296"/>
    <w:pPr>
      <w:spacing w:before="100" w:beforeAutospacing="1" w:after="100" w:afterAutospacing="1" w:line="240" w:lineRule="auto"/>
    </w:pPr>
    <w:rPr>
      <w:rFonts w:ascii="Calibri" w:eastAsia="Cambria" w:hAnsi="Calibri" w:cs="Calibri"/>
      <w:sz w:val="22"/>
    </w:rPr>
  </w:style>
  <w:style w:type="paragraph" w:customStyle="1" w:styleId="al">
    <w:name w:val="a_l"/>
    <w:basedOn w:val="Normal"/>
    <w:rsid w:val="009B3296"/>
    <w:pPr>
      <w:spacing w:before="100" w:beforeAutospacing="1" w:after="100" w:afterAutospacing="1" w:line="240" w:lineRule="auto"/>
    </w:pPr>
    <w:rPr>
      <w:rFonts w:ascii="Calibri" w:eastAsia="Cambria" w:hAnsi="Calibri" w:cs="Calibri"/>
      <w:sz w:val="22"/>
    </w:rPr>
  </w:style>
  <w:style w:type="paragraph" w:customStyle="1" w:styleId="doc-ti">
    <w:name w:val="doc-ti"/>
    <w:basedOn w:val="Normal"/>
    <w:rsid w:val="00A13B90"/>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A13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997">
      <w:bodyDiv w:val="1"/>
      <w:marLeft w:val="0"/>
      <w:marRight w:val="0"/>
      <w:marTop w:val="0"/>
      <w:marBottom w:val="0"/>
      <w:divBdr>
        <w:top w:val="none" w:sz="0" w:space="0" w:color="auto"/>
        <w:left w:val="none" w:sz="0" w:space="0" w:color="auto"/>
        <w:bottom w:val="none" w:sz="0" w:space="0" w:color="auto"/>
        <w:right w:val="none" w:sz="0" w:space="0" w:color="auto"/>
      </w:divBdr>
    </w:div>
    <w:div w:id="10835383">
      <w:bodyDiv w:val="1"/>
      <w:marLeft w:val="0"/>
      <w:marRight w:val="0"/>
      <w:marTop w:val="0"/>
      <w:marBottom w:val="0"/>
      <w:divBdr>
        <w:top w:val="none" w:sz="0" w:space="0" w:color="auto"/>
        <w:left w:val="none" w:sz="0" w:space="0" w:color="auto"/>
        <w:bottom w:val="none" w:sz="0" w:space="0" w:color="auto"/>
        <w:right w:val="none" w:sz="0" w:space="0" w:color="auto"/>
      </w:divBdr>
    </w:div>
    <w:div w:id="14236071">
      <w:bodyDiv w:val="1"/>
      <w:marLeft w:val="0"/>
      <w:marRight w:val="0"/>
      <w:marTop w:val="0"/>
      <w:marBottom w:val="0"/>
      <w:divBdr>
        <w:top w:val="none" w:sz="0" w:space="0" w:color="auto"/>
        <w:left w:val="none" w:sz="0" w:space="0" w:color="auto"/>
        <w:bottom w:val="none" w:sz="0" w:space="0" w:color="auto"/>
        <w:right w:val="none" w:sz="0" w:space="0" w:color="auto"/>
      </w:divBdr>
    </w:div>
    <w:div w:id="34236225">
      <w:bodyDiv w:val="1"/>
      <w:marLeft w:val="0"/>
      <w:marRight w:val="0"/>
      <w:marTop w:val="0"/>
      <w:marBottom w:val="0"/>
      <w:divBdr>
        <w:top w:val="none" w:sz="0" w:space="0" w:color="auto"/>
        <w:left w:val="none" w:sz="0" w:space="0" w:color="auto"/>
        <w:bottom w:val="none" w:sz="0" w:space="0" w:color="auto"/>
        <w:right w:val="none" w:sz="0" w:space="0" w:color="auto"/>
      </w:divBdr>
    </w:div>
    <w:div w:id="38170268">
      <w:bodyDiv w:val="1"/>
      <w:marLeft w:val="0"/>
      <w:marRight w:val="0"/>
      <w:marTop w:val="0"/>
      <w:marBottom w:val="0"/>
      <w:divBdr>
        <w:top w:val="none" w:sz="0" w:space="0" w:color="auto"/>
        <w:left w:val="none" w:sz="0" w:space="0" w:color="auto"/>
        <w:bottom w:val="none" w:sz="0" w:space="0" w:color="auto"/>
        <w:right w:val="none" w:sz="0" w:space="0" w:color="auto"/>
      </w:divBdr>
    </w:div>
    <w:div w:id="63915506">
      <w:bodyDiv w:val="1"/>
      <w:marLeft w:val="0"/>
      <w:marRight w:val="0"/>
      <w:marTop w:val="0"/>
      <w:marBottom w:val="0"/>
      <w:divBdr>
        <w:top w:val="none" w:sz="0" w:space="0" w:color="auto"/>
        <w:left w:val="none" w:sz="0" w:space="0" w:color="auto"/>
        <w:bottom w:val="none" w:sz="0" w:space="0" w:color="auto"/>
        <w:right w:val="none" w:sz="0" w:space="0" w:color="auto"/>
      </w:divBdr>
    </w:div>
    <w:div w:id="65299721">
      <w:bodyDiv w:val="1"/>
      <w:marLeft w:val="0"/>
      <w:marRight w:val="0"/>
      <w:marTop w:val="0"/>
      <w:marBottom w:val="0"/>
      <w:divBdr>
        <w:top w:val="none" w:sz="0" w:space="0" w:color="auto"/>
        <w:left w:val="none" w:sz="0" w:space="0" w:color="auto"/>
        <w:bottom w:val="none" w:sz="0" w:space="0" w:color="auto"/>
        <w:right w:val="none" w:sz="0" w:space="0" w:color="auto"/>
      </w:divBdr>
    </w:div>
    <w:div w:id="80176658">
      <w:bodyDiv w:val="1"/>
      <w:marLeft w:val="0"/>
      <w:marRight w:val="0"/>
      <w:marTop w:val="0"/>
      <w:marBottom w:val="0"/>
      <w:divBdr>
        <w:top w:val="none" w:sz="0" w:space="0" w:color="auto"/>
        <w:left w:val="none" w:sz="0" w:space="0" w:color="auto"/>
        <w:bottom w:val="none" w:sz="0" w:space="0" w:color="auto"/>
        <w:right w:val="none" w:sz="0" w:space="0" w:color="auto"/>
      </w:divBdr>
    </w:div>
    <w:div w:id="109280225">
      <w:bodyDiv w:val="1"/>
      <w:marLeft w:val="0"/>
      <w:marRight w:val="0"/>
      <w:marTop w:val="0"/>
      <w:marBottom w:val="0"/>
      <w:divBdr>
        <w:top w:val="none" w:sz="0" w:space="0" w:color="auto"/>
        <w:left w:val="none" w:sz="0" w:space="0" w:color="auto"/>
        <w:bottom w:val="none" w:sz="0" w:space="0" w:color="auto"/>
        <w:right w:val="none" w:sz="0" w:space="0" w:color="auto"/>
      </w:divBdr>
    </w:div>
    <w:div w:id="156384590">
      <w:bodyDiv w:val="1"/>
      <w:marLeft w:val="0"/>
      <w:marRight w:val="0"/>
      <w:marTop w:val="0"/>
      <w:marBottom w:val="0"/>
      <w:divBdr>
        <w:top w:val="none" w:sz="0" w:space="0" w:color="auto"/>
        <w:left w:val="none" w:sz="0" w:space="0" w:color="auto"/>
        <w:bottom w:val="none" w:sz="0" w:space="0" w:color="auto"/>
        <w:right w:val="none" w:sz="0" w:space="0" w:color="auto"/>
      </w:divBdr>
    </w:div>
    <w:div w:id="162160286">
      <w:bodyDiv w:val="1"/>
      <w:marLeft w:val="0"/>
      <w:marRight w:val="0"/>
      <w:marTop w:val="0"/>
      <w:marBottom w:val="0"/>
      <w:divBdr>
        <w:top w:val="none" w:sz="0" w:space="0" w:color="auto"/>
        <w:left w:val="none" w:sz="0" w:space="0" w:color="auto"/>
        <w:bottom w:val="none" w:sz="0" w:space="0" w:color="auto"/>
        <w:right w:val="none" w:sz="0" w:space="0" w:color="auto"/>
      </w:divBdr>
    </w:div>
    <w:div w:id="177235950">
      <w:bodyDiv w:val="1"/>
      <w:marLeft w:val="0"/>
      <w:marRight w:val="0"/>
      <w:marTop w:val="0"/>
      <w:marBottom w:val="0"/>
      <w:divBdr>
        <w:top w:val="none" w:sz="0" w:space="0" w:color="auto"/>
        <w:left w:val="none" w:sz="0" w:space="0" w:color="auto"/>
        <w:bottom w:val="none" w:sz="0" w:space="0" w:color="auto"/>
        <w:right w:val="none" w:sz="0" w:space="0" w:color="auto"/>
      </w:divBdr>
    </w:div>
    <w:div w:id="177473043">
      <w:bodyDiv w:val="1"/>
      <w:marLeft w:val="0"/>
      <w:marRight w:val="0"/>
      <w:marTop w:val="0"/>
      <w:marBottom w:val="0"/>
      <w:divBdr>
        <w:top w:val="none" w:sz="0" w:space="0" w:color="auto"/>
        <w:left w:val="none" w:sz="0" w:space="0" w:color="auto"/>
        <w:bottom w:val="none" w:sz="0" w:space="0" w:color="auto"/>
        <w:right w:val="none" w:sz="0" w:space="0" w:color="auto"/>
      </w:divBdr>
    </w:div>
    <w:div w:id="190342620">
      <w:bodyDiv w:val="1"/>
      <w:marLeft w:val="0"/>
      <w:marRight w:val="0"/>
      <w:marTop w:val="0"/>
      <w:marBottom w:val="0"/>
      <w:divBdr>
        <w:top w:val="none" w:sz="0" w:space="0" w:color="auto"/>
        <w:left w:val="none" w:sz="0" w:space="0" w:color="auto"/>
        <w:bottom w:val="none" w:sz="0" w:space="0" w:color="auto"/>
        <w:right w:val="none" w:sz="0" w:space="0" w:color="auto"/>
      </w:divBdr>
    </w:div>
    <w:div w:id="210310759">
      <w:bodyDiv w:val="1"/>
      <w:marLeft w:val="0"/>
      <w:marRight w:val="0"/>
      <w:marTop w:val="0"/>
      <w:marBottom w:val="0"/>
      <w:divBdr>
        <w:top w:val="none" w:sz="0" w:space="0" w:color="auto"/>
        <w:left w:val="none" w:sz="0" w:space="0" w:color="auto"/>
        <w:bottom w:val="none" w:sz="0" w:space="0" w:color="auto"/>
        <w:right w:val="none" w:sz="0" w:space="0" w:color="auto"/>
      </w:divBdr>
    </w:div>
    <w:div w:id="214776299">
      <w:bodyDiv w:val="1"/>
      <w:marLeft w:val="0"/>
      <w:marRight w:val="0"/>
      <w:marTop w:val="0"/>
      <w:marBottom w:val="0"/>
      <w:divBdr>
        <w:top w:val="none" w:sz="0" w:space="0" w:color="auto"/>
        <w:left w:val="none" w:sz="0" w:space="0" w:color="auto"/>
        <w:bottom w:val="none" w:sz="0" w:space="0" w:color="auto"/>
        <w:right w:val="none" w:sz="0" w:space="0" w:color="auto"/>
      </w:divBdr>
    </w:div>
    <w:div w:id="216093737">
      <w:bodyDiv w:val="1"/>
      <w:marLeft w:val="0"/>
      <w:marRight w:val="0"/>
      <w:marTop w:val="0"/>
      <w:marBottom w:val="0"/>
      <w:divBdr>
        <w:top w:val="none" w:sz="0" w:space="0" w:color="auto"/>
        <w:left w:val="none" w:sz="0" w:space="0" w:color="auto"/>
        <w:bottom w:val="none" w:sz="0" w:space="0" w:color="auto"/>
        <w:right w:val="none" w:sz="0" w:space="0" w:color="auto"/>
      </w:divBdr>
    </w:div>
    <w:div w:id="224991966">
      <w:bodyDiv w:val="1"/>
      <w:marLeft w:val="0"/>
      <w:marRight w:val="0"/>
      <w:marTop w:val="0"/>
      <w:marBottom w:val="0"/>
      <w:divBdr>
        <w:top w:val="none" w:sz="0" w:space="0" w:color="auto"/>
        <w:left w:val="none" w:sz="0" w:space="0" w:color="auto"/>
        <w:bottom w:val="none" w:sz="0" w:space="0" w:color="auto"/>
        <w:right w:val="none" w:sz="0" w:space="0" w:color="auto"/>
      </w:divBdr>
    </w:div>
    <w:div w:id="236862274">
      <w:bodyDiv w:val="1"/>
      <w:marLeft w:val="0"/>
      <w:marRight w:val="0"/>
      <w:marTop w:val="0"/>
      <w:marBottom w:val="0"/>
      <w:divBdr>
        <w:top w:val="none" w:sz="0" w:space="0" w:color="auto"/>
        <w:left w:val="none" w:sz="0" w:space="0" w:color="auto"/>
        <w:bottom w:val="none" w:sz="0" w:space="0" w:color="auto"/>
        <w:right w:val="none" w:sz="0" w:space="0" w:color="auto"/>
      </w:divBdr>
    </w:div>
    <w:div w:id="243881284">
      <w:bodyDiv w:val="1"/>
      <w:marLeft w:val="0"/>
      <w:marRight w:val="0"/>
      <w:marTop w:val="0"/>
      <w:marBottom w:val="0"/>
      <w:divBdr>
        <w:top w:val="none" w:sz="0" w:space="0" w:color="auto"/>
        <w:left w:val="none" w:sz="0" w:space="0" w:color="auto"/>
        <w:bottom w:val="none" w:sz="0" w:space="0" w:color="auto"/>
        <w:right w:val="none" w:sz="0" w:space="0" w:color="auto"/>
      </w:divBdr>
    </w:div>
    <w:div w:id="253246634">
      <w:bodyDiv w:val="1"/>
      <w:marLeft w:val="0"/>
      <w:marRight w:val="0"/>
      <w:marTop w:val="0"/>
      <w:marBottom w:val="0"/>
      <w:divBdr>
        <w:top w:val="none" w:sz="0" w:space="0" w:color="auto"/>
        <w:left w:val="none" w:sz="0" w:space="0" w:color="auto"/>
        <w:bottom w:val="none" w:sz="0" w:space="0" w:color="auto"/>
        <w:right w:val="none" w:sz="0" w:space="0" w:color="auto"/>
      </w:divBdr>
    </w:div>
    <w:div w:id="300233041">
      <w:bodyDiv w:val="1"/>
      <w:marLeft w:val="0"/>
      <w:marRight w:val="0"/>
      <w:marTop w:val="0"/>
      <w:marBottom w:val="0"/>
      <w:divBdr>
        <w:top w:val="none" w:sz="0" w:space="0" w:color="auto"/>
        <w:left w:val="none" w:sz="0" w:space="0" w:color="auto"/>
        <w:bottom w:val="none" w:sz="0" w:space="0" w:color="auto"/>
        <w:right w:val="none" w:sz="0" w:space="0" w:color="auto"/>
      </w:divBdr>
    </w:div>
    <w:div w:id="324865910">
      <w:bodyDiv w:val="1"/>
      <w:marLeft w:val="0"/>
      <w:marRight w:val="0"/>
      <w:marTop w:val="0"/>
      <w:marBottom w:val="0"/>
      <w:divBdr>
        <w:top w:val="none" w:sz="0" w:space="0" w:color="auto"/>
        <w:left w:val="none" w:sz="0" w:space="0" w:color="auto"/>
        <w:bottom w:val="none" w:sz="0" w:space="0" w:color="auto"/>
        <w:right w:val="none" w:sz="0" w:space="0" w:color="auto"/>
      </w:divBdr>
    </w:div>
    <w:div w:id="328605394">
      <w:bodyDiv w:val="1"/>
      <w:marLeft w:val="0"/>
      <w:marRight w:val="0"/>
      <w:marTop w:val="0"/>
      <w:marBottom w:val="0"/>
      <w:divBdr>
        <w:top w:val="none" w:sz="0" w:space="0" w:color="auto"/>
        <w:left w:val="none" w:sz="0" w:space="0" w:color="auto"/>
        <w:bottom w:val="none" w:sz="0" w:space="0" w:color="auto"/>
        <w:right w:val="none" w:sz="0" w:space="0" w:color="auto"/>
      </w:divBdr>
    </w:div>
    <w:div w:id="360086185">
      <w:bodyDiv w:val="1"/>
      <w:marLeft w:val="0"/>
      <w:marRight w:val="0"/>
      <w:marTop w:val="0"/>
      <w:marBottom w:val="0"/>
      <w:divBdr>
        <w:top w:val="none" w:sz="0" w:space="0" w:color="auto"/>
        <w:left w:val="none" w:sz="0" w:space="0" w:color="auto"/>
        <w:bottom w:val="none" w:sz="0" w:space="0" w:color="auto"/>
        <w:right w:val="none" w:sz="0" w:space="0" w:color="auto"/>
      </w:divBdr>
    </w:div>
    <w:div w:id="368262920">
      <w:bodyDiv w:val="1"/>
      <w:marLeft w:val="0"/>
      <w:marRight w:val="0"/>
      <w:marTop w:val="0"/>
      <w:marBottom w:val="0"/>
      <w:divBdr>
        <w:top w:val="none" w:sz="0" w:space="0" w:color="auto"/>
        <w:left w:val="none" w:sz="0" w:space="0" w:color="auto"/>
        <w:bottom w:val="none" w:sz="0" w:space="0" w:color="auto"/>
        <w:right w:val="none" w:sz="0" w:space="0" w:color="auto"/>
      </w:divBdr>
    </w:div>
    <w:div w:id="393354698">
      <w:bodyDiv w:val="1"/>
      <w:marLeft w:val="0"/>
      <w:marRight w:val="0"/>
      <w:marTop w:val="0"/>
      <w:marBottom w:val="0"/>
      <w:divBdr>
        <w:top w:val="none" w:sz="0" w:space="0" w:color="auto"/>
        <w:left w:val="none" w:sz="0" w:space="0" w:color="auto"/>
        <w:bottom w:val="none" w:sz="0" w:space="0" w:color="auto"/>
        <w:right w:val="none" w:sz="0" w:space="0" w:color="auto"/>
      </w:divBdr>
      <w:divsChild>
        <w:div w:id="981890277">
          <w:marLeft w:val="0"/>
          <w:marRight w:val="0"/>
          <w:marTop w:val="72"/>
          <w:marBottom w:val="0"/>
          <w:divBdr>
            <w:top w:val="none" w:sz="0" w:space="0" w:color="auto"/>
            <w:left w:val="none" w:sz="0" w:space="0" w:color="auto"/>
            <w:bottom w:val="none" w:sz="0" w:space="0" w:color="auto"/>
            <w:right w:val="none" w:sz="0" w:space="0" w:color="auto"/>
          </w:divBdr>
        </w:div>
        <w:div w:id="697124893">
          <w:marLeft w:val="0"/>
          <w:marRight w:val="0"/>
          <w:marTop w:val="72"/>
          <w:marBottom w:val="0"/>
          <w:divBdr>
            <w:top w:val="none" w:sz="0" w:space="0" w:color="auto"/>
            <w:left w:val="none" w:sz="0" w:space="0" w:color="auto"/>
            <w:bottom w:val="none" w:sz="0" w:space="0" w:color="auto"/>
            <w:right w:val="none" w:sz="0" w:space="0" w:color="auto"/>
          </w:divBdr>
        </w:div>
      </w:divsChild>
    </w:div>
    <w:div w:id="398483703">
      <w:bodyDiv w:val="1"/>
      <w:marLeft w:val="0"/>
      <w:marRight w:val="0"/>
      <w:marTop w:val="0"/>
      <w:marBottom w:val="0"/>
      <w:divBdr>
        <w:top w:val="none" w:sz="0" w:space="0" w:color="auto"/>
        <w:left w:val="none" w:sz="0" w:space="0" w:color="auto"/>
        <w:bottom w:val="none" w:sz="0" w:space="0" w:color="auto"/>
        <w:right w:val="none" w:sz="0" w:space="0" w:color="auto"/>
      </w:divBdr>
    </w:div>
    <w:div w:id="417365055">
      <w:bodyDiv w:val="1"/>
      <w:marLeft w:val="0"/>
      <w:marRight w:val="0"/>
      <w:marTop w:val="0"/>
      <w:marBottom w:val="0"/>
      <w:divBdr>
        <w:top w:val="none" w:sz="0" w:space="0" w:color="auto"/>
        <w:left w:val="none" w:sz="0" w:space="0" w:color="auto"/>
        <w:bottom w:val="none" w:sz="0" w:space="0" w:color="auto"/>
        <w:right w:val="none" w:sz="0" w:space="0" w:color="auto"/>
      </w:divBdr>
    </w:div>
    <w:div w:id="452943631">
      <w:bodyDiv w:val="1"/>
      <w:marLeft w:val="0"/>
      <w:marRight w:val="0"/>
      <w:marTop w:val="0"/>
      <w:marBottom w:val="0"/>
      <w:divBdr>
        <w:top w:val="none" w:sz="0" w:space="0" w:color="auto"/>
        <w:left w:val="none" w:sz="0" w:space="0" w:color="auto"/>
        <w:bottom w:val="none" w:sz="0" w:space="0" w:color="auto"/>
        <w:right w:val="none" w:sz="0" w:space="0" w:color="auto"/>
      </w:divBdr>
    </w:div>
    <w:div w:id="491918784">
      <w:bodyDiv w:val="1"/>
      <w:marLeft w:val="0"/>
      <w:marRight w:val="0"/>
      <w:marTop w:val="0"/>
      <w:marBottom w:val="0"/>
      <w:divBdr>
        <w:top w:val="none" w:sz="0" w:space="0" w:color="auto"/>
        <w:left w:val="none" w:sz="0" w:space="0" w:color="auto"/>
        <w:bottom w:val="none" w:sz="0" w:space="0" w:color="auto"/>
        <w:right w:val="none" w:sz="0" w:space="0" w:color="auto"/>
      </w:divBdr>
    </w:div>
    <w:div w:id="492527176">
      <w:bodyDiv w:val="1"/>
      <w:marLeft w:val="0"/>
      <w:marRight w:val="0"/>
      <w:marTop w:val="0"/>
      <w:marBottom w:val="0"/>
      <w:divBdr>
        <w:top w:val="none" w:sz="0" w:space="0" w:color="auto"/>
        <w:left w:val="none" w:sz="0" w:space="0" w:color="auto"/>
        <w:bottom w:val="none" w:sz="0" w:space="0" w:color="auto"/>
        <w:right w:val="none" w:sz="0" w:space="0" w:color="auto"/>
      </w:divBdr>
    </w:div>
    <w:div w:id="523204051">
      <w:bodyDiv w:val="1"/>
      <w:marLeft w:val="0"/>
      <w:marRight w:val="0"/>
      <w:marTop w:val="0"/>
      <w:marBottom w:val="0"/>
      <w:divBdr>
        <w:top w:val="none" w:sz="0" w:space="0" w:color="auto"/>
        <w:left w:val="none" w:sz="0" w:space="0" w:color="auto"/>
        <w:bottom w:val="none" w:sz="0" w:space="0" w:color="auto"/>
        <w:right w:val="none" w:sz="0" w:space="0" w:color="auto"/>
      </w:divBdr>
    </w:div>
    <w:div w:id="526220360">
      <w:bodyDiv w:val="1"/>
      <w:marLeft w:val="0"/>
      <w:marRight w:val="0"/>
      <w:marTop w:val="0"/>
      <w:marBottom w:val="0"/>
      <w:divBdr>
        <w:top w:val="none" w:sz="0" w:space="0" w:color="auto"/>
        <w:left w:val="none" w:sz="0" w:space="0" w:color="auto"/>
        <w:bottom w:val="none" w:sz="0" w:space="0" w:color="auto"/>
        <w:right w:val="none" w:sz="0" w:space="0" w:color="auto"/>
      </w:divBdr>
    </w:div>
    <w:div w:id="567422352">
      <w:bodyDiv w:val="1"/>
      <w:marLeft w:val="0"/>
      <w:marRight w:val="0"/>
      <w:marTop w:val="0"/>
      <w:marBottom w:val="0"/>
      <w:divBdr>
        <w:top w:val="none" w:sz="0" w:space="0" w:color="auto"/>
        <w:left w:val="none" w:sz="0" w:space="0" w:color="auto"/>
        <w:bottom w:val="none" w:sz="0" w:space="0" w:color="auto"/>
        <w:right w:val="none" w:sz="0" w:space="0" w:color="auto"/>
      </w:divBdr>
    </w:div>
    <w:div w:id="591160748">
      <w:bodyDiv w:val="1"/>
      <w:marLeft w:val="0"/>
      <w:marRight w:val="0"/>
      <w:marTop w:val="0"/>
      <w:marBottom w:val="0"/>
      <w:divBdr>
        <w:top w:val="none" w:sz="0" w:space="0" w:color="auto"/>
        <w:left w:val="none" w:sz="0" w:space="0" w:color="auto"/>
        <w:bottom w:val="none" w:sz="0" w:space="0" w:color="auto"/>
        <w:right w:val="none" w:sz="0" w:space="0" w:color="auto"/>
      </w:divBdr>
    </w:div>
    <w:div w:id="601567462">
      <w:bodyDiv w:val="1"/>
      <w:marLeft w:val="0"/>
      <w:marRight w:val="0"/>
      <w:marTop w:val="0"/>
      <w:marBottom w:val="0"/>
      <w:divBdr>
        <w:top w:val="none" w:sz="0" w:space="0" w:color="auto"/>
        <w:left w:val="none" w:sz="0" w:space="0" w:color="auto"/>
        <w:bottom w:val="none" w:sz="0" w:space="0" w:color="auto"/>
        <w:right w:val="none" w:sz="0" w:space="0" w:color="auto"/>
      </w:divBdr>
    </w:div>
    <w:div w:id="611783174">
      <w:bodyDiv w:val="1"/>
      <w:marLeft w:val="0"/>
      <w:marRight w:val="0"/>
      <w:marTop w:val="0"/>
      <w:marBottom w:val="0"/>
      <w:divBdr>
        <w:top w:val="none" w:sz="0" w:space="0" w:color="auto"/>
        <w:left w:val="none" w:sz="0" w:space="0" w:color="auto"/>
        <w:bottom w:val="none" w:sz="0" w:space="0" w:color="auto"/>
        <w:right w:val="none" w:sz="0" w:space="0" w:color="auto"/>
      </w:divBdr>
    </w:div>
    <w:div w:id="614137873">
      <w:bodyDiv w:val="1"/>
      <w:marLeft w:val="0"/>
      <w:marRight w:val="0"/>
      <w:marTop w:val="0"/>
      <w:marBottom w:val="0"/>
      <w:divBdr>
        <w:top w:val="none" w:sz="0" w:space="0" w:color="auto"/>
        <w:left w:val="none" w:sz="0" w:space="0" w:color="auto"/>
        <w:bottom w:val="none" w:sz="0" w:space="0" w:color="auto"/>
        <w:right w:val="none" w:sz="0" w:space="0" w:color="auto"/>
      </w:divBdr>
    </w:div>
    <w:div w:id="616762533">
      <w:bodyDiv w:val="1"/>
      <w:marLeft w:val="0"/>
      <w:marRight w:val="0"/>
      <w:marTop w:val="0"/>
      <w:marBottom w:val="0"/>
      <w:divBdr>
        <w:top w:val="none" w:sz="0" w:space="0" w:color="auto"/>
        <w:left w:val="none" w:sz="0" w:space="0" w:color="auto"/>
        <w:bottom w:val="none" w:sz="0" w:space="0" w:color="auto"/>
        <w:right w:val="none" w:sz="0" w:space="0" w:color="auto"/>
      </w:divBdr>
    </w:div>
    <w:div w:id="641276433">
      <w:bodyDiv w:val="1"/>
      <w:marLeft w:val="0"/>
      <w:marRight w:val="0"/>
      <w:marTop w:val="0"/>
      <w:marBottom w:val="0"/>
      <w:divBdr>
        <w:top w:val="none" w:sz="0" w:space="0" w:color="auto"/>
        <w:left w:val="none" w:sz="0" w:space="0" w:color="auto"/>
        <w:bottom w:val="none" w:sz="0" w:space="0" w:color="auto"/>
        <w:right w:val="none" w:sz="0" w:space="0" w:color="auto"/>
      </w:divBdr>
    </w:div>
    <w:div w:id="659306756">
      <w:bodyDiv w:val="1"/>
      <w:marLeft w:val="0"/>
      <w:marRight w:val="0"/>
      <w:marTop w:val="0"/>
      <w:marBottom w:val="0"/>
      <w:divBdr>
        <w:top w:val="none" w:sz="0" w:space="0" w:color="auto"/>
        <w:left w:val="none" w:sz="0" w:space="0" w:color="auto"/>
        <w:bottom w:val="none" w:sz="0" w:space="0" w:color="auto"/>
        <w:right w:val="none" w:sz="0" w:space="0" w:color="auto"/>
      </w:divBdr>
    </w:div>
    <w:div w:id="682560893">
      <w:bodyDiv w:val="1"/>
      <w:marLeft w:val="0"/>
      <w:marRight w:val="0"/>
      <w:marTop w:val="0"/>
      <w:marBottom w:val="0"/>
      <w:divBdr>
        <w:top w:val="none" w:sz="0" w:space="0" w:color="auto"/>
        <w:left w:val="none" w:sz="0" w:space="0" w:color="auto"/>
        <w:bottom w:val="none" w:sz="0" w:space="0" w:color="auto"/>
        <w:right w:val="none" w:sz="0" w:space="0" w:color="auto"/>
      </w:divBdr>
    </w:div>
    <w:div w:id="682971221">
      <w:bodyDiv w:val="1"/>
      <w:marLeft w:val="0"/>
      <w:marRight w:val="0"/>
      <w:marTop w:val="0"/>
      <w:marBottom w:val="0"/>
      <w:divBdr>
        <w:top w:val="none" w:sz="0" w:space="0" w:color="auto"/>
        <w:left w:val="none" w:sz="0" w:space="0" w:color="auto"/>
        <w:bottom w:val="none" w:sz="0" w:space="0" w:color="auto"/>
        <w:right w:val="none" w:sz="0" w:space="0" w:color="auto"/>
      </w:divBdr>
    </w:div>
    <w:div w:id="684598632">
      <w:bodyDiv w:val="1"/>
      <w:marLeft w:val="0"/>
      <w:marRight w:val="0"/>
      <w:marTop w:val="0"/>
      <w:marBottom w:val="0"/>
      <w:divBdr>
        <w:top w:val="none" w:sz="0" w:space="0" w:color="auto"/>
        <w:left w:val="none" w:sz="0" w:space="0" w:color="auto"/>
        <w:bottom w:val="none" w:sz="0" w:space="0" w:color="auto"/>
        <w:right w:val="none" w:sz="0" w:space="0" w:color="auto"/>
      </w:divBdr>
    </w:div>
    <w:div w:id="709571588">
      <w:bodyDiv w:val="1"/>
      <w:marLeft w:val="0"/>
      <w:marRight w:val="0"/>
      <w:marTop w:val="0"/>
      <w:marBottom w:val="0"/>
      <w:divBdr>
        <w:top w:val="none" w:sz="0" w:space="0" w:color="auto"/>
        <w:left w:val="none" w:sz="0" w:space="0" w:color="auto"/>
        <w:bottom w:val="none" w:sz="0" w:space="0" w:color="auto"/>
        <w:right w:val="none" w:sz="0" w:space="0" w:color="auto"/>
      </w:divBdr>
    </w:div>
    <w:div w:id="732430401">
      <w:bodyDiv w:val="1"/>
      <w:marLeft w:val="0"/>
      <w:marRight w:val="0"/>
      <w:marTop w:val="0"/>
      <w:marBottom w:val="0"/>
      <w:divBdr>
        <w:top w:val="none" w:sz="0" w:space="0" w:color="auto"/>
        <w:left w:val="none" w:sz="0" w:space="0" w:color="auto"/>
        <w:bottom w:val="none" w:sz="0" w:space="0" w:color="auto"/>
        <w:right w:val="none" w:sz="0" w:space="0" w:color="auto"/>
      </w:divBdr>
    </w:div>
    <w:div w:id="739139859">
      <w:bodyDiv w:val="1"/>
      <w:marLeft w:val="0"/>
      <w:marRight w:val="0"/>
      <w:marTop w:val="0"/>
      <w:marBottom w:val="0"/>
      <w:divBdr>
        <w:top w:val="none" w:sz="0" w:space="0" w:color="auto"/>
        <w:left w:val="none" w:sz="0" w:space="0" w:color="auto"/>
        <w:bottom w:val="none" w:sz="0" w:space="0" w:color="auto"/>
        <w:right w:val="none" w:sz="0" w:space="0" w:color="auto"/>
      </w:divBdr>
    </w:div>
    <w:div w:id="801922463">
      <w:bodyDiv w:val="1"/>
      <w:marLeft w:val="0"/>
      <w:marRight w:val="0"/>
      <w:marTop w:val="0"/>
      <w:marBottom w:val="0"/>
      <w:divBdr>
        <w:top w:val="none" w:sz="0" w:space="0" w:color="auto"/>
        <w:left w:val="none" w:sz="0" w:space="0" w:color="auto"/>
        <w:bottom w:val="none" w:sz="0" w:space="0" w:color="auto"/>
        <w:right w:val="none" w:sz="0" w:space="0" w:color="auto"/>
      </w:divBdr>
    </w:div>
    <w:div w:id="803816944">
      <w:bodyDiv w:val="1"/>
      <w:marLeft w:val="0"/>
      <w:marRight w:val="0"/>
      <w:marTop w:val="0"/>
      <w:marBottom w:val="0"/>
      <w:divBdr>
        <w:top w:val="none" w:sz="0" w:space="0" w:color="auto"/>
        <w:left w:val="none" w:sz="0" w:space="0" w:color="auto"/>
        <w:bottom w:val="none" w:sz="0" w:space="0" w:color="auto"/>
        <w:right w:val="none" w:sz="0" w:space="0" w:color="auto"/>
      </w:divBdr>
      <w:divsChild>
        <w:div w:id="1612937285">
          <w:marLeft w:val="0"/>
          <w:marRight w:val="0"/>
          <w:marTop w:val="72"/>
          <w:marBottom w:val="0"/>
          <w:divBdr>
            <w:top w:val="none" w:sz="0" w:space="0" w:color="auto"/>
            <w:left w:val="none" w:sz="0" w:space="0" w:color="auto"/>
            <w:bottom w:val="none" w:sz="0" w:space="0" w:color="auto"/>
            <w:right w:val="none" w:sz="0" w:space="0" w:color="auto"/>
          </w:divBdr>
        </w:div>
        <w:div w:id="192807316">
          <w:marLeft w:val="0"/>
          <w:marRight w:val="0"/>
          <w:marTop w:val="72"/>
          <w:marBottom w:val="0"/>
          <w:divBdr>
            <w:top w:val="none" w:sz="0" w:space="0" w:color="auto"/>
            <w:left w:val="none" w:sz="0" w:space="0" w:color="auto"/>
            <w:bottom w:val="none" w:sz="0" w:space="0" w:color="auto"/>
            <w:right w:val="none" w:sz="0" w:space="0" w:color="auto"/>
          </w:divBdr>
        </w:div>
        <w:div w:id="427624767">
          <w:marLeft w:val="0"/>
          <w:marRight w:val="0"/>
          <w:marTop w:val="72"/>
          <w:marBottom w:val="0"/>
          <w:divBdr>
            <w:top w:val="none" w:sz="0" w:space="0" w:color="auto"/>
            <w:left w:val="none" w:sz="0" w:space="0" w:color="auto"/>
            <w:bottom w:val="none" w:sz="0" w:space="0" w:color="auto"/>
            <w:right w:val="none" w:sz="0" w:space="0" w:color="auto"/>
          </w:divBdr>
        </w:div>
      </w:divsChild>
    </w:div>
    <w:div w:id="845245319">
      <w:bodyDiv w:val="1"/>
      <w:marLeft w:val="0"/>
      <w:marRight w:val="0"/>
      <w:marTop w:val="0"/>
      <w:marBottom w:val="0"/>
      <w:divBdr>
        <w:top w:val="none" w:sz="0" w:space="0" w:color="auto"/>
        <w:left w:val="none" w:sz="0" w:space="0" w:color="auto"/>
        <w:bottom w:val="none" w:sz="0" w:space="0" w:color="auto"/>
        <w:right w:val="none" w:sz="0" w:space="0" w:color="auto"/>
      </w:divBdr>
    </w:div>
    <w:div w:id="859441172">
      <w:bodyDiv w:val="1"/>
      <w:marLeft w:val="0"/>
      <w:marRight w:val="0"/>
      <w:marTop w:val="0"/>
      <w:marBottom w:val="0"/>
      <w:divBdr>
        <w:top w:val="none" w:sz="0" w:space="0" w:color="auto"/>
        <w:left w:val="none" w:sz="0" w:space="0" w:color="auto"/>
        <w:bottom w:val="none" w:sz="0" w:space="0" w:color="auto"/>
        <w:right w:val="none" w:sz="0" w:space="0" w:color="auto"/>
      </w:divBdr>
    </w:div>
    <w:div w:id="867764639">
      <w:bodyDiv w:val="1"/>
      <w:marLeft w:val="0"/>
      <w:marRight w:val="0"/>
      <w:marTop w:val="0"/>
      <w:marBottom w:val="0"/>
      <w:divBdr>
        <w:top w:val="none" w:sz="0" w:space="0" w:color="auto"/>
        <w:left w:val="none" w:sz="0" w:space="0" w:color="auto"/>
        <w:bottom w:val="none" w:sz="0" w:space="0" w:color="auto"/>
        <w:right w:val="none" w:sz="0" w:space="0" w:color="auto"/>
      </w:divBdr>
    </w:div>
    <w:div w:id="871114243">
      <w:bodyDiv w:val="1"/>
      <w:marLeft w:val="0"/>
      <w:marRight w:val="0"/>
      <w:marTop w:val="0"/>
      <w:marBottom w:val="0"/>
      <w:divBdr>
        <w:top w:val="none" w:sz="0" w:space="0" w:color="auto"/>
        <w:left w:val="none" w:sz="0" w:space="0" w:color="auto"/>
        <w:bottom w:val="none" w:sz="0" w:space="0" w:color="auto"/>
        <w:right w:val="none" w:sz="0" w:space="0" w:color="auto"/>
      </w:divBdr>
    </w:div>
    <w:div w:id="890311031">
      <w:bodyDiv w:val="1"/>
      <w:marLeft w:val="0"/>
      <w:marRight w:val="0"/>
      <w:marTop w:val="0"/>
      <w:marBottom w:val="0"/>
      <w:divBdr>
        <w:top w:val="none" w:sz="0" w:space="0" w:color="auto"/>
        <w:left w:val="none" w:sz="0" w:space="0" w:color="auto"/>
        <w:bottom w:val="none" w:sz="0" w:space="0" w:color="auto"/>
        <w:right w:val="none" w:sz="0" w:space="0" w:color="auto"/>
      </w:divBdr>
    </w:div>
    <w:div w:id="893005346">
      <w:bodyDiv w:val="1"/>
      <w:marLeft w:val="0"/>
      <w:marRight w:val="0"/>
      <w:marTop w:val="0"/>
      <w:marBottom w:val="0"/>
      <w:divBdr>
        <w:top w:val="none" w:sz="0" w:space="0" w:color="auto"/>
        <w:left w:val="none" w:sz="0" w:space="0" w:color="auto"/>
        <w:bottom w:val="none" w:sz="0" w:space="0" w:color="auto"/>
        <w:right w:val="none" w:sz="0" w:space="0" w:color="auto"/>
      </w:divBdr>
    </w:div>
    <w:div w:id="896865114">
      <w:bodyDiv w:val="1"/>
      <w:marLeft w:val="0"/>
      <w:marRight w:val="0"/>
      <w:marTop w:val="0"/>
      <w:marBottom w:val="0"/>
      <w:divBdr>
        <w:top w:val="none" w:sz="0" w:space="0" w:color="auto"/>
        <w:left w:val="none" w:sz="0" w:space="0" w:color="auto"/>
        <w:bottom w:val="none" w:sz="0" w:space="0" w:color="auto"/>
        <w:right w:val="none" w:sz="0" w:space="0" w:color="auto"/>
      </w:divBdr>
    </w:div>
    <w:div w:id="909466592">
      <w:bodyDiv w:val="1"/>
      <w:marLeft w:val="0"/>
      <w:marRight w:val="0"/>
      <w:marTop w:val="0"/>
      <w:marBottom w:val="0"/>
      <w:divBdr>
        <w:top w:val="none" w:sz="0" w:space="0" w:color="auto"/>
        <w:left w:val="none" w:sz="0" w:space="0" w:color="auto"/>
        <w:bottom w:val="none" w:sz="0" w:space="0" w:color="auto"/>
        <w:right w:val="none" w:sz="0" w:space="0" w:color="auto"/>
      </w:divBdr>
      <w:divsChild>
        <w:div w:id="341670555">
          <w:marLeft w:val="0"/>
          <w:marRight w:val="0"/>
          <w:marTop w:val="72"/>
          <w:marBottom w:val="0"/>
          <w:divBdr>
            <w:top w:val="none" w:sz="0" w:space="0" w:color="auto"/>
            <w:left w:val="none" w:sz="0" w:space="0" w:color="auto"/>
            <w:bottom w:val="none" w:sz="0" w:space="0" w:color="auto"/>
            <w:right w:val="none" w:sz="0" w:space="0" w:color="auto"/>
          </w:divBdr>
        </w:div>
      </w:divsChild>
    </w:div>
    <w:div w:id="916792112">
      <w:bodyDiv w:val="1"/>
      <w:marLeft w:val="0"/>
      <w:marRight w:val="0"/>
      <w:marTop w:val="0"/>
      <w:marBottom w:val="0"/>
      <w:divBdr>
        <w:top w:val="none" w:sz="0" w:space="0" w:color="auto"/>
        <w:left w:val="none" w:sz="0" w:space="0" w:color="auto"/>
        <w:bottom w:val="none" w:sz="0" w:space="0" w:color="auto"/>
        <w:right w:val="none" w:sz="0" w:space="0" w:color="auto"/>
      </w:divBdr>
    </w:div>
    <w:div w:id="916940650">
      <w:bodyDiv w:val="1"/>
      <w:marLeft w:val="0"/>
      <w:marRight w:val="0"/>
      <w:marTop w:val="0"/>
      <w:marBottom w:val="0"/>
      <w:divBdr>
        <w:top w:val="none" w:sz="0" w:space="0" w:color="auto"/>
        <w:left w:val="none" w:sz="0" w:space="0" w:color="auto"/>
        <w:bottom w:val="none" w:sz="0" w:space="0" w:color="auto"/>
        <w:right w:val="none" w:sz="0" w:space="0" w:color="auto"/>
      </w:divBdr>
    </w:div>
    <w:div w:id="921380284">
      <w:bodyDiv w:val="1"/>
      <w:marLeft w:val="0"/>
      <w:marRight w:val="0"/>
      <w:marTop w:val="0"/>
      <w:marBottom w:val="0"/>
      <w:divBdr>
        <w:top w:val="none" w:sz="0" w:space="0" w:color="auto"/>
        <w:left w:val="none" w:sz="0" w:space="0" w:color="auto"/>
        <w:bottom w:val="none" w:sz="0" w:space="0" w:color="auto"/>
        <w:right w:val="none" w:sz="0" w:space="0" w:color="auto"/>
      </w:divBdr>
    </w:div>
    <w:div w:id="924993520">
      <w:bodyDiv w:val="1"/>
      <w:marLeft w:val="0"/>
      <w:marRight w:val="0"/>
      <w:marTop w:val="0"/>
      <w:marBottom w:val="0"/>
      <w:divBdr>
        <w:top w:val="none" w:sz="0" w:space="0" w:color="auto"/>
        <w:left w:val="none" w:sz="0" w:space="0" w:color="auto"/>
        <w:bottom w:val="none" w:sz="0" w:space="0" w:color="auto"/>
        <w:right w:val="none" w:sz="0" w:space="0" w:color="auto"/>
      </w:divBdr>
    </w:div>
    <w:div w:id="929629042">
      <w:bodyDiv w:val="1"/>
      <w:marLeft w:val="0"/>
      <w:marRight w:val="0"/>
      <w:marTop w:val="0"/>
      <w:marBottom w:val="0"/>
      <w:divBdr>
        <w:top w:val="none" w:sz="0" w:space="0" w:color="auto"/>
        <w:left w:val="none" w:sz="0" w:space="0" w:color="auto"/>
        <w:bottom w:val="none" w:sz="0" w:space="0" w:color="auto"/>
        <w:right w:val="none" w:sz="0" w:space="0" w:color="auto"/>
      </w:divBdr>
    </w:div>
    <w:div w:id="931207825">
      <w:bodyDiv w:val="1"/>
      <w:marLeft w:val="0"/>
      <w:marRight w:val="0"/>
      <w:marTop w:val="0"/>
      <w:marBottom w:val="0"/>
      <w:divBdr>
        <w:top w:val="none" w:sz="0" w:space="0" w:color="auto"/>
        <w:left w:val="none" w:sz="0" w:space="0" w:color="auto"/>
        <w:bottom w:val="none" w:sz="0" w:space="0" w:color="auto"/>
        <w:right w:val="none" w:sz="0" w:space="0" w:color="auto"/>
      </w:divBdr>
    </w:div>
    <w:div w:id="973754232">
      <w:bodyDiv w:val="1"/>
      <w:marLeft w:val="0"/>
      <w:marRight w:val="0"/>
      <w:marTop w:val="0"/>
      <w:marBottom w:val="0"/>
      <w:divBdr>
        <w:top w:val="none" w:sz="0" w:space="0" w:color="auto"/>
        <w:left w:val="none" w:sz="0" w:space="0" w:color="auto"/>
        <w:bottom w:val="none" w:sz="0" w:space="0" w:color="auto"/>
        <w:right w:val="none" w:sz="0" w:space="0" w:color="auto"/>
      </w:divBdr>
    </w:div>
    <w:div w:id="979698776">
      <w:bodyDiv w:val="1"/>
      <w:marLeft w:val="0"/>
      <w:marRight w:val="0"/>
      <w:marTop w:val="0"/>
      <w:marBottom w:val="0"/>
      <w:divBdr>
        <w:top w:val="none" w:sz="0" w:space="0" w:color="auto"/>
        <w:left w:val="none" w:sz="0" w:space="0" w:color="auto"/>
        <w:bottom w:val="none" w:sz="0" w:space="0" w:color="auto"/>
        <w:right w:val="none" w:sz="0" w:space="0" w:color="auto"/>
      </w:divBdr>
    </w:div>
    <w:div w:id="986975970">
      <w:bodyDiv w:val="1"/>
      <w:marLeft w:val="0"/>
      <w:marRight w:val="0"/>
      <w:marTop w:val="0"/>
      <w:marBottom w:val="0"/>
      <w:divBdr>
        <w:top w:val="none" w:sz="0" w:space="0" w:color="auto"/>
        <w:left w:val="none" w:sz="0" w:space="0" w:color="auto"/>
        <w:bottom w:val="none" w:sz="0" w:space="0" w:color="auto"/>
        <w:right w:val="none" w:sz="0" w:space="0" w:color="auto"/>
      </w:divBdr>
    </w:div>
    <w:div w:id="1024090075">
      <w:bodyDiv w:val="1"/>
      <w:marLeft w:val="0"/>
      <w:marRight w:val="0"/>
      <w:marTop w:val="0"/>
      <w:marBottom w:val="0"/>
      <w:divBdr>
        <w:top w:val="none" w:sz="0" w:space="0" w:color="auto"/>
        <w:left w:val="none" w:sz="0" w:space="0" w:color="auto"/>
        <w:bottom w:val="none" w:sz="0" w:space="0" w:color="auto"/>
        <w:right w:val="none" w:sz="0" w:space="0" w:color="auto"/>
      </w:divBdr>
    </w:div>
    <w:div w:id="1033924882">
      <w:bodyDiv w:val="1"/>
      <w:marLeft w:val="0"/>
      <w:marRight w:val="0"/>
      <w:marTop w:val="0"/>
      <w:marBottom w:val="0"/>
      <w:divBdr>
        <w:top w:val="none" w:sz="0" w:space="0" w:color="auto"/>
        <w:left w:val="none" w:sz="0" w:space="0" w:color="auto"/>
        <w:bottom w:val="none" w:sz="0" w:space="0" w:color="auto"/>
        <w:right w:val="none" w:sz="0" w:space="0" w:color="auto"/>
      </w:divBdr>
    </w:div>
    <w:div w:id="1069116588">
      <w:bodyDiv w:val="1"/>
      <w:marLeft w:val="0"/>
      <w:marRight w:val="0"/>
      <w:marTop w:val="0"/>
      <w:marBottom w:val="0"/>
      <w:divBdr>
        <w:top w:val="none" w:sz="0" w:space="0" w:color="auto"/>
        <w:left w:val="none" w:sz="0" w:space="0" w:color="auto"/>
        <w:bottom w:val="none" w:sz="0" w:space="0" w:color="auto"/>
        <w:right w:val="none" w:sz="0" w:space="0" w:color="auto"/>
      </w:divBdr>
    </w:div>
    <w:div w:id="1086000655">
      <w:bodyDiv w:val="1"/>
      <w:marLeft w:val="0"/>
      <w:marRight w:val="0"/>
      <w:marTop w:val="0"/>
      <w:marBottom w:val="0"/>
      <w:divBdr>
        <w:top w:val="none" w:sz="0" w:space="0" w:color="auto"/>
        <w:left w:val="none" w:sz="0" w:space="0" w:color="auto"/>
        <w:bottom w:val="none" w:sz="0" w:space="0" w:color="auto"/>
        <w:right w:val="none" w:sz="0" w:space="0" w:color="auto"/>
      </w:divBdr>
    </w:div>
    <w:div w:id="1092047548">
      <w:bodyDiv w:val="1"/>
      <w:marLeft w:val="0"/>
      <w:marRight w:val="0"/>
      <w:marTop w:val="0"/>
      <w:marBottom w:val="0"/>
      <w:divBdr>
        <w:top w:val="none" w:sz="0" w:space="0" w:color="auto"/>
        <w:left w:val="none" w:sz="0" w:space="0" w:color="auto"/>
        <w:bottom w:val="none" w:sz="0" w:space="0" w:color="auto"/>
        <w:right w:val="none" w:sz="0" w:space="0" w:color="auto"/>
      </w:divBdr>
    </w:div>
    <w:div w:id="1098866872">
      <w:bodyDiv w:val="1"/>
      <w:marLeft w:val="0"/>
      <w:marRight w:val="0"/>
      <w:marTop w:val="0"/>
      <w:marBottom w:val="0"/>
      <w:divBdr>
        <w:top w:val="none" w:sz="0" w:space="0" w:color="auto"/>
        <w:left w:val="none" w:sz="0" w:space="0" w:color="auto"/>
        <w:bottom w:val="none" w:sz="0" w:space="0" w:color="auto"/>
        <w:right w:val="none" w:sz="0" w:space="0" w:color="auto"/>
      </w:divBdr>
    </w:div>
    <w:div w:id="1125394451">
      <w:bodyDiv w:val="1"/>
      <w:marLeft w:val="0"/>
      <w:marRight w:val="0"/>
      <w:marTop w:val="0"/>
      <w:marBottom w:val="0"/>
      <w:divBdr>
        <w:top w:val="none" w:sz="0" w:space="0" w:color="auto"/>
        <w:left w:val="none" w:sz="0" w:space="0" w:color="auto"/>
        <w:bottom w:val="none" w:sz="0" w:space="0" w:color="auto"/>
        <w:right w:val="none" w:sz="0" w:space="0" w:color="auto"/>
      </w:divBdr>
    </w:div>
    <w:div w:id="1132796265">
      <w:bodyDiv w:val="1"/>
      <w:marLeft w:val="0"/>
      <w:marRight w:val="0"/>
      <w:marTop w:val="0"/>
      <w:marBottom w:val="0"/>
      <w:divBdr>
        <w:top w:val="none" w:sz="0" w:space="0" w:color="auto"/>
        <w:left w:val="none" w:sz="0" w:space="0" w:color="auto"/>
        <w:bottom w:val="none" w:sz="0" w:space="0" w:color="auto"/>
        <w:right w:val="none" w:sz="0" w:space="0" w:color="auto"/>
      </w:divBdr>
    </w:div>
    <w:div w:id="1144355601">
      <w:bodyDiv w:val="1"/>
      <w:marLeft w:val="0"/>
      <w:marRight w:val="0"/>
      <w:marTop w:val="0"/>
      <w:marBottom w:val="0"/>
      <w:divBdr>
        <w:top w:val="none" w:sz="0" w:space="0" w:color="auto"/>
        <w:left w:val="none" w:sz="0" w:space="0" w:color="auto"/>
        <w:bottom w:val="none" w:sz="0" w:space="0" w:color="auto"/>
        <w:right w:val="none" w:sz="0" w:space="0" w:color="auto"/>
      </w:divBdr>
    </w:div>
    <w:div w:id="1160539629">
      <w:bodyDiv w:val="1"/>
      <w:marLeft w:val="0"/>
      <w:marRight w:val="0"/>
      <w:marTop w:val="0"/>
      <w:marBottom w:val="0"/>
      <w:divBdr>
        <w:top w:val="none" w:sz="0" w:space="0" w:color="auto"/>
        <w:left w:val="none" w:sz="0" w:space="0" w:color="auto"/>
        <w:bottom w:val="none" w:sz="0" w:space="0" w:color="auto"/>
        <w:right w:val="none" w:sz="0" w:space="0" w:color="auto"/>
      </w:divBdr>
    </w:div>
    <w:div w:id="1164708146">
      <w:bodyDiv w:val="1"/>
      <w:marLeft w:val="0"/>
      <w:marRight w:val="0"/>
      <w:marTop w:val="0"/>
      <w:marBottom w:val="0"/>
      <w:divBdr>
        <w:top w:val="none" w:sz="0" w:space="0" w:color="auto"/>
        <w:left w:val="none" w:sz="0" w:space="0" w:color="auto"/>
        <w:bottom w:val="none" w:sz="0" w:space="0" w:color="auto"/>
        <w:right w:val="none" w:sz="0" w:space="0" w:color="auto"/>
      </w:divBdr>
    </w:div>
    <w:div w:id="1180506267">
      <w:bodyDiv w:val="1"/>
      <w:marLeft w:val="0"/>
      <w:marRight w:val="0"/>
      <w:marTop w:val="0"/>
      <w:marBottom w:val="0"/>
      <w:divBdr>
        <w:top w:val="none" w:sz="0" w:space="0" w:color="auto"/>
        <w:left w:val="none" w:sz="0" w:space="0" w:color="auto"/>
        <w:bottom w:val="none" w:sz="0" w:space="0" w:color="auto"/>
        <w:right w:val="none" w:sz="0" w:space="0" w:color="auto"/>
      </w:divBdr>
    </w:div>
    <w:div w:id="1185048847">
      <w:bodyDiv w:val="1"/>
      <w:marLeft w:val="0"/>
      <w:marRight w:val="0"/>
      <w:marTop w:val="0"/>
      <w:marBottom w:val="0"/>
      <w:divBdr>
        <w:top w:val="none" w:sz="0" w:space="0" w:color="auto"/>
        <w:left w:val="none" w:sz="0" w:space="0" w:color="auto"/>
        <w:bottom w:val="none" w:sz="0" w:space="0" w:color="auto"/>
        <w:right w:val="none" w:sz="0" w:space="0" w:color="auto"/>
      </w:divBdr>
    </w:div>
    <w:div w:id="1201474671">
      <w:bodyDiv w:val="1"/>
      <w:marLeft w:val="0"/>
      <w:marRight w:val="0"/>
      <w:marTop w:val="0"/>
      <w:marBottom w:val="0"/>
      <w:divBdr>
        <w:top w:val="none" w:sz="0" w:space="0" w:color="auto"/>
        <w:left w:val="none" w:sz="0" w:space="0" w:color="auto"/>
        <w:bottom w:val="none" w:sz="0" w:space="0" w:color="auto"/>
        <w:right w:val="none" w:sz="0" w:space="0" w:color="auto"/>
      </w:divBdr>
    </w:div>
    <w:div w:id="1205294599">
      <w:bodyDiv w:val="1"/>
      <w:marLeft w:val="0"/>
      <w:marRight w:val="0"/>
      <w:marTop w:val="0"/>
      <w:marBottom w:val="0"/>
      <w:divBdr>
        <w:top w:val="none" w:sz="0" w:space="0" w:color="auto"/>
        <w:left w:val="none" w:sz="0" w:space="0" w:color="auto"/>
        <w:bottom w:val="none" w:sz="0" w:space="0" w:color="auto"/>
        <w:right w:val="none" w:sz="0" w:space="0" w:color="auto"/>
      </w:divBdr>
    </w:div>
    <w:div w:id="1237743089">
      <w:bodyDiv w:val="1"/>
      <w:marLeft w:val="0"/>
      <w:marRight w:val="0"/>
      <w:marTop w:val="0"/>
      <w:marBottom w:val="0"/>
      <w:divBdr>
        <w:top w:val="none" w:sz="0" w:space="0" w:color="auto"/>
        <w:left w:val="none" w:sz="0" w:space="0" w:color="auto"/>
        <w:bottom w:val="none" w:sz="0" w:space="0" w:color="auto"/>
        <w:right w:val="none" w:sz="0" w:space="0" w:color="auto"/>
      </w:divBdr>
    </w:div>
    <w:div w:id="1241215128">
      <w:bodyDiv w:val="1"/>
      <w:marLeft w:val="0"/>
      <w:marRight w:val="0"/>
      <w:marTop w:val="0"/>
      <w:marBottom w:val="0"/>
      <w:divBdr>
        <w:top w:val="none" w:sz="0" w:space="0" w:color="auto"/>
        <w:left w:val="none" w:sz="0" w:space="0" w:color="auto"/>
        <w:bottom w:val="none" w:sz="0" w:space="0" w:color="auto"/>
        <w:right w:val="none" w:sz="0" w:space="0" w:color="auto"/>
      </w:divBdr>
    </w:div>
    <w:div w:id="1243494195">
      <w:bodyDiv w:val="1"/>
      <w:marLeft w:val="0"/>
      <w:marRight w:val="0"/>
      <w:marTop w:val="0"/>
      <w:marBottom w:val="0"/>
      <w:divBdr>
        <w:top w:val="none" w:sz="0" w:space="0" w:color="auto"/>
        <w:left w:val="none" w:sz="0" w:space="0" w:color="auto"/>
        <w:bottom w:val="none" w:sz="0" w:space="0" w:color="auto"/>
        <w:right w:val="none" w:sz="0" w:space="0" w:color="auto"/>
      </w:divBdr>
    </w:div>
    <w:div w:id="1267150172">
      <w:bodyDiv w:val="1"/>
      <w:marLeft w:val="0"/>
      <w:marRight w:val="0"/>
      <w:marTop w:val="0"/>
      <w:marBottom w:val="0"/>
      <w:divBdr>
        <w:top w:val="none" w:sz="0" w:space="0" w:color="auto"/>
        <w:left w:val="none" w:sz="0" w:space="0" w:color="auto"/>
        <w:bottom w:val="none" w:sz="0" w:space="0" w:color="auto"/>
        <w:right w:val="none" w:sz="0" w:space="0" w:color="auto"/>
      </w:divBdr>
    </w:div>
    <w:div w:id="1280918152">
      <w:bodyDiv w:val="1"/>
      <w:marLeft w:val="0"/>
      <w:marRight w:val="0"/>
      <w:marTop w:val="0"/>
      <w:marBottom w:val="0"/>
      <w:divBdr>
        <w:top w:val="none" w:sz="0" w:space="0" w:color="auto"/>
        <w:left w:val="none" w:sz="0" w:space="0" w:color="auto"/>
        <w:bottom w:val="none" w:sz="0" w:space="0" w:color="auto"/>
        <w:right w:val="none" w:sz="0" w:space="0" w:color="auto"/>
      </w:divBdr>
    </w:div>
    <w:div w:id="1304045127">
      <w:bodyDiv w:val="1"/>
      <w:marLeft w:val="0"/>
      <w:marRight w:val="0"/>
      <w:marTop w:val="0"/>
      <w:marBottom w:val="0"/>
      <w:divBdr>
        <w:top w:val="none" w:sz="0" w:space="0" w:color="auto"/>
        <w:left w:val="none" w:sz="0" w:space="0" w:color="auto"/>
        <w:bottom w:val="none" w:sz="0" w:space="0" w:color="auto"/>
        <w:right w:val="none" w:sz="0" w:space="0" w:color="auto"/>
      </w:divBdr>
    </w:div>
    <w:div w:id="1304774650">
      <w:bodyDiv w:val="1"/>
      <w:marLeft w:val="0"/>
      <w:marRight w:val="0"/>
      <w:marTop w:val="0"/>
      <w:marBottom w:val="0"/>
      <w:divBdr>
        <w:top w:val="none" w:sz="0" w:space="0" w:color="auto"/>
        <w:left w:val="none" w:sz="0" w:space="0" w:color="auto"/>
        <w:bottom w:val="none" w:sz="0" w:space="0" w:color="auto"/>
        <w:right w:val="none" w:sz="0" w:space="0" w:color="auto"/>
      </w:divBdr>
    </w:div>
    <w:div w:id="1329363052">
      <w:bodyDiv w:val="1"/>
      <w:marLeft w:val="0"/>
      <w:marRight w:val="0"/>
      <w:marTop w:val="0"/>
      <w:marBottom w:val="0"/>
      <w:divBdr>
        <w:top w:val="none" w:sz="0" w:space="0" w:color="auto"/>
        <w:left w:val="none" w:sz="0" w:space="0" w:color="auto"/>
        <w:bottom w:val="none" w:sz="0" w:space="0" w:color="auto"/>
        <w:right w:val="none" w:sz="0" w:space="0" w:color="auto"/>
      </w:divBdr>
    </w:div>
    <w:div w:id="1347512832">
      <w:bodyDiv w:val="1"/>
      <w:marLeft w:val="0"/>
      <w:marRight w:val="0"/>
      <w:marTop w:val="0"/>
      <w:marBottom w:val="0"/>
      <w:divBdr>
        <w:top w:val="none" w:sz="0" w:space="0" w:color="auto"/>
        <w:left w:val="none" w:sz="0" w:space="0" w:color="auto"/>
        <w:bottom w:val="none" w:sz="0" w:space="0" w:color="auto"/>
        <w:right w:val="none" w:sz="0" w:space="0" w:color="auto"/>
      </w:divBdr>
    </w:div>
    <w:div w:id="1356691094">
      <w:bodyDiv w:val="1"/>
      <w:marLeft w:val="0"/>
      <w:marRight w:val="0"/>
      <w:marTop w:val="0"/>
      <w:marBottom w:val="0"/>
      <w:divBdr>
        <w:top w:val="none" w:sz="0" w:space="0" w:color="auto"/>
        <w:left w:val="none" w:sz="0" w:space="0" w:color="auto"/>
        <w:bottom w:val="none" w:sz="0" w:space="0" w:color="auto"/>
        <w:right w:val="none" w:sz="0" w:space="0" w:color="auto"/>
      </w:divBdr>
    </w:div>
    <w:div w:id="1370378597">
      <w:bodyDiv w:val="1"/>
      <w:marLeft w:val="0"/>
      <w:marRight w:val="0"/>
      <w:marTop w:val="0"/>
      <w:marBottom w:val="0"/>
      <w:divBdr>
        <w:top w:val="none" w:sz="0" w:space="0" w:color="auto"/>
        <w:left w:val="none" w:sz="0" w:space="0" w:color="auto"/>
        <w:bottom w:val="none" w:sz="0" w:space="0" w:color="auto"/>
        <w:right w:val="none" w:sz="0" w:space="0" w:color="auto"/>
      </w:divBdr>
    </w:div>
    <w:div w:id="1372026694">
      <w:bodyDiv w:val="1"/>
      <w:marLeft w:val="0"/>
      <w:marRight w:val="0"/>
      <w:marTop w:val="0"/>
      <w:marBottom w:val="0"/>
      <w:divBdr>
        <w:top w:val="none" w:sz="0" w:space="0" w:color="auto"/>
        <w:left w:val="none" w:sz="0" w:space="0" w:color="auto"/>
        <w:bottom w:val="none" w:sz="0" w:space="0" w:color="auto"/>
        <w:right w:val="none" w:sz="0" w:space="0" w:color="auto"/>
      </w:divBdr>
    </w:div>
    <w:div w:id="1382706679">
      <w:bodyDiv w:val="1"/>
      <w:marLeft w:val="0"/>
      <w:marRight w:val="0"/>
      <w:marTop w:val="0"/>
      <w:marBottom w:val="0"/>
      <w:divBdr>
        <w:top w:val="none" w:sz="0" w:space="0" w:color="auto"/>
        <w:left w:val="none" w:sz="0" w:space="0" w:color="auto"/>
        <w:bottom w:val="none" w:sz="0" w:space="0" w:color="auto"/>
        <w:right w:val="none" w:sz="0" w:space="0" w:color="auto"/>
      </w:divBdr>
    </w:div>
    <w:div w:id="1417894702">
      <w:bodyDiv w:val="1"/>
      <w:marLeft w:val="0"/>
      <w:marRight w:val="0"/>
      <w:marTop w:val="0"/>
      <w:marBottom w:val="0"/>
      <w:divBdr>
        <w:top w:val="none" w:sz="0" w:space="0" w:color="auto"/>
        <w:left w:val="none" w:sz="0" w:space="0" w:color="auto"/>
        <w:bottom w:val="none" w:sz="0" w:space="0" w:color="auto"/>
        <w:right w:val="none" w:sz="0" w:space="0" w:color="auto"/>
      </w:divBdr>
    </w:div>
    <w:div w:id="1420520673">
      <w:bodyDiv w:val="1"/>
      <w:marLeft w:val="0"/>
      <w:marRight w:val="0"/>
      <w:marTop w:val="0"/>
      <w:marBottom w:val="0"/>
      <w:divBdr>
        <w:top w:val="none" w:sz="0" w:space="0" w:color="auto"/>
        <w:left w:val="none" w:sz="0" w:space="0" w:color="auto"/>
        <w:bottom w:val="none" w:sz="0" w:space="0" w:color="auto"/>
        <w:right w:val="none" w:sz="0" w:space="0" w:color="auto"/>
      </w:divBdr>
    </w:div>
    <w:div w:id="1426222687">
      <w:bodyDiv w:val="1"/>
      <w:marLeft w:val="0"/>
      <w:marRight w:val="0"/>
      <w:marTop w:val="0"/>
      <w:marBottom w:val="0"/>
      <w:divBdr>
        <w:top w:val="none" w:sz="0" w:space="0" w:color="auto"/>
        <w:left w:val="none" w:sz="0" w:space="0" w:color="auto"/>
        <w:bottom w:val="none" w:sz="0" w:space="0" w:color="auto"/>
        <w:right w:val="none" w:sz="0" w:space="0" w:color="auto"/>
      </w:divBdr>
    </w:div>
    <w:div w:id="1452556838">
      <w:bodyDiv w:val="1"/>
      <w:marLeft w:val="0"/>
      <w:marRight w:val="0"/>
      <w:marTop w:val="0"/>
      <w:marBottom w:val="0"/>
      <w:divBdr>
        <w:top w:val="none" w:sz="0" w:space="0" w:color="auto"/>
        <w:left w:val="none" w:sz="0" w:space="0" w:color="auto"/>
        <w:bottom w:val="none" w:sz="0" w:space="0" w:color="auto"/>
        <w:right w:val="none" w:sz="0" w:space="0" w:color="auto"/>
      </w:divBdr>
    </w:div>
    <w:div w:id="1471095701">
      <w:bodyDiv w:val="1"/>
      <w:marLeft w:val="0"/>
      <w:marRight w:val="0"/>
      <w:marTop w:val="0"/>
      <w:marBottom w:val="0"/>
      <w:divBdr>
        <w:top w:val="none" w:sz="0" w:space="0" w:color="auto"/>
        <w:left w:val="none" w:sz="0" w:space="0" w:color="auto"/>
        <w:bottom w:val="none" w:sz="0" w:space="0" w:color="auto"/>
        <w:right w:val="none" w:sz="0" w:space="0" w:color="auto"/>
      </w:divBdr>
    </w:div>
    <w:div w:id="1473251173">
      <w:bodyDiv w:val="1"/>
      <w:marLeft w:val="0"/>
      <w:marRight w:val="0"/>
      <w:marTop w:val="0"/>
      <w:marBottom w:val="0"/>
      <w:divBdr>
        <w:top w:val="none" w:sz="0" w:space="0" w:color="auto"/>
        <w:left w:val="none" w:sz="0" w:space="0" w:color="auto"/>
        <w:bottom w:val="none" w:sz="0" w:space="0" w:color="auto"/>
        <w:right w:val="none" w:sz="0" w:space="0" w:color="auto"/>
      </w:divBdr>
      <w:divsChild>
        <w:div w:id="287660775">
          <w:marLeft w:val="0"/>
          <w:marRight w:val="0"/>
          <w:marTop w:val="120"/>
          <w:marBottom w:val="0"/>
          <w:divBdr>
            <w:top w:val="none" w:sz="0" w:space="0" w:color="auto"/>
            <w:left w:val="none" w:sz="0" w:space="0" w:color="auto"/>
            <w:bottom w:val="none" w:sz="0" w:space="0" w:color="auto"/>
            <w:right w:val="none" w:sz="0" w:space="0" w:color="auto"/>
          </w:divBdr>
          <w:divsChild>
            <w:div w:id="1336954442">
              <w:marLeft w:val="0"/>
              <w:marRight w:val="0"/>
              <w:marTop w:val="0"/>
              <w:marBottom w:val="0"/>
              <w:divBdr>
                <w:top w:val="none" w:sz="0" w:space="0" w:color="auto"/>
                <w:left w:val="none" w:sz="0" w:space="0" w:color="auto"/>
                <w:bottom w:val="none" w:sz="0" w:space="0" w:color="auto"/>
                <w:right w:val="none" w:sz="0" w:space="0" w:color="auto"/>
              </w:divBdr>
            </w:div>
          </w:divsChild>
        </w:div>
        <w:div w:id="287514098">
          <w:marLeft w:val="0"/>
          <w:marRight w:val="0"/>
          <w:marTop w:val="120"/>
          <w:marBottom w:val="0"/>
          <w:divBdr>
            <w:top w:val="none" w:sz="0" w:space="0" w:color="auto"/>
            <w:left w:val="none" w:sz="0" w:space="0" w:color="auto"/>
            <w:bottom w:val="none" w:sz="0" w:space="0" w:color="auto"/>
            <w:right w:val="none" w:sz="0" w:space="0" w:color="auto"/>
          </w:divBdr>
          <w:divsChild>
            <w:div w:id="1960329771">
              <w:marLeft w:val="0"/>
              <w:marRight w:val="0"/>
              <w:marTop w:val="0"/>
              <w:marBottom w:val="0"/>
              <w:divBdr>
                <w:top w:val="none" w:sz="0" w:space="0" w:color="auto"/>
                <w:left w:val="none" w:sz="0" w:space="0" w:color="auto"/>
                <w:bottom w:val="none" w:sz="0" w:space="0" w:color="auto"/>
                <w:right w:val="none" w:sz="0" w:space="0" w:color="auto"/>
              </w:divBdr>
            </w:div>
          </w:divsChild>
        </w:div>
        <w:div w:id="676538719">
          <w:marLeft w:val="0"/>
          <w:marRight w:val="0"/>
          <w:marTop w:val="120"/>
          <w:marBottom w:val="0"/>
          <w:divBdr>
            <w:top w:val="none" w:sz="0" w:space="0" w:color="auto"/>
            <w:left w:val="none" w:sz="0" w:space="0" w:color="auto"/>
            <w:bottom w:val="none" w:sz="0" w:space="0" w:color="auto"/>
            <w:right w:val="none" w:sz="0" w:space="0" w:color="auto"/>
          </w:divBdr>
          <w:divsChild>
            <w:div w:id="1666013948">
              <w:marLeft w:val="0"/>
              <w:marRight w:val="0"/>
              <w:marTop w:val="0"/>
              <w:marBottom w:val="0"/>
              <w:divBdr>
                <w:top w:val="none" w:sz="0" w:space="0" w:color="auto"/>
                <w:left w:val="none" w:sz="0" w:space="0" w:color="auto"/>
                <w:bottom w:val="none" w:sz="0" w:space="0" w:color="auto"/>
                <w:right w:val="none" w:sz="0" w:space="0" w:color="auto"/>
              </w:divBdr>
            </w:div>
          </w:divsChild>
        </w:div>
        <w:div w:id="1654871794">
          <w:marLeft w:val="0"/>
          <w:marRight w:val="0"/>
          <w:marTop w:val="120"/>
          <w:marBottom w:val="0"/>
          <w:divBdr>
            <w:top w:val="none" w:sz="0" w:space="0" w:color="auto"/>
            <w:left w:val="none" w:sz="0" w:space="0" w:color="auto"/>
            <w:bottom w:val="none" w:sz="0" w:space="0" w:color="auto"/>
            <w:right w:val="none" w:sz="0" w:space="0" w:color="auto"/>
          </w:divBdr>
          <w:divsChild>
            <w:div w:id="803692660">
              <w:marLeft w:val="0"/>
              <w:marRight w:val="0"/>
              <w:marTop w:val="0"/>
              <w:marBottom w:val="0"/>
              <w:divBdr>
                <w:top w:val="none" w:sz="0" w:space="0" w:color="auto"/>
                <w:left w:val="none" w:sz="0" w:space="0" w:color="auto"/>
                <w:bottom w:val="none" w:sz="0" w:space="0" w:color="auto"/>
                <w:right w:val="none" w:sz="0" w:space="0" w:color="auto"/>
              </w:divBdr>
            </w:div>
          </w:divsChild>
        </w:div>
        <w:div w:id="2142842171">
          <w:marLeft w:val="0"/>
          <w:marRight w:val="0"/>
          <w:marTop w:val="120"/>
          <w:marBottom w:val="0"/>
          <w:divBdr>
            <w:top w:val="none" w:sz="0" w:space="0" w:color="auto"/>
            <w:left w:val="none" w:sz="0" w:space="0" w:color="auto"/>
            <w:bottom w:val="none" w:sz="0" w:space="0" w:color="auto"/>
            <w:right w:val="none" w:sz="0" w:space="0" w:color="auto"/>
          </w:divBdr>
          <w:divsChild>
            <w:div w:id="778914381">
              <w:marLeft w:val="0"/>
              <w:marRight w:val="0"/>
              <w:marTop w:val="0"/>
              <w:marBottom w:val="0"/>
              <w:divBdr>
                <w:top w:val="none" w:sz="0" w:space="0" w:color="auto"/>
                <w:left w:val="none" w:sz="0" w:space="0" w:color="auto"/>
                <w:bottom w:val="none" w:sz="0" w:space="0" w:color="auto"/>
                <w:right w:val="none" w:sz="0" w:space="0" w:color="auto"/>
              </w:divBdr>
            </w:div>
          </w:divsChild>
        </w:div>
        <w:div w:id="737436771">
          <w:marLeft w:val="0"/>
          <w:marRight w:val="0"/>
          <w:marTop w:val="120"/>
          <w:marBottom w:val="0"/>
          <w:divBdr>
            <w:top w:val="none" w:sz="0" w:space="0" w:color="auto"/>
            <w:left w:val="none" w:sz="0" w:space="0" w:color="auto"/>
            <w:bottom w:val="none" w:sz="0" w:space="0" w:color="auto"/>
            <w:right w:val="none" w:sz="0" w:space="0" w:color="auto"/>
          </w:divBdr>
          <w:divsChild>
            <w:div w:id="1150443251">
              <w:marLeft w:val="0"/>
              <w:marRight w:val="0"/>
              <w:marTop w:val="0"/>
              <w:marBottom w:val="0"/>
              <w:divBdr>
                <w:top w:val="none" w:sz="0" w:space="0" w:color="auto"/>
                <w:left w:val="none" w:sz="0" w:space="0" w:color="auto"/>
                <w:bottom w:val="none" w:sz="0" w:space="0" w:color="auto"/>
                <w:right w:val="none" w:sz="0" w:space="0" w:color="auto"/>
              </w:divBdr>
            </w:div>
          </w:divsChild>
        </w:div>
        <w:div w:id="1563754783">
          <w:marLeft w:val="0"/>
          <w:marRight w:val="0"/>
          <w:marTop w:val="120"/>
          <w:marBottom w:val="0"/>
          <w:divBdr>
            <w:top w:val="none" w:sz="0" w:space="0" w:color="auto"/>
            <w:left w:val="none" w:sz="0" w:space="0" w:color="auto"/>
            <w:bottom w:val="none" w:sz="0" w:space="0" w:color="auto"/>
            <w:right w:val="none" w:sz="0" w:space="0" w:color="auto"/>
          </w:divBdr>
          <w:divsChild>
            <w:div w:id="1510214345">
              <w:marLeft w:val="0"/>
              <w:marRight w:val="0"/>
              <w:marTop w:val="0"/>
              <w:marBottom w:val="0"/>
              <w:divBdr>
                <w:top w:val="none" w:sz="0" w:space="0" w:color="auto"/>
                <w:left w:val="none" w:sz="0" w:space="0" w:color="auto"/>
                <w:bottom w:val="none" w:sz="0" w:space="0" w:color="auto"/>
                <w:right w:val="none" w:sz="0" w:space="0" w:color="auto"/>
              </w:divBdr>
            </w:div>
          </w:divsChild>
        </w:div>
        <w:div w:id="1559900844">
          <w:marLeft w:val="0"/>
          <w:marRight w:val="0"/>
          <w:marTop w:val="120"/>
          <w:marBottom w:val="0"/>
          <w:divBdr>
            <w:top w:val="none" w:sz="0" w:space="0" w:color="auto"/>
            <w:left w:val="none" w:sz="0" w:space="0" w:color="auto"/>
            <w:bottom w:val="none" w:sz="0" w:space="0" w:color="auto"/>
            <w:right w:val="none" w:sz="0" w:space="0" w:color="auto"/>
          </w:divBdr>
          <w:divsChild>
            <w:div w:id="2077386982">
              <w:marLeft w:val="0"/>
              <w:marRight w:val="0"/>
              <w:marTop w:val="0"/>
              <w:marBottom w:val="0"/>
              <w:divBdr>
                <w:top w:val="none" w:sz="0" w:space="0" w:color="auto"/>
                <w:left w:val="none" w:sz="0" w:space="0" w:color="auto"/>
                <w:bottom w:val="none" w:sz="0" w:space="0" w:color="auto"/>
                <w:right w:val="none" w:sz="0" w:space="0" w:color="auto"/>
              </w:divBdr>
            </w:div>
          </w:divsChild>
        </w:div>
        <w:div w:id="1798720260">
          <w:marLeft w:val="0"/>
          <w:marRight w:val="0"/>
          <w:marTop w:val="120"/>
          <w:marBottom w:val="0"/>
          <w:divBdr>
            <w:top w:val="none" w:sz="0" w:space="0" w:color="auto"/>
            <w:left w:val="none" w:sz="0" w:space="0" w:color="auto"/>
            <w:bottom w:val="none" w:sz="0" w:space="0" w:color="auto"/>
            <w:right w:val="none" w:sz="0" w:space="0" w:color="auto"/>
          </w:divBdr>
          <w:divsChild>
            <w:div w:id="2056586043">
              <w:marLeft w:val="0"/>
              <w:marRight w:val="0"/>
              <w:marTop w:val="0"/>
              <w:marBottom w:val="0"/>
              <w:divBdr>
                <w:top w:val="none" w:sz="0" w:space="0" w:color="auto"/>
                <w:left w:val="none" w:sz="0" w:space="0" w:color="auto"/>
                <w:bottom w:val="none" w:sz="0" w:space="0" w:color="auto"/>
                <w:right w:val="none" w:sz="0" w:space="0" w:color="auto"/>
              </w:divBdr>
            </w:div>
          </w:divsChild>
        </w:div>
        <w:div w:id="555891466">
          <w:marLeft w:val="0"/>
          <w:marRight w:val="0"/>
          <w:marTop w:val="120"/>
          <w:marBottom w:val="0"/>
          <w:divBdr>
            <w:top w:val="none" w:sz="0" w:space="0" w:color="auto"/>
            <w:left w:val="none" w:sz="0" w:space="0" w:color="auto"/>
            <w:bottom w:val="none" w:sz="0" w:space="0" w:color="auto"/>
            <w:right w:val="none" w:sz="0" w:space="0" w:color="auto"/>
          </w:divBdr>
          <w:divsChild>
            <w:div w:id="1935477571">
              <w:marLeft w:val="0"/>
              <w:marRight w:val="0"/>
              <w:marTop w:val="0"/>
              <w:marBottom w:val="0"/>
              <w:divBdr>
                <w:top w:val="none" w:sz="0" w:space="0" w:color="auto"/>
                <w:left w:val="none" w:sz="0" w:space="0" w:color="auto"/>
                <w:bottom w:val="none" w:sz="0" w:space="0" w:color="auto"/>
                <w:right w:val="none" w:sz="0" w:space="0" w:color="auto"/>
              </w:divBdr>
            </w:div>
          </w:divsChild>
        </w:div>
        <w:div w:id="1897624613">
          <w:marLeft w:val="0"/>
          <w:marRight w:val="0"/>
          <w:marTop w:val="120"/>
          <w:marBottom w:val="0"/>
          <w:divBdr>
            <w:top w:val="none" w:sz="0" w:space="0" w:color="auto"/>
            <w:left w:val="none" w:sz="0" w:space="0" w:color="auto"/>
            <w:bottom w:val="none" w:sz="0" w:space="0" w:color="auto"/>
            <w:right w:val="none" w:sz="0" w:space="0" w:color="auto"/>
          </w:divBdr>
          <w:divsChild>
            <w:div w:id="236092601">
              <w:marLeft w:val="0"/>
              <w:marRight w:val="0"/>
              <w:marTop w:val="0"/>
              <w:marBottom w:val="0"/>
              <w:divBdr>
                <w:top w:val="none" w:sz="0" w:space="0" w:color="auto"/>
                <w:left w:val="none" w:sz="0" w:space="0" w:color="auto"/>
                <w:bottom w:val="none" w:sz="0" w:space="0" w:color="auto"/>
                <w:right w:val="none" w:sz="0" w:space="0" w:color="auto"/>
              </w:divBdr>
            </w:div>
          </w:divsChild>
        </w:div>
        <w:div w:id="1560097361">
          <w:marLeft w:val="0"/>
          <w:marRight w:val="0"/>
          <w:marTop w:val="120"/>
          <w:marBottom w:val="0"/>
          <w:divBdr>
            <w:top w:val="none" w:sz="0" w:space="0" w:color="auto"/>
            <w:left w:val="none" w:sz="0" w:space="0" w:color="auto"/>
            <w:bottom w:val="none" w:sz="0" w:space="0" w:color="auto"/>
            <w:right w:val="none" w:sz="0" w:space="0" w:color="auto"/>
          </w:divBdr>
          <w:divsChild>
            <w:div w:id="15734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4283">
      <w:bodyDiv w:val="1"/>
      <w:marLeft w:val="0"/>
      <w:marRight w:val="0"/>
      <w:marTop w:val="0"/>
      <w:marBottom w:val="0"/>
      <w:divBdr>
        <w:top w:val="none" w:sz="0" w:space="0" w:color="auto"/>
        <w:left w:val="none" w:sz="0" w:space="0" w:color="auto"/>
        <w:bottom w:val="none" w:sz="0" w:space="0" w:color="auto"/>
        <w:right w:val="none" w:sz="0" w:space="0" w:color="auto"/>
      </w:divBdr>
    </w:div>
    <w:div w:id="1483693760">
      <w:bodyDiv w:val="1"/>
      <w:marLeft w:val="0"/>
      <w:marRight w:val="0"/>
      <w:marTop w:val="0"/>
      <w:marBottom w:val="0"/>
      <w:divBdr>
        <w:top w:val="none" w:sz="0" w:space="0" w:color="auto"/>
        <w:left w:val="none" w:sz="0" w:space="0" w:color="auto"/>
        <w:bottom w:val="none" w:sz="0" w:space="0" w:color="auto"/>
        <w:right w:val="none" w:sz="0" w:space="0" w:color="auto"/>
      </w:divBdr>
    </w:div>
    <w:div w:id="1488131787">
      <w:bodyDiv w:val="1"/>
      <w:marLeft w:val="0"/>
      <w:marRight w:val="0"/>
      <w:marTop w:val="0"/>
      <w:marBottom w:val="0"/>
      <w:divBdr>
        <w:top w:val="none" w:sz="0" w:space="0" w:color="auto"/>
        <w:left w:val="none" w:sz="0" w:space="0" w:color="auto"/>
        <w:bottom w:val="none" w:sz="0" w:space="0" w:color="auto"/>
        <w:right w:val="none" w:sz="0" w:space="0" w:color="auto"/>
      </w:divBdr>
    </w:div>
    <w:div w:id="1504203056">
      <w:bodyDiv w:val="1"/>
      <w:marLeft w:val="0"/>
      <w:marRight w:val="0"/>
      <w:marTop w:val="0"/>
      <w:marBottom w:val="0"/>
      <w:divBdr>
        <w:top w:val="none" w:sz="0" w:space="0" w:color="auto"/>
        <w:left w:val="none" w:sz="0" w:space="0" w:color="auto"/>
        <w:bottom w:val="none" w:sz="0" w:space="0" w:color="auto"/>
        <w:right w:val="none" w:sz="0" w:space="0" w:color="auto"/>
      </w:divBdr>
    </w:div>
    <w:div w:id="1553694566">
      <w:bodyDiv w:val="1"/>
      <w:marLeft w:val="0"/>
      <w:marRight w:val="0"/>
      <w:marTop w:val="0"/>
      <w:marBottom w:val="0"/>
      <w:divBdr>
        <w:top w:val="none" w:sz="0" w:space="0" w:color="auto"/>
        <w:left w:val="none" w:sz="0" w:space="0" w:color="auto"/>
        <w:bottom w:val="none" w:sz="0" w:space="0" w:color="auto"/>
        <w:right w:val="none" w:sz="0" w:space="0" w:color="auto"/>
      </w:divBdr>
    </w:div>
    <w:div w:id="1559440200">
      <w:bodyDiv w:val="1"/>
      <w:marLeft w:val="0"/>
      <w:marRight w:val="0"/>
      <w:marTop w:val="0"/>
      <w:marBottom w:val="0"/>
      <w:divBdr>
        <w:top w:val="none" w:sz="0" w:space="0" w:color="auto"/>
        <w:left w:val="none" w:sz="0" w:space="0" w:color="auto"/>
        <w:bottom w:val="none" w:sz="0" w:space="0" w:color="auto"/>
        <w:right w:val="none" w:sz="0" w:space="0" w:color="auto"/>
      </w:divBdr>
    </w:div>
    <w:div w:id="1572303202">
      <w:bodyDiv w:val="1"/>
      <w:marLeft w:val="0"/>
      <w:marRight w:val="0"/>
      <w:marTop w:val="0"/>
      <w:marBottom w:val="0"/>
      <w:divBdr>
        <w:top w:val="none" w:sz="0" w:space="0" w:color="auto"/>
        <w:left w:val="none" w:sz="0" w:space="0" w:color="auto"/>
        <w:bottom w:val="none" w:sz="0" w:space="0" w:color="auto"/>
        <w:right w:val="none" w:sz="0" w:space="0" w:color="auto"/>
      </w:divBdr>
    </w:div>
    <w:div w:id="1574311681">
      <w:bodyDiv w:val="1"/>
      <w:marLeft w:val="0"/>
      <w:marRight w:val="0"/>
      <w:marTop w:val="0"/>
      <w:marBottom w:val="0"/>
      <w:divBdr>
        <w:top w:val="none" w:sz="0" w:space="0" w:color="auto"/>
        <w:left w:val="none" w:sz="0" w:space="0" w:color="auto"/>
        <w:bottom w:val="none" w:sz="0" w:space="0" w:color="auto"/>
        <w:right w:val="none" w:sz="0" w:space="0" w:color="auto"/>
      </w:divBdr>
    </w:div>
    <w:div w:id="1580823199">
      <w:bodyDiv w:val="1"/>
      <w:marLeft w:val="0"/>
      <w:marRight w:val="0"/>
      <w:marTop w:val="0"/>
      <w:marBottom w:val="0"/>
      <w:divBdr>
        <w:top w:val="none" w:sz="0" w:space="0" w:color="auto"/>
        <w:left w:val="none" w:sz="0" w:space="0" w:color="auto"/>
        <w:bottom w:val="none" w:sz="0" w:space="0" w:color="auto"/>
        <w:right w:val="none" w:sz="0" w:space="0" w:color="auto"/>
      </w:divBdr>
    </w:div>
    <w:div w:id="1607345732">
      <w:bodyDiv w:val="1"/>
      <w:marLeft w:val="0"/>
      <w:marRight w:val="0"/>
      <w:marTop w:val="0"/>
      <w:marBottom w:val="0"/>
      <w:divBdr>
        <w:top w:val="none" w:sz="0" w:space="0" w:color="auto"/>
        <w:left w:val="none" w:sz="0" w:space="0" w:color="auto"/>
        <w:bottom w:val="none" w:sz="0" w:space="0" w:color="auto"/>
        <w:right w:val="none" w:sz="0" w:space="0" w:color="auto"/>
      </w:divBdr>
    </w:div>
    <w:div w:id="1607690108">
      <w:bodyDiv w:val="1"/>
      <w:marLeft w:val="0"/>
      <w:marRight w:val="0"/>
      <w:marTop w:val="0"/>
      <w:marBottom w:val="0"/>
      <w:divBdr>
        <w:top w:val="none" w:sz="0" w:space="0" w:color="auto"/>
        <w:left w:val="none" w:sz="0" w:space="0" w:color="auto"/>
        <w:bottom w:val="none" w:sz="0" w:space="0" w:color="auto"/>
        <w:right w:val="none" w:sz="0" w:space="0" w:color="auto"/>
      </w:divBdr>
    </w:div>
    <w:div w:id="1619532358">
      <w:bodyDiv w:val="1"/>
      <w:marLeft w:val="0"/>
      <w:marRight w:val="0"/>
      <w:marTop w:val="0"/>
      <w:marBottom w:val="0"/>
      <w:divBdr>
        <w:top w:val="none" w:sz="0" w:space="0" w:color="auto"/>
        <w:left w:val="none" w:sz="0" w:space="0" w:color="auto"/>
        <w:bottom w:val="none" w:sz="0" w:space="0" w:color="auto"/>
        <w:right w:val="none" w:sz="0" w:space="0" w:color="auto"/>
      </w:divBdr>
      <w:divsChild>
        <w:div w:id="372997615">
          <w:marLeft w:val="0"/>
          <w:marRight w:val="0"/>
          <w:marTop w:val="72"/>
          <w:marBottom w:val="0"/>
          <w:divBdr>
            <w:top w:val="none" w:sz="0" w:space="0" w:color="auto"/>
            <w:left w:val="none" w:sz="0" w:space="0" w:color="auto"/>
            <w:bottom w:val="none" w:sz="0" w:space="0" w:color="auto"/>
            <w:right w:val="none" w:sz="0" w:space="0" w:color="auto"/>
          </w:divBdr>
        </w:div>
      </w:divsChild>
    </w:div>
    <w:div w:id="1619795685">
      <w:bodyDiv w:val="1"/>
      <w:marLeft w:val="0"/>
      <w:marRight w:val="0"/>
      <w:marTop w:val="0"/>
      <w:marBottom w:val="0"/>
      <w:divBdr>
        <w:top w:val="none" w:sz="0" w:space="0" w:color="auto"/>
        <w:left w:val="none" w:sz="0" w:space="0" w:color="auto"/>
        <w:bottom w:val="none" w:sz="0" w:space="0" w:color="auto"/>
        <w:right w:val="none" w:sz="0" w:space="0" w:color="auto"/>
      </w:divBdr>
    </w:div>
    <w:div w:id="1637180424">
      <w:bodyDiv w:val="1"/>
      <w:marLeft w:val="0"/>
      <w:marRight w:val="0"/>
      <w:marTop w:val="0"/>
      <w:marBottom w:val="0"/>
      <w:divBdr>
        <w:top w:val="none" w:sz="0" w:space="0" w:color="auto"/>
        <w:left w:val="none" w:sz="0" w:space="0" w:color="auto"/>
        <w:bottom w:val="none" w:sz="0" w:space="0" w:color="auto"/>
        <w:right w:val="none" w:sz="0" w:space="0" w:color="auto"/>
      </w:divBdr>
    </w:div>
    <w:div w:id="1650014982">
      <w:bodyDiv w:val="1"/>
      <w:marLeft w:val="0"/>
      <w:marRight w:val="0"/>
      <w:marTop w:val="0"/>
      <w:marBottom w:val="0"/>
      <w:divBdr>
        <w:top w:val="none" w:sz="0" w:space="0" w:color="auto"/>
        <w:left w:val="none" w:sz="0" w:space="0" w:color="auto"/>
        <w:bottom w:val="none" w:sz="0" w:space="0" w:color="auto"/>
        <w:right w:val="none" w:sz="0" w:space="0" w:color="auto"/>
      </w:divBdr>
    </w:div>
    <w:div w:id="1669866328">
      <w:bodyDiv w:val="1"/>
      <w:marLeft w:val="0"/>
      <w:marRight w:val="0"/>
      <w:marTop w:val="0"/>
      <w:marBottom w:val="0"/>
      <w:divBdr>
        <w:top w:val="none" w:sz="0" w:space="0" w:color="auto"/>
        <w:left w:val="none" w:sz="0" w:space="0" w:color="auto"/>
        <w:bottom w:val="none" w:sz="0" w:space="0" w:color="auto"/>
        <w:right w:val="none" w:sz="0" w:space="0" w:color="auto"/>
      </w:divBdr>
    </w:div>
    <w:div w:id="1670407599">
      <w:bodyDiv w:val="1"/>
      <w:marLeft w:val="0"/>
      <w:marRight w:val="0"/>
      <w:marTop w:val="0"/>
      <w:marBottom w:val="0"/>
      <w:divBdr>
        <w:top w:val="none" w:sz="0" w:space="0" w:color="auto"/>
        <w:left w:val="none" w:sz="0" w:space="0" w:color="auto"/>
        <w:bottom w:val="none" w:sz="0" w:space="0" w:color="auto"/>
        <w:right w:val="none" w:sz="0" w:space="0" w:color="auto"/>
      </w:divBdr>
    </w:div>
    <w:div w:id="1677224541">
      <w:bodyDiv w:val="1"/>
      <w:marLeft w:val="0"/>
      <w:marRight w:val="0"/>
      <w:marTop w:val="0"/>
      <w:marBottom w:val="0"/>
      <w:divBdr>
        <w:top w:val="none" w:sz="0" w:space="0" w:color="auto"/>
        <w:left w:val="none" w:sz="0" w:space="0" w:color="auto"/>
        <w:bottom w:val="none" w:sz="0" w:space="0" w:color="auto"/>
        <w:right w:val="none" w:sz="0" w:space="0" w:color="auto"/>
      </w:divBdr>
    </w:div>
    <w:div w:id="1683970767">
      <w:bodyDiv w:val="1"/>
      <w:marLeft w:val="0"/>
      <w:marRight w:val="0"/>
      <w:marTop w:val="0"/>
      <w:marBottom w:val="0"/>
      <w:divBdr>
        <w:top w:val="none" w:sz="0" w:space="0" w:color="auto"/>
        <w:left w:val="none" w:sz="0" w:space="0" w:color="auto"/>
        <w:bottom w:val="none" w:sz="0" w:space="0" w:color="auto"/>
        <w:right w:val="none" w:sz="0" w:space="0" w:color="auto"/>
      </w:divBdr>
    </w:div>
    <w:div w:id="1688630608">
      <w:bodyDiv w:val="1"/>
      <w:marLeft w:val="0"/>
      <w:marRight w:val="0"/>
      <w:marTop w:val="0"/>
      <w:marBottom w:val="0"/>
      <w:divBdr>
        <w:top w:val="none" w:sz="0" w:space="0" w:color="auto"/>
        <w:left w:val="none" w:sz="0" w:space="0" w:color="auto"/>
        <w:bottom w:val="none" w:sz="0" w:space="0" w:color="auto"/>
        <w:right w:val="none" w:sz="0" w:space="0" w:color="auto"/>
      </w:divBdr>
    </w:div>
    <w:div w:id="1689596637">
      <w:bodyDiv w:val="1"/>
      <w:marLeft w:val="0"/>
      <w:marRight w:val="0"/>
      <w:marTop w:val="0"/>
      <w:marBottom w:val="0"/>
      <w:divBdr>
        <w:top w:val="none" w:sz="0" w:space="0" w:color="auto"/>
        <w:left w:val="none" w:sz="0" w:space="0" w:color="auto"/>
        <w:bottom w:val="none" w:sz="0" w:space="0" w:color="auto"/>
        <w:right w:val="none" w:sz="0" w:space="0" w:color="auto"/>
      </w:divBdr>
    </w:div>
    <w:div w:id="1706906842">
      <w:bodyDiv w:val="1"/>
      <w:marLeft w:val="0"/>
      <w:marRight w:val="0"/>
      <w:marTop w:val="0"/>
      <w:marBottom w:val="0"/>
      <w:divBdr>
        <w:top w:val="none" w:sz="0" w:space="0" w:color="auto"/>
        <w:left w:val="none" w:sz="0" w:space="0" w:color="auto"/>
        <w:bottom w:val="none" w:sz="0" w:space="0" w:color="auto"/>
        <w:right w:val="none" w:sz="0" w:space="0" w:color="auto"/>
      </w:divBdr>
    </w:div>
    <w:div w:id="1706910338">
      <w:bodyDiv w:val="1"/>
      <w:marLeft w:val="0"/>
      <w:marRight w:val="0"/>
      <w:marTop w:val="0"/>
      <w:marBottom w:val="0"/>
      <w:divBdr>
        <w:top w:val="none" w:sz="0" w:space="0" w:color="auto"/>
        <w:left w:val="none" w:sz="0" w:space="0" w:color="auto"/>
        <w:bottom w:val="none" w:sz="0" w:space="0" w:color="auto"/>
        <w:right w:val="none" w:sz="0" w:space="0" w:color="auto"/>
      </w:divBdr>
    </w:div>
    <w:div w:id="1722631264">
      <w:bodyDiv w:val="1"/>
      <w:marLeft w:val="0"/>
      <w:marRight w:val="0"/>
      <w:marTop w:val="0"/>
      <w:marBottom w:val="0"/>
      <w:divBdr>
        <w:top w:val="none" w:sz="0" w:space="0" w:color="auto"/>
        <w:left w:val="none" w:sz="0" w:space="0" w:color="auto"/>
        <w:bottom w:val="none" w:sz="0" w:space="0" w:color="auto"/>
        <w:right w:val="none" w:sz="0" w:space="0" w:color="auto"/>
      </w:divBdr>
    </w:div>
    <w:div w:id="1738624434">
      <w:bodyDiv w:val="1"/>
      <w:marLeft w:val="0"/>
      <w:marRight w:val="0"/>
      <w:marTop w:val="0"/>
      <w:marBottom w:val="0"/>
      <w:divBdr>
        <w:top w:val="none" w:sz="0" w:space="0" w:color="auto"/>
        <w:left w:val="none" w:sz="0" w:space="0" w:color="auto"/>
        <w:bottom w:val="none" w:sz="0" w:space="0" w:color="auto"/>
        <w:right w:val="none" w:sz="0" w:space="0" w:color="auto"/>
      </w:divBdr>
    </w:div>
    <w:div w:id="1750615997">
      <w:bodyDiv w:val="1"/>
      <w:marLeft w:val="0"/>
      <w:marRight w:val="0"/>
      <w:marTop w:val="0"/>
      <w:marBottom w:val="0"/>
      <w:divBdr>
        <w:top w:val="none" w:sz="0" w:space="0" w:color="auto"/>
        <w:left w:val="none" w:sz="0" w:space="0" w:color="auto"/>
        <w:bottom w:val="none" w:sz="0" w:space="0" w:color="auto"/>
        <w:right w:val="none" w:sz="0" w:space="0" w:color="auto"/>
      </w:divBdr>
    </w:div>
    <w:div w:id="1755937210">
      <w:bodyDiv w:val="1"/>
      <w:marLeft w:val="0"/>
      <w:marRight w:val="0"/>
      <w:marTop w:val="0"/>
      <w:marBottom w:val="0"/>
      <w:divBdr>
        <w:top w:val="none" w:sz="0" w:space="0" w:color="auto"/>
        <w:left w:val="none" w:sz="0" w:space="0" w:color="auto"/>
        <w:bottom w:val="none" w:sz="0" w:space="0" w:color="auto"/>
        <w:right w:val="none" w:sz="0" w:space="0" w:color="auto"/>
      </w:divBdr>
    </w:div>
    <w:div w:id="1764453971">
      <w:bodyDiv w:val="1"/>
      <w:marLeft w:val="0"/>
      <w:marRight w:val="0"/>
      <w:marTop w:val="0"/>
      <w:marBottom w:val="0"/>
      <w:divBdr>
        <w:top w:val="none" w:sz="0" w:space="0" w:color="auto"/>
        <w:left w:val="none" w:sz="0" w:space="0" w:color="auto"/>
        <w:bottom w:val="none" w:sz="0" w:space="0" w:color="auto"/>
        <w:right w:val="none" w:sz="0" w:space="0" w:color="auto"/>
      </w:divBdr>
    </w:div>
    <w:div w:id="1790587095">
      <w:bodyDiv w:val="1"/>
      <w:marLeft w:val="0"/>
      <w:marRight w:val="0"/>
      <w:marTop w:val="0"/>
      <w:marBottom w:val="0"/>
      <w:divBdr>
        <w:top w:val="none" w:sz="0" w:space="0" w:color="auto"/>
        <w:left w:val="none" w:sz="0" w:space="0" w:color="auto"/>
        <w:bottom w:val="none" w:sz="0" w:space="0" w:color="auto"/>
        <w:right w:val="none" w:sz="0" w:space="0" w:color="auto"/>
      </w:divBdr>
    </w:div>
    <w:div w:id="1807701417">
      <w:bodyDiv w:val="1"/>
      <w:marLeft w:val="0"/>
      <w:marRight w:val="0"/>
      <w:marTop w:val="0"/>
      <w:marBottom w:val="0"/>
      <w:divBdr>
        <w:top w:val="none" w:sz="0" w:space="0" w:color="auto"/>
        <w:left w:val="none" w:sz="0" w:space="0" w:color="auto"/>
        <w:bottom w:val="none" w:sz="0" w:space="0" w:color="auto"/>
        <w:right w:val="none" w:sz="0" w:space="0" w:color="auto"/>
      </w:divBdr>
    </w:div>
    <w:div w:id="1809543272">
      <w:bodyDiv w:val="1"/>
      <w:marLeft w:val="0"/>
      <w:marRight w:val="0"/>
      <w:marTop w:val="0"/>
      <w:marBottom w:val="0"/>
      <w:divBdr>
        <w:top w:val="none" w:sz="0" w:space="0" w:color="auto"/>
        <w:left w:val="none" w:sz="0" w:space="0" w:color="auto"/>
        <w:bottom w:val="none" w:sz="0" w:space="0" w:color="auto"/>
        <w:right w:val="none" w:sz="0" w:space="0" w:color="auto"/>
      </w:divBdr>
    </w:div>
    <w:div w:id="1823429765">
      <w:bodyDiv w:val="1"/>
      <w:marLeft w:val="0"/>
      <w:marRight w:val="0"/>
      <w:marTop w:val="0"/>
      <w:marBottom w:val="0"/>
      <w:divBdr>
        <w:top w:val="none" w:sz="0" w:space="0" w:color="auto"/>
        <w:left w:val="none" w:sz="0" w:space="0" w:color="auto"/>
        <w:bottom w:val="none" w:sz="0" w:space="0" w:color="auto"/>
        <w:right w:val="none" w:sz="0" w:space="0" w:color="auto"/>
      </w:divBdr>
    </w:div>
    <w:div w:id="1827089063">
      <w:bodyDiv w:val="1"/>
      <w:marLeft w:val="0"/>
      <w:marRight w:val="0"/>
      <w:marTop w:val="0"/>
      <w:marBottom w:val="0"/>
      <w:divBdr>
        <w:top w:val="none" w:sz="0" w:space="0" w:color="auto"/>
        <w:left w:val="none" w:sz="0" w:space="0" w:color="auto"/>
        <w:bottom w:val="none" w:sz="0" w:space="0" w:color="auto"/>
        <w:right w:val="none" w:sz="0" w:space="0" w:color="auto"/>
      </w:divBdr>
    </w:div>
    <w:div w:id="1842118020">
      <w:bodyDiv w:val="1"/>
      <w:marLeft w:val="0"/>
      <w:marRight w:val="0"/>
      <w:marTop w:val="0"/>
      <w:marBottom w:val="0"/>
      <w:divBdr>
        <w:top w:val="none" w:sz="0" w:space="0" w:color="auto"/>
        <w:left w:val="none" w:sz="0" w:space="0" w:color="auto"/>
        <w:bottom w:val="none" w:sz="0" w:space="0" w:color="auto"/>
        <w:right w:val="none" w:sz="0" w:space="0" w:color="auto"/>
      </w:divBdr>
    </w:div>
    <w:div w:id="1872573117">
      <w:bodyDiv w:val="1"/>
      <w:marLeft w:val="0"/>
      <w:marRight w:val="0"/>
      <w:marTop w:val="0"/>
      <w:marBottom w:val="0"/>
      <w:divBdr>
        <w:top w:val="none" w:sz="0" w:space="0" w:color="auto"/>
        <w:left w:val="none" w:sz="0" w:space="0" w:color="auto"/>
        <w:bottom w:val="none" w:sz="0" w:space="0" w:color="auto"/>
        <w:right w:val="none" w:sz="0" w:space="0" w:color="auto"/>
      </w:divBdr>
    </w:div>
    <w:div w:id="1877740624">
      <w:bodyDiv w:val="1"/>
      <w:marLeft w:val="0"/>
      <w:marRight w:val="0"/>
      <w:marTop w:val="0"/>
      <w:marBottom w:val="0"/>
      <w:divBdr>
        <w:top w:val="none" w:sz="0" w:space="0" w:color="auto"/>
        <w:left w:val="none" w:sz="0" w:space="0" w:color="auto"/>
        <w:bottom w:val="none" w:sz="0" w:space="0" w:color="auto"/>
        <w:right w:val="none" w:sz="0" w:space="0" w:color="auto"/>
      </w:divBdr>
    </w:div>
    <w:div w:id="1890724859">
      <w:bodyDiv w:val="1"/>
      <w:marLeft w:val="0"/>
      <w:marRight w:val="0"/>
      <w:marTop w:val="0"/>
      <w:marBottom w:val="0"/>
      <w:divBdr>
        <w:top w:val="none" w:sz="0" w:space="0" w:color="auto"/>
        <w:left w:val="none" w:sz="0" w:space="0" w:color="auto"/>
        <w:bottom w:val="none" w:sz="0" w:space="0" w:color="auto"/>
        <w:right w:val="none" w:sz="0" w:space="0" w:color="auto"/>
      </w:divBdr>
    </w:div>
    <w:div w:id="1892303943">
      <w:bodyDiv w:val="1"/>
      <w:marLeft w:val="0"/>
      <w:marRight w:val="0"/>
      <w:marTop w:val="0"/>
      <w:marBottom w:val="0"/>
      <w:divBdr>
        <w:top w:val="none" w:sz="0" w:space="0" w:color="auto"/>
        <w:left w:val="none" w:sz="0" w:space="0" w:color="auto"/>
        <w:bottom w:val="none" w:sz="0" w:space="0" w:color="auto"/>
        <w:right w:val="none" w:sz="0" w:space="0" w:color="auto"/>
      </w:divBdr>
    </w:div>
    <w:div w:id="1893272134">
      <w:bodyDiv w:val="1"/>
      <w:marLeft w:val="0"/>
      <w:marRight w:val="0"/>
      <w:marTop w:val="0"/>
      <w:marBottom w:val="0"/>
      <w:divBdr>
        <w:top w:val="none" w:sz="0" w:space="0" w:color="auto"/>
        <w:left w:val="none" w:sz="0" w:space="0" w:color="auto"/>
        <w:bottom w:val="none" w:sz="0" w:space="0" w:color="auto"/>
        <w:right w:val="none" w:sz="0" w:space="0" w:color="auto"/>
      </w:divBdr>
    </w:div>
    <w:div w:id="1912230271">
      <w:bodyDiv w:val="1"/>
      <w:marLeft w:val="0"/>
      <w:marRight w:val="0"/>
      <w:marTop w:val="0"/>
      <w:marBottom w:val="0"/>
      <w:divBdr>
        <w:top w:val="none" w:sz="0" w:space="0" w:color="auto"/>
        <w:left w:val="none" w:sz="0" w:space="0" w:color="auto"/>
        <w:bottom w:val="none" w:sz="0" w:space="0" w:color="auto"/>
        <w:right w:val="none" w:sz="0" w:space="0" w:color="auto"/>
      </w:divBdr>
    </w:div>
    <w:div w:id="1923832079">
      <w:bodyDiv w:val="1"/>
      <w:marLeft w:val="0"/>
      <w:marRight w:val="0"/>
      <w:marTop w:val="0"/>
      <w:marBottom w:val="0"/>
      <w:divBdr>
        <w:top w:val="none" w:sz="0" w:space="0" w:color="auto"/>
        <w:left w:val="none" w:sz="0" w:space="0" w:color="auto"/>
        <w:bottom w:val="none" w:sz="0" w:space="0" w:color="auto"/>
        <w:right w:val="none" w:sz="0" w:space="0" w:color="auto"/>
      </w:divBdr>
    </w:div>
    <w:div w:id="1935477521">
      <w:bodyDiv w:val="1"/>
      <w:marLeft w:val="0"/>
      <w:marRight w:val="0"/>
      <w:marTop w:val="0"/>
      <w:marBottom w:val="0"/>
      <w:divBdr>
        <w:top w:val="none" w:sz="0" w:space="0" w:color="auto"/>
        <w:left w:val="none" w:sz="0" w:space="0" w:color="auto"/>
        <w:bottom w:val="none" w:sz="0" w:space="0" w:color="auto"/>
        <w:right w:val="none" w:sz="0" w:space="0" w:color="auto"/>
      </w:divBdr>
    </w:div>
    <w:div w:id="1941178919">
      <w:bodyDiv w:val="1"/>
      <w:marLeft w:val="0"/>
      <w:marRight w:val="0"/>
      <w:marTop w:val="0"/>
      <w:marBottom w:val="0"/>
      <w:divBdr>
        <w:top w:val="none" w:sz="0" w:space="0" w:color="auto"/>
        <w:left w:val="none" w:sz="0" w:space="0" w:color="auto"/>
        <w:bottom w:val="none" w:sz="0" w:space="0" w:color="auto"/>
        <w:right w:val="none" w:sz="0" w:space="0" w:color="auto"/>
      </w:divBdr>
    </w:div>
    <w:div w:id="1974170444">
      <w:bodyDiv w:val="1"/>
      <w:marLeft w:val="0"/>
      <w:marRight w:val="0"/>
      <w:marTop w:val="0"/>
      <w:marBottom w:val="0"/>
      <w:divBdr>
        <w:top w:val="none" w:sz="0" w:space="0" w:color="auto"/>
        <w:left w:val="none" w:sz="0" w:space="0" w:color="auto"/>
        <w:bottom w:val="none" w:sz="0" w:space="0" w:color="auto"/>
        <w:right w:val="none" w:sz="0" w:space="0" w:color="auto"/>
      </w:divBdr>
    </w:div>
    <w:div w:id="1981570833">
      <w:bodyDiv w:val="1"/>
      <w:marLeft w:val="0"/>
      <w:marRight w:val="0"/>
      <w:marTop w:val="0"/>
      <w:marBottom w:val="0"/>
      <w:divBdr>
        <w:top w:val="none" w:sz="0" w:space="0" w:color="auto"/>
        <w:left w:val="none" w:sz="0" w:space="0" w:color="auto"/>
        <w:bottom w:val="none" w:sz="0" w:space="0" w:color="auto"/>
        <w:right w:val="none" w:sz="0" w:space="0" w:color="auto"/>
      </w:divBdr>
    </w:div>
    <w:div w:id="1997102424">
      <w:bodyDiv w:val="1"/>
      <w:marLeft w:val="0"/>
      <w:marRight w:val="0"/>
      <w:marTop w:val="0"/>
      <w:marBottom w:val="0"/>
      <w:divBdr>
        <w:top w:val="none" w:sz="0" w:space="0" w:color="auto"/>
        <w:left w:val="none" w:sz="0" w:space="0" w:color="auto"/>
        <w:bottom w:val="none" w:sz="0" w:space="0" w:color="auto"/>
        <w:right w:val="none" w:sz="0" w:space="0" w:color="auto"/>
      </w:divBdr>
    </w:div>
    <w:div w:id="2014601641">
      <w:bodyDiv w:val="1"/>
      <w:marLeft w:val="0"/>
      <w:marRight w:val="0"/>
      <w:marTop w:val="0"/>
      <w:marBottom w:val="0"/>
      <w:divBdr>
        <w:top w:val="none" w:sz="0" w:space="0" w:color="auto"/>
        <w:left w:val="none" w:sz="0" w:space="0" w:color="auto"/>
        <w:bottom w:val="none" w:sz="0" w:space="0" w:color="auto"/>
        <w:right w:val="none" w:sz="0" w:space="0" w:color="auto"/>
      </w:divBdr>
    </w:div>
    <w:div w:id="2026200721">
      <w:bodyDiv w:val="1"/>
      <w:marLeft w:val="0"/>
      <w:marRight w:val="0"/>
      <w:marTop w:val="0"/>
      <w:marBottom w:val="0"/>
      <w:divBdr>
        <w:top w:val="none" w:sz="0" w:space="0" w:color="auto"/>
        <w:left w:val="none" w:sz="0" w:space="0" w:color="auto"/>
        <w:bottom w:val="none" w:sz="0" w:space="0" w:color="auto"/>
        <w:right w:val="none" w:sz="0" w:space="0" w:color="auto"/>
      </w:divBdr>
    </w:div>
    <w:div w:id="2031298510">
      <w:bodyDiv w:val="1"/>
      <w:marLeft w:val="0"/>
      <w:marRight w:val="0"/>
      <w:marTop w:val="0"/>
      <w:marBottom w:val="0"/>
      <w:divBdr>
        <w:top w:val="none" w:sz="0" w:space="0" w:color="auto"/>
        <w:left w:val="none" w:sz="0" w:space="0" w:color="auto"/>
        <w:bottom w:val="none" w:sz="0" w:space="0" w:color="auto"/>
        <w:right w:val="none" w:sz="0" w:space="0" w:color="auto"/>
      </w:divBdr>
    </w:div>
    <w:div w:id="2034914849">
      <w:bodyDiv w:val="1"/>
      <w:marLeft w:val="0"/>
      <w:marRight w:val="0"/>
      <w:marTop w:val="0"/>
      <w:marBottom w:val="0"/>
      <w:divBdr>
        <w:top w:val="none" w:sz="0" w:space="0" w:color="auto"/>
        <w:left w:val="none" w:sz="0" w:space="0" w:color="auto"/>
        <w:bottom w:val="none" w:sz="0" w:space="0" w:color="auto"/>
        <w:right w:val="none" w:sz="0" w:space="0" w:color="auto"/>
      </w:divBdr>
    </w:div>
    <w:div w:id="2039043275">
      <w:bodyDiv w:val="1"/>
      <w:marLeft w:val="0"/>
      <w:marRight w:val="0"/>
      <w:marTop w:val="0"/>
      <w:marBottom w:val="0"/>
      <w:divBdr>
        <w:top w:val="none" w:sz="0" w:space="0" w:color="auto"/>
        <w:left w:val="none" w:sz="0" w:space="0" w:color="auto"/>
        <w:bottom w:val="none" w:sz="0" w:space="0" w:color="auto"/>
        <w:right w:val="none" w:sz="0" w:space="0" w:color="auto"/>
      </w:divBdr>
    </w:div>
    <w:div w:id="2062173066">
      <w:bodyDiv w:val="1"/>
      <w:marLeft w:val="0"/>
      <w:marRight w:val="0"/>
      <w:marTop w:val="0"/>
      <w:marBottom w:val="0"/>
      <w:divBdr>
        <w:top w:val="none" w:sz="0" w:space="0" w:color="auto"/>
        <w:left w:val="none" w:sz="0" w:space="0" w:color="auto"/>
        <w:bottom w:val="none" w:sz="0" w:space="0" w:color="auto"/>
        <w:right w:val="none" w:sz="0" w:space="0" w:color="auto"/>
      </w:divBdr>
    </w:div>
    <w:div w:id="2074424239">
      <w:bodyDiv w:val="1"/>
      <w:marLeft w:val="0"/>
      <w:marRight w:val="0"/>
      <w:marTop w:val="0"/>
      <w:marBottom w:val="0"/>
      <w:divBdr>
        <w:top w:val="none" w:sz="0" w:space="0" w:color="auto"/>
        <w:left w:val="none" w:sz="0" w:space="0" w:color="auto"/>
        <w:bottom w:val="none" w:sz="0" w:space="0" w:color="auto"/>
        <w:right w:val="none" w:sz="0" w:space="0" w:color="auto"/>
      </w:divBdr>
    </w:div>
    <w:div w:id="2115587902">
      <w:bodyDiv w:val="1"/>
      <w:marLeft w:val="0"/>
      <w:marRight w:val="0"/>
      <w:marTop w:val="0"/>
      <w:marBottom w:val="0"/>
      <w:divBdr>
        <w:top w:val="none" w:sz="0" w:space="0" w:color="auto"/>
        <w:left w:val="none" w:sz="0" w:space="0" w:color="auto"/>
        <w:bottom w:val="none" w:sz="0" w:space="0" w:color="auto"/>
        <w:right w:val="none" w:sz="0" w:space="0" w:color="auto"/>
      </w:divBdr>
    </w:div>
    <w:div w:id="2119832216">
      <w:bodyDiv w:val="1"/>
      <w:marLeft w:val="0"/>
      <w:marRight w:val="0"/>
      <w:marTop w:val="0"/>
      <w:marBottom w:val="0"/>
      <w:divBdr>
        <w:top w:val="none" w:sz="0" w:space="0" w:color="auto"/>
        <w:left w:val="none" w:sz="0" w:space="0" w:color="auto"/>
        <w:bottom w:val="none" w:sz="0" w:space="0" w:color="auto"/>
        <w:right w:val="none" w:sz="0" w:space="0" w:color="auto"/>
      </w:divBdr>
    </w:div>
    <w:div w:id="2125036687">
      <w:bodyDiv w:val="1"/>
      <w:marLeft w:val="0"/>
      <w:marRight w:val="0"/>
      <w:marTop w:val="0"/>
      <w:marBottom w:val="0"/>
      <w:divBdr>
        <w:top w:val="none" w:sz="0" w:space="0" w:color="auto"/>
        <w:left w:val="none" w:sz="0" w:space="0" w:color="auto"/>
        <w:bottom w:val="none" w:sz="0" w:space="0" w:color="auto"/>
        <w:right w:val="none" w:sz="0" w:space="0" w:color="auto"/>
      </w:divBdr>
    </w:div>
    <w:div w:id="2131632974">
      <w:bodyDiv w:val="1"/>
      <w:marLeft w:val="0"/>
      <w:marRight w:val="0"/>
      <w:marTop w:val="0"/>
      <w:marBottom w:val="0"/>
      <w:divBdr>
        <w:top w:val="none" w:sz="0" w:space="0" w:color="auto"/>
        <w:left w:val="none" w:sz="0" w:space="0" w:color="auto"/>
        <w:bottom w:val="none" w:sz="0" w:space="0" w:color="auto"/>
        <w:right w:val="none" w:sz="0" w:space="0" w:color="auto"/>
      </w:divBdr>
    </w:div>
    <w:div w:id="2132288013">
      <w:bodyDiv w:val="1"/>
      <w:marLeft w:val="0"/>
      <w:marRight w:val="0"/>
      <w:marTop w:val="0"/>
      <w:marBottom w:val="0"/>
      <w:divBdr>
        <w:top w:val="none" w:sz="0" w:space="0" w:color="auto"/>
        <w:left w:val="none" w:sz="0" w:space="0" w:color="auto"/>
        <w:bottom w:val="none" w:sz="0" w:space="0" w:color="auto"/>
        <w:right w:val="none" w:sz="0" w:space="0" w:color="auto"/>
      </w:divBdr>
    </w:div>
    <w:div w:id="213335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ccj.ro/2022/11/29/decizia-nr-67-din-25-octombrie-2022/" TargetMode="External"/><Relationship Id="rId2" Type="http://schemas.openxmlformats.org/officeDocument/2006/relationships/hyperlink" Target="http://www.juridice.ro" TargetMode="External"/><Relationship Id="rId1" Type="http://schemas.openxmlformats.org/officeDocument/2006/relationships/hyperlink" Target="http://www.juridic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76F8B-F9CE-E142-898B-66735B58C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9120</Words>
  <Characters>51986</Characters>
  <Application>Microsoft Office Word</Application>
  <DocSecurity>4</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60985</CharactersWithSpaces>
  <SharedDoc>false</SharedDoc>
  <HLinks>
    <vt:vector size="42" baseType="variant">
      <vt:variant>
        <vt:i4>3145854</vt:i4>
      </vt:variant>
      <vt:variant>
        <vt:i4>18</vt:i4>
      </vt:variant>
      <vt:variant>
        <vt:i4>0</vt:i4>
      </vt:variant>
      <vt:variant>
        <vt:i4>5</vt:i4>
      </vt:variant>
      <vt:variant>
        <vt:lpwstr>http://www.risco.ro/verifica-firma/evabereli-production-cui-7722859</vt:lpwstr>
      </vt:variant>
      <vt:variant>
        <vt:lpwstr/>
      </vt:variant>
      <vt:variant>
        <vt:i4>3473507</vt:i4>
      </vt:variant>
      <vt:variant>
        <vt:i4>15</vt:i4>
      </vt:variant>
      <vt:variant>
        <vt:i4>0</vt:i4>
      </vt:variant>
      <vt:variant>
        <vt:i4>5</vt:i4>
      </vt:variant>
      <vt:variant>
        <vt:lpwstr>http://www.societe.com/</vt:lpwstr>
      </vt:variant>
      <vt:variant>
        <vt:lpwstr/>
      </vt:variant>
      <vt:variant>
        <vt:i4>3473507</vt:i4>
      </vt:variant>
      <vt:variant>
        <vt:i4>12</vt:i4>
      </vt:variant>
      <vt:variant>
        <vt:i4>0</vt:i4>
      </vt:variant>
      <vt:variant>
        <vt:i4>5</vt:i4>
      </vt:variant>
      <vt:variant>
        <vt:lpwstr>http://www.societe.com/</vt:lpwstr>
      </vt:variant>
      <vt:variant>
        <vt:lpwstr/>
      </vt:variant>
      <vt:variant>
        <vt:i4>3145854</vt:i4>
      </vt:variant>
      <vt:variant>
        <vt:i4>9</vt:i4>
      </vt:variant>
      <vt:variant>
        <vt:i4>0</vt:i4>
      </vt:variant>
      <vt:variant>
        <vt:i4>5</vt:i4>
      </vt:variant>
      <vt:variant>
        <vt:lpwstr>http://www.risco.ro/verifica-firma/evabereli-production-cui-7722859</vt:lpwstr>
      </vt:variant>
      <vt:variant>
        <vt:lpwstr/>
      </vt:variant>
      <vt:variant>
        <vt:i4>3473507</vt:i4>
      </vt:variant>
      <vt:variant>
        <vt:i4>6</vt:i4>
      </vt:variant>
      <vt:variant>
        <vt:i4>0</vt:i4>
      </vt:variant>
      <vt:variant>
        <vt:i4>5</vt:i4>
      </vt:variant>
      <vt:variant>
        <vt:lpwstr>http://www.societe.com/</vt:lpwstr>
      </vt:variant>
      <vt:variant>
        <vt:lpwstr/>
      </vt:variant>
      <vt:variant>
        <vt:i4>3473507</vt:i4>
      </vt:variant>
      <vt:variant>
        <vt:i4>3</vt:i4>
      </vt:variant>
      <vt:variant>
        <vt:i4>0</vt:i4>
      </vt:variant>
      <vt:variant>
        <vt:i4>5</vt:i4>
      </vt:variant>
      <vt:variant>
        <vt:lpwstr>http://www.societe.com/</vt:lpwstr>
      </vt:variant>
      <vt:variant>
        <vt:lpwstr/>
      </vt:variant>
      <vt:variant>
        <vt:i4>1376296</vt:i4>
      </vt:variant>
      <vt:variant>
        <vt:i4>0</vt:i4>
      </vt:variant>
      <vt:variant>
        <vt:i4>0</vt:i4>
      </vt:variant>
      <vt:variant>
        <vt:i4>5</vt:i4>
      </vt:variant>
      <vt:variant>
        <vt:lpwstr>mailto:simonaniculaie@yahoo.com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Uscov</dc:creator>
  <cp:lastModifiedBy>Alina PINTICA</cp:lastModifiedBy>
  <cp:revision>2</cp:revision>
  <cp:lastPrinted>2022-07-07T07:09:00Z</cp:lastPrinted>
  <dcterms:created xsi:type="dcterms:W3CDTF">2023-04-10T16:53:00Z</dcterms:created>
  <dcterms:modified xsi:type="dcterms:W3CDTF">2023-04-10T16:53:00Z</dcterms:modified>
</cp:coreProperties>
</file>