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E4938"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E4938"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E4938" w:rsidRDefault="001454E9" w:rsidP="00E21C89">
            <w:pPr>
              <w:pStyle w:val="EYDocumentpromptsbold"/>
              <w:rPr>
                <w:rFonts w:ascii="Arial" w:hAnsi="Arial" w:cs="Arial"/>
                <w:b w:val="0"/>
                <w:sz w:val="22"/>
                <w:szCs w:val="22"/>
              </w:rPr>
            </w:pPr>
          </w:p>
          <w:p w14:paraId="3AF138F8" w14:textId="77777777" w:rsidR="001454E9" w:rsidRPr="005E1F79" w:rsidRDefault="001454E9" w:rsidP="00E21C89">
            <w:pPr>
              <w:pStyle w:val="EYDocumentpromptsbold"/>
              <w:rPr>
                <w:rFonts w:ascii="Arial" w:hAnsi="Arial" w:cs="Arial"/>
                <w:b w:val="0"/>
                <w:sz w:val="32"/>
                <w:szCs w:val="32"/>
              </w:rPr>
            </w:pPr>
          </w:p>
          <w:p w14:paraId="53236320" w14:textId="4727C99E" w:rsidR="001454E9" w:rsidRPr="005E1F79" w:rsidRDefault="001454E9" w:rsidP="00E21C89">
            <w:pPr>
              <w:pStyle w:val="EYDocumentpromptsbold"/>
              <w:rPr>
                <w:rFonts w:ascii="Arial" w:hAnsi="Arial" w:cs="Arial"/>
                <w:b w:val="0"/>
                <w:sz w:val="32"/>
                <w:szCs w:val="32"/>
              </w:rPr>
            </w:pPr>
            <w:r w:rsidRPr="005E1F79">
              <w:rPr>
                <w:rFonts w:ascii="Arial" w:hAnsi="Arial" w:cs="Arial"/>
                <w:b w:val="0"/>
                <w:sz w:val="32"/>
                <w:szCs w:val="32"/>
              </w:rPr>
              <w:t>Punct de vedere</w:t>
            </w:r>
          </w:p>
          <w:p w14:paraId="542FE407" w14:textId="77777777" w:rsidR="001454E9" w:rsidRPr="005E1F79" w:rsidRDefault="001454E9" w:rsidP="00E21C89">
            <w:pPr>
              <w:pStyle w:val="EYDocumentpromptsbold"/>
              <w:rPr>
                <w:rFonts w:ascii="Arial" w:hAnsi="Arial" w:cs="Arial"/>
                <w:bCs/>
                <w:sz w:val="22"/>
                <w:szCs w:val="22"/>
              </w:rPr>
            </w:pPr>
          </w:p>
          <w:p w14:paraId="4C4BD2BC" w14:textId="357A6DC6" w:rsidR="001454E9" w:rsidRPr="005E1F79" w:rsidRDefault="002C023C" w:rsidP="00296658">
            <w:pPr>
              <w:pStyle w:val="EYDocumentpromptsbold"/>
              <w:rPr>
                <w:rFonts w:ascii="Arial" w:hAnsi="Arial" w:cs="Arial"/>
                <w:b w:val="0"/>
                <w:szCs w:val="20"/>
                <w:highlight w:val="yellow"/>
              </w:rPr>
            </w:pPr>
            <w:r>
              <w:rPr>
                <w:rFonts w:ascii="Arial" w:hAnsi="Arial" w:cs="Arial"/>
                <w:bCs/>
                <w:szCs w:val="20"/>
              </w:rPr>
              <w:t>3</w:t>
            </w:r>
            <w:r w:rsidR="001C01DB">
              <w:rPr>
                <w:rFonts w:ascii="Arial" w:hAnsi="Arial" w:cs="Arial"/>
                <w:bCs/>
                <w:szCs w:val="20"/>
              </w:rPr>
              <w:t xml:space="preserve"> </w:t>
            </w:r>
            <w:r w:rsidR="008611F7">
              <w:rPr>
                <w:rFonts w:ascii="Arial" w:hAnsi="Arial" w:cs="Arial"/>
                <w:bCs/>
                <w:szCs w:val="20"/>
              </w:rPr>
              <w:t>marti</w:t>
            </w:r>
            <w:r w:rsidR="001A525D" w:rsidRPr="005E1F79">
              <w:rPr>
                <w:rFonts w:ascii="Arial" w:hAnsi="Arial" w:cs="Arial"/>
                <w:bCs/>
                <w:szCs w:val="20"/>
              </w:rPr>
              <w:t xml:space="preserve">e </w:t>
            </w:r>
            <w:r w:rsidR="001454E9" w:rsidRPr="005E1F79">
              <w:rPr>
                <w:rFonts w:ascii="Arial" w:hAnsi="Arial" w:cs="Arial"/>
                <w:bCs/>
                <w:szCs w:val="20"/>
              </w:rPr>
              <w:t>202</w:t>
            </w:r>
            <w:r w:rsidR="00B67292" w:rsidRPr="005E1F79">
              <w:rPr>
                <w:rFonts w:ascii="Arial" w:hAnsi="Arial" w:cs="Arial"/>
                <w:bCs/>
                <w:szCs w:val="20"/>
              </w:rPr>
              <w:t>2</w:t>
            </w:r>
          </w:p>
        </w:tc>
      </w:tr>
      <w:tr w:rsidR="008A2557" w:rsidRPr="001E4938"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5E1F79" w:rsidRDefault="008A2557" w:rsidP="00573AA5">
            <w:pPr>
              <w:pStyle w:val="EYDocumentprompts"/>
              <w:rPr>
                <w:rFonts w:cs="Arial"/>
                <w:szCs w:val="20"/>
              </w:rPr>
            </w:pPr>
            <w:r w:rsidRPr="005E1F79">
              <w:rPr>
                <w:rFonts w:cs="Arial"/>
                <w:szCs w:val="20"/>
              </w:rPr>
              <w:t>Contact:</w:t>
            </w:r>
          </w:p>
        </w:tc>
        <w:tc>
          <w:tcPr>
            <w:tcW w:w="7570" w:type="dxa"/>
            <w:tcMar>
              <w:top w:w="0" w:type="dxa"/>
              <w:left w:w="0" w:type="dxa"/>
              <w:bottom w:w="0" w:type="dxa"/>
              <w:right w:w="0" w:type="dxa"/>
            </w:tcMar>
            <w:hideMark/>
          </w:tcPr>
          <w:p w14:paraId="13557A3C" w14:textId="77777777" w:rsidR="008A2557" w:rsidRPr="005E1F79" w:rsidRDefault="008A2557" w:rsidP="00573AA5">
            <w:pPr>
              <w:pStyle w:val="EYDocumentprompts"/>
              <w:rPr>
                <w:rFonts w:cs="Arial"/>
                <w:szCs w:val="20"/>
              </w:rPr>
            </w:pPr>
            <w:r w:rsidRPr="005E1F79">
              <w:rPr>
                <w:rFonts w:cs="Arial"/>
                <w:szCs w:val="20"/>
              </w:rPr>
              <w:t>Anda Huțanu</w:t>
            </w:r>
          </w:p>
        </w:tc>
      </w:tr>
      <w:tr w:rsidR="008A2557" w:rsidRPr="001E4938"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5E1F79" w:rsidRDefault="008A2557" w:rsidP="00573AA5">
            <w:pPr>
              <w:pStyle w:val="EYDocumentprompts"/>
              <w:rPr>
                <w:rFonts w:cs="Arial"/>
                <w:szCs w:val="20"/>
              </w:rPr>
            </w:pPr>
            <w:r w:rsidRPr="005E1F79">
              <w:rPr>
                <w:rFonts w:cs="Arial"/>
                <w:szCs w:val="20"/>
              </w:rPr>
              <w:t>Company:</w:t>
            </w:r>
          </w:p>
        </w:tc>
        <w:tc>
          <w:tcPr>
            <w:tcW w:w="7570" w:type="dxa"/>
            <w:tcMar>
              <w:top w:w="0" w:type="dxa"/>
              <w:left w:w="0" w:type="dxa"/>
              <w:bottom w:w="0" w:type="dxa"/>
              <w:right w:w="0" w:type="dxa"/>
            </w:tcMar>
            <w:hideMark/>
          </w:tcPr>
          <w:p w14:paraId="3BD92546" w14:textId="77777777" w:rsidR="008A2557" w:rsidRPr="005E1F79" w:rsidRDefault="008A2557" w:rsidP="00573AA5">
            <w:pPr>
              <w:pStyle w:val="EYDocumentprompts"/>
              <w:rPr>
                <w:rFonts w:cs="Arial"/>
                <w:szCs w:val="20"/>
              </w:rPr>
            </w:pPr>
            <w:r w:rsidRPr="005E1F79">
              <w:rPr>
                <w:rFonts w:cs="Arial"/>
                <w:szCs w:val="20"/>
              </w:rPr>
              <w:t>EY Romania</w:t>
            </w:r>
          </w:p>
        </w:tc>
      </w:tr>
      <w:tr w:rsidR="008A2557" w:rsidRPr="001E4938"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5E1F79" w:rsidRDefault="008A2557" w:rsidP="00573AA5">
            <w:pPr>
              <w:pStyle w:val="EYDocumentprompts"/>
              <w:rPr>
                <w:rFonts w:cs="Arial"/>
                <w:szCs w:val="20"/>
              </w:rPr>
            </w:pPr>
            <w:r w:rsidRPr="005E1F79">
              <w:rPr>
                <w:rFonts w:cs="Arial"/>
                <w:szCs w:val="20"/>
              </w:rPr>
              <w:t>Tel.:</w:t>
            </w:r>
          </w:p>
        </w:tc>
        <w:tc>
          <w:tcPr>
            <w:tcW w:w="7570" w:type="dxa"/>
            <w:tcMar>
              <w:top w:w="0" w:type="dxa"/>
              <w:left w:w="0" w:type="dxa"/>
              <w:bottom w:w="0" w:type="dxa"/>
              <w:right w:w="0" w:type="dxa"/>
            </w:tcMar>
            <w:hideMark/>
          </w:tcPr>
          <w:p w14:paraId="275AC313" w14:textId="77777777" w:rsidR="008A2557" w:rsidRPr="005E1F79" w:rsidRDefault="008A2557" w:rsidP="00573AA5">
            <w:pPr>
              <w:pStyle w:val="EYDocumentprompts"/>
              <w:rPr>
                <w:rFonts w:cs="Arial"/>
                <w:szCs w:val="20"/>
              </w:rPr>
            </w:pPr>
            <w:r w:rsidRPr="005E1F79">
              <w:rPr>
                <w:rFonts w:cs="Arial"/>
                <w:szCs w:val="20"/>
              </w:rPr>
              <w:t>+40 21 402 4000</w:t>
            </w:r>
          </w:p>
        </w:tc>
      </w:tr>
      <w:tr w:rsidR="008A2557" w:rsidRPr="001E4938"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5E1F79" w:rsidRDefault="008A2557" w:rsidP="00573AA5">
            <w:pPr>
              <w:pStyle w:val="EYDocumentprompts"/>
              <w:rPr>
                <w:rFonts w:cs="Arial"/>
                <w:szCs w:val="20"/>
              </w:rPr>
            </w:pPr>
            <w:r w:rsidRPr="005E1F79">
              <w:rPr>
                <w:rFonts w:cs="Arial"/>
                <w:szCs w:val="20"/>
              </w:rPr>
              <w:t>Email:</w:t>
            </w:r>
          </w:p>
        </w:tc>
        <w:tc>
          <w:tcPr>
            <w:tcW w:w="7570" w:type="dxa"/>
            <w:tcMar>
              <w:top w:w="0" w:type="dxa"/>
              <w:left w:w="0" w:type="dxa"/>
              <w:bottom w:w="0" w:type="dxa"/>
              <w:right w:w="0" w:type="dxa"/>
            </w:tcMar>
            <w:hideMark/>
          </w:tcPr>
          <w:p w14:paraId="35B78F2A" w14:textId="77777777" w:rsidR="008A2557" w:rsidRPr="005E1F79" w:rsidRDefault="00274D79" w:rsidP="00573AA5">
            <w:pPr>
              <w:pStyle w:val="EYDocumentprompts"/>
              <w:rPr>
                <w:rFonts w:cs="Arial"/>
                <w:color w:val="0000FF"/>
                <w:szCs w:val="20"/>
                <w:u w:val="single"/>
              </w:rPr>
            </w:pPr>
            <w:hyperlink r:id="rId11" w:history="1">
              <w:r w:rsidR="008A2557" w:rsidRPr="005E1F79">
                <w:rPr>
                  <w:rStyle w:val="Hyperlink"/>
                  <w:rFonts w:cs="Arial"/>
                  <w:szCs w:val="20"/>
                </w:rPr>
                <w:t>anda.hutanu@ro.ey.com</w:t>
              </w:r>
            </w:hyperlink>
          </w:p>
        </w:tc>
      </w:tr>
    </w:tbl>
    <w:p w14:paraId="29695D73" w14:textId="77777777" w:rsidR="008A2557" w:rsidRPr="001E4938"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44B0747E" w14:textId="77777777" w:rsidR="00CD746A" w:rsidRPr="00D12494" w:rsidRDefault="00CD746A" w:rsidP="001454E9">
      <w:pPr>
        <w:pStyle w:val="NormalWeb"/>
        <w:shd w:val="clear" w:color="auto" w:fill="FFFFFF"/>
        <w:spacing w:before="0" w:beforeAutospacing="0" w:after="0" w:afterAutospacing="0"/>
        <w:jc w:val="both"/>
        <w:rPr>
          <w:rFonts w:ascii="Arial" w:hAnsi="Arial" w:cs="Arial"/>
          <w:b/>
          <w:bCs/>
          <w:sz w:val="28"/>
          <w:szCs w:val="28"/>
          <w:lang w:val="ro-RO"/>
        </w:rPr>
      </w:pPr>
    </w:p>
    <w:p w14:paraId="1F03D5F8" w14:textId="0DDA1582" w:rsidR="000E2D8F" w:rsidRPr="000E2D8F" w:rsidRDefault="000E2D8F" w:rsidP="007E29B0">
      <w:pPr>
        <w:rPr>
          <w:rFonts w:ascii="Arial" w:hAnsi="Arial" w:cs="Arial"/>
          <w:b/>
          <w:bCs/>
          <w:sz w:val="28"/>
          <w:szCs w:val="28"/>
        </w:rPr>
      </w:pPr>
      <w:r w:rsidRPr="000E2D8F">
        <w:rPr>
          <w:rFonts w:ascii="Arial" w:hAnsi="Arial" w:cs="Arial"/>
          <w:b/>
          <w:bCs/>
          <w:sz w:val="28"/>
          <w:szCs w:val="28"/>
        </w:rPr>
        <w:t xml:space="preserve">Pensiile ocupaționale – vor facilita autoritățile aplicarea unui nou instrument de motivare și retenție </w:t>
      </w:r>
      <w:r w:rsidR="00264BCA">
        <w:rPr>
          <w:rFonts w:ascii="Arial" w:hAnsi="Arial" w:cs="Arial"/>
          <w:b/>
          <w:bCs/>
          <w:sz w:val="28"/>
          <w:szCs w:val="28"/>
        </w:rPr>
        <w:t xml:space="preserve">a </w:t>
      </w:r>
      <w:r w:rsidRPr="000E2D8F">
        <w:rPr>
          <w:rFonts w:ascii="Arial" w:hAnsi="Arial" w:cs="Arial"/>
          <w:b/>
          <w:bCs/>
          <w:sz w:val="28"/>
          <w:szCs w:val="28"/>
        </w:rPr>
        <w:t>angajaților?</w:t>
      </w:r>
    </w:p>
    <w:p w14:paraId="4BCF1ED8" w14:textId="77777777" w:rsidR="00C029B7" w:rsidRPr="003C2FD4" w:rsidRDefault="00C029B7" w:rsidP="004E0D49">
      <w:pPr>
        <w:pStyle w:val="NormalWeb"/>
        <w:shd w:val="clear" w:color="auto" w:fill="FFFFFF"/>
        <w:spacing w:before="0" w:beforeAutospacing="0" w:after="0" w:afterAutospacing="0"/>
        <w:rPr>
          <w:rStyle w:val="Strong"/>
          <w:rFonts w:ascii="Arial" w:hAnsi="Arial" w:cs="Arial"/>
          <w:b w:val="0"/>
          <w:bCs w:val="0"/>
          <w:sz w:val="22"/>
          <w:szCs w:val="22"/>
          <w:bdr w:val="none" w:sz="0" w:space="0" w:color="auto" w:frame="1"/>
          <w:lang w:val="ro-RO"/>
        </w:rPr>
      </w:pPr>
    </w:p>
    <w:p w14:paraId="5613AB5D" w14:textId="567A41B1" w:rsidR="00C506C4" w:rsidRPr="00A52857" w:rsidRDefault="001454E9" w:rsidP="00C506C4">
      <w:pPr>
        <w:jc w:val="both"/>
        <w:rPr>
          <w:rFonts w:ascii="Arial" w:hAnsi="Arial" w:cs="Arial"/>
          <w:i/>
          <w:iCs/>
        </w:rPr>
      </w:pPr>
      <w:r w:rsidRPr="00784E68">
        <w:rPr>
          <w:rStyle w:val="Strong"/>
          <w:rFonts w:ascii="Arial" w:hAnsi="Arial" w:cs="Arial"/>
          <w:b w:val="0"/>
          <w:bCs w:val="0"/>
          <w:i/>
          <w:iCs/>
          <w:bdr w:val="none" w:sz="0" w:space="0" w:color="auto" w:frame="1"/>
        </w:rPr>
        <w:t>Autor</w:t>
      </w:r>
      <w:r w:rsidR="00A52857" w:rsidRPr="00784E68">
        <w:rPr>
          <w:rStyle w:val="Strong"/>
          <w:rFonts w:ascii="Arial" w:hAnsi="Arial" w:cs="Arial"/>
          <w:b w:val="0"/>
          <w:bCs w:val="0"/>
          <w:i/>
          <w:iCs/>
          <w:bdr w:val="none" w:sz="0" w:space="0" w:color="auto" w:frame="1"/>
        </w:rPr>
        <w:t>i:</w:t>
      </w:r>
      <w:r w:rsidR="00A52857">
        <w:rPr>
          <w:rStyle w:val="Strong"/>
          <w:rFonts w:ascii="Arial" w:hAnsi="Arial" w:cs="Arial"/>
          <w:b w:val="0"/>
          <w:bCs w:val="0"/>
          <w:bdr w:val="none" w:sz="0" w:space="0" w:color="auto" w:frame="1"/>
        </w:rPr>
        <w:t xml:space="preserve"> </w:t>
      </w:r>
      <w:bookmarkStart w:id="0" w:name="_Hlk97140442"/>
      <w:r w:rsidR="00C506C4" w:rsidRPr="00A52857">
        <w:rPr>
          <w:rFonts w:ascii="Arial" w:hAnsi="Arial" w:cs="Arial"/>
          <w:i/>
          <w:iCs/>
        </w:rPr>
        <w:t xml:space="preserve">Claudia Sofianu, Partener, </w:t>
      </w:r>
      <w:r w:rsidR="00784E68">
        <w:rPr>
          <w:rFonts w:ascii="Arial" w:hAnsi="Arial" w:cs="Arial"/>
          <w:i/>
          <w:iCs/>
        </w:rPr>
        <w:t xml:space="preserve">Liderul departamentului </w:t>
      </w:r>
      <w:r w:rsidR="00C506C4" w:rsidRPr="00A52857">
        <w:rPr>
          <w:rFonts w:ascii="Arial" w:hAnsi="Arial" w:cs="Arial"/>
          <w:i/>
          <w:iCs/>
        </w:rPr>
        <w:t>Impozit pe venit și contribuții sociale, EY România</w:t>
      </w:r>
    </w:p>
    <w:p w14:paraId="4BA1E3E7" w14:textId="77777777" w:rsidR="00C506C4" w:rsidRPr="00A52857" w:rsidRDefault="00C506C4" w:rsidP="00C506C4">
      <w:pPr>
        <w:jc w:val="both"/>
        <w:rPr>
          <w:rFonts w:ascii="Arial" w:hAnsi="Arial" w:cs="Arial"/>
          <w:i/>
          <w:iCs/>
        </w:rPr>
      </w:pPr>
      <w:r w:rsidRPr="00A52857">
        <w:rPr>
          <w:rFonts w:ascii="Arial" w:hAnsi="Arial" w:cs="Arial"/>
          <w:i/>
          <w:iCs/>
        </w:rPr>
        <w:t>Cristina Cristea, Senior Manager, Impozit pe venit și contribuții sociale, EY România</w:t>
      </w:r>
    </w:p>
    <w:p w14:paraId="4F8E738B" w14:textId="167F5BA9" w:rsidR="007E29B0" w:rsidRPr="007E29B0" w:rsidRDefault="007E29B0" w:rsidP="007E29B0">
      <w:pPr>
        <w:rPr>
          <w:rFonts w:ascii="Arial" w:hAnsi="Arial" w:cs="Arial"/>
        </w:rPr>
      </w:pPr>
      <w:bookmarkStart w:id="1" w:name="_Hlk97140363"/>
      <w:bookmarkEnd w:id="0"/>
      <w:r w:rsidRPr="007E29B0">
        <w:rPr>
          <w:rFonts w:ascii="Arial" w:hAnsi="Arial" w:cs="Arial"/>
        </w:rPr>
        <w:t xml:space="preserve">Companiile au la dispoziție, de doi ani deja, pe lângă planurile de acțiuni </w:t>
      </w:r>
      <w:r w:rsidR="00C93154">
        <w:rPr>
          <w:rFonts w:ascii="Arial" w:hAnsi="Arial" w:cs="Arial"/>
        </w:rPr>
        <w:t>(</w:t>
      </w:r>
      <w:r w:rsidRPr="007E29B0">
        <w:rPr>
          <w:rFonts w:ascii="Arial" w:hAnsi="Arial" w:cs="Arial"/>
        </w:rPr>
        <w:t>așa</w:t>
      </w:r>
      <w:r w:rsidR="00C93154">
        <w:rPr>
          <w:rFonts w:ascii="Arial" w:hAnsi="Arial" w:cs="Arial"/>
        </w:rPr>
        <w:t>-</w:t>
      </w:r>
      <w:r w:rsidRPr="007E29B0">
        <w:rPr>
          <w:rFonts w:ascii="Arial" w:hAnsi="Arial" w:cs="Arial"/>
        </w:rPr>
        <w:t>numitele „Stock Option Plans”</w:t>
      </w:r>
      <w:r w:rsidR="00C93154">
        <w:rPr>
          <w:rFonts w:ascii="Arial" w:hAnsi="Arial" w:cs="Arial"/>
        </w:rPr>
        <w:t>)</w:t>
      </w:r>
      <w:r w:rsidRPr="007E29B0">
        <w:rPr>
          <w:rFonts w:ascii="Arial" w:hAnsi="Arial" w:cs="Arial"/>
        </w:rPr>
        <w:t>, un alt instrument ce le poate ajuta să se diferențieze pe piață, să atragă și să-și păstreze angajații – schema de pensii ocupaționale. De ce nu îl folosesc? Din lips</w:t>
      </w:r>
      <w:r>
        <w:rPr>
          <w:rFonts w:ascii="Arial" w:hAnsi="Arial" w:cs="Arial"/>
        </w:rPr>
        <w:t>ă</w:t>
      </w:r>
      <w:r w:rsidRPr="007E29B0">
        <w:rPr>
          <w:rFonts w:ascii="Arial" w:hAnsi="Arial" w:cs="Arial"/>
        </w:rPr>
        <w:t xml:space="preserve"> de claritate a cadrului fiscal și, până de curând, </w:t>
      </w:r>
      <w:r w:rsidR="00264BCA">
        <w:rPr>
          <w:rFonts w:ascii="Arial" w:hAnsi="Arial" w:cs="Arial"/>
        </w:rPr>
        <w:t>di</w:t>
      </w:r>
      <w:r w:rsidRPr="007E29B0">
        <w:rPr>
          <w:rFonts w:ascii="Arial" w:hAnsi="Arial" w:cs="Arial"/>
        </w:rPr>
        <w:t xml:space="preserve">n lipsa unui administrator autorizat de fonduri </w:t>
      </w:r>
      <w:r w:rsidR="002C023C">
        <w:rPr>
          <w:rFonts w:ascii="Arial" w:hAnsi="Arial" w:cs="Arial"/>
        </w:rPr>
        <w:t>de</w:t>
      </w:r>
      <w:r w:rsidR="002C023C" w:rsidRPr="007E29B0">
        <w:rPr>
          <w:rFonts w:ascii="Arial" w:hAnsi="Arial" w:cs="Arial"/>
        </w:rPr>
        <w:t xml:space="preserve"> </w:t>
      </w:r>
      <w:r w:rsidRPr="007E29B0">
        <w:rPr>
          <w:rFonts w:ascii="Arial" w:hAnsi="Arial" w:cs="Arial"/>
        </w:rPr>
        <w:t xml:space="preserve">pensii ocupaționale. </w:t>
      </w:r>
    </w:p>
    <w:bookmarkEnd w:id="1"/>
    <w:p w14:paraId="26F38645" w14:textId="59D27AE1" w:rsidR="007E29B0" w:rsidRPr="007E29B0" w:rsidRDefault="007E29B0" w:rsidP="007E29B0">
      <w:pPr>
        <w:rPr>
          <w:rFonts w:ascii="Arial" w:hAnsi="Arial" w:cs="Arial"/>
        </w:rPr>
      </w:pPr>
      <w:r w:rsidRPr="007E29B0">
        <w:rPr>
          <w:rFonts w:ascii="Arial" w:hAnsi="Arial" w:cs="Arial"/>
        </w:rPr>
        <w:t>Fondurile de pensii ocupaționale pot fi un vector de imagine puternic pe piața muncii,</w:t>
      </w:r>
      <w:r w:rsidR="00E61177">
        <w:rPr>
          <w:rFonts w:ascii="Arial" w:hAnsi="Arial" w:cs="Arial"/>
        </w:rPr>
        <w:t xml:space="preserve"> </w:t>
      </w:r>
      <w:r w:rsidRPr="007E29B0">
        <w:rPr>
          <w:rFonts w:ascii="Arial" w:hAnsi="Arial" w:cs="Arial"/>
        </w:rPr>
        <w:t>iar structura de funcționare este, în fapt, foarte simplă – compania deschide un fond de pensii ocupaționale, în care varsă o anumită contribuție. Acesteia i se va alătura contribuția salariatului, dacă acesta dorește să participe. Angajatorul are, totodată, libertatea de a stabili cuantumuri diferențiate de contribuție proprie pentru fiecare angajat, în funcție de anumite criterii</w:t>
      </w:r>
      <w:r w:rsidR="002C023C">
        <w:rPr>
          <w:rFonts w:ascii="Arial" w:hAnsi="Arial" w:cs="Arial"/>
        </w:rPr>
        <w:t>,</w:t>
      </w:r>
      <w:r w:rsidRPr="007E29B0">
        <w:rPr>
          <w:rFonts w:ascii="Arial" w:hAnsi="Arial" w:cs="Arial"/>
        </w:rPr>
        <w:t xml:space="preserve"> cum ar fi vechimea, funcția deținută sau nivelul salarial, dar, odată ce decide să ofere pensii ocupaționale, angajatorul este obligat să ofere acest beneficiu tuturor salariaților și să vireze contribuțiile sale.</w:t>
      </w:r>
    </w:p>
    <w:p w14:paraId="6772D8AF" w14:textId="416F5645" w:rsidR="007E29B0" w:rsidRPr="007E29B0" w:rsidRDefault="007E29B0" w:rsidP="007E29B0">
      <w:pPr>
        <w:rPr>
          <w:rFonts w:ascii="Arial" w:hAnsi="Arial" w:cs="Arial"/>
        </w:rPr>
      </w:pPr>
      <w:r w:rsidRPr="007E29B0">
        <w:rPr>
          <w:rFonts w:ascii="Arial" w:hAnsi="Arial" w:cs="Arial"/>
        </w:rPr>
        <w:t>Vreme de trei ani, banii sunt ai angajatorului și orice decizie de a părăsi firma în acest interval de timp duce la pierderea beneficiului. Dar, la finele celor trei ani, banii devin ai angajatului. Dreptul acestuia la pensia ocupațională se deschide, la cerere, începând cu data împlinirii vârstei standard de pensionare, cu respectarea condițiilor prevăzute de schemă și prospect și în conformitate cu legislația privind plata pensiilor private.</w:t>
      </w:r>
    </w:p>
    <w:p w14:paraId="3BEFA6B0" w14:textId="31E56CAE" w:rsidR="007E29B0" w:rsidRPr="007E29B0" w:rsidRDefault="007E29B0" w:rsidP="007E29B0">
      <w:pPr>
        <w:rPr>
          <w:rFonts w:ascii="Arial" w:hAnsi="Arial" w:cs="Arial"/>
        </w:rPr>
      </w:pPr>
      <w:r w:rsidRPr="007E29B0">
        <w:rPr>
          <w:rFonts w:ascii="Arial" w:hAnsi="Arial" w:cs="Arial"/>
        </w:rPr>
        <w:lastRenderedPageBreak/>
        <w:t>Astfel, acest produs ar putea reprezenta o component</w:t>
      </w:r>
      <w:r w:rsidR="00CF19AD">
        <w:rPr>
          <w:rFonts w:ascii="Arial" w:hAnsi="Arial" w:cs="Arial"/>
        </w:rPr>
        <w:t>ă</w:t>
      </w:r>
      <w:r w:rsidRPr="007E29B0">
        <w:rPr>
          <w:rFonts w:ascii="Arial" w:hAnsi="Arial" w:cs="Arial"/>
        </w:rPr>
        <w:t xml:space="preserve"> foarte important</w:t>
      </w:r>
      <w:r w:rsidR="00CF19AD">
        <w:rPr>
          <w:rFonts w:ascii="Arial" w:hAnsi="Arial" w:cs="Arial"/>
        </w:rPr>
        <w:t>ă</w:t>
      </w:r>
      <w:r w:rsidRPr="007E29B0">
        <w:rPr>
          <w:rFonts w:ascii="Arial" w:hAnsi="Arial" w:cs="Arial"/>
        </w:rPr>
        <w:t xml:space="preserve"> de retenție, detaliu extrem de important într-o piață a muncii caracterizată, mai ales în această perioadă, de volatilitate și fluctuație.</w:t>
      </w:r>
    </w:p>
    <w:p w14:paraId="73DA841A" w14:textId="0A052374" w:rsidR="007E29B0" w:rsidRPr="007E29B0" w:rsidRDefault="007E29B0" w:rsidP="007E29B0">
      <w:pPr>
        <w:rPr>
          <w:rFonts w:ascii="Arial" w:hAnsi="Arial" w:cs="Arial"/>
        </w:rPr>
      </w:pPr>
      <w:r w:rsidRPr="007E29B0">
        <w:rPr>
          <w:rFonts w:ascii="Arial" w:hAnsi="Arial" w:cs="Arial"/>
        </w:rPr>
        <w:t>În fond, nu vorbim despre o idee nouă</w:t>
      </w:r>
      <w:r w:rsidR="00F01EDD">
        <w:rPr>
          <w:rFonts w:ascii="Arial" w:hAnsi="Arial" w:cs="Arial"/>
        </w:rPr>
        <w:t>,</w:t>
      </w:r>
      <w:r w:rsidRPr="007E29B0">
        <w:rPr>
          <w:rFonts w:ascii="Arial" w:hAnsi="Arial" w:cs="Arial"/>
        </w:rPr>
        <w:t xml:space="preserve"> ci despre adoptarea uneia mai vechi (înc</w:t>
      </w:r>
      <w:r w:rsidR="00CF19AD">
        <w:rPr>
          <w:rFonts w:ascii="Arial" w:hAnsi="Arial" w:cs="Arial"/>
        </w:rPr>
        <w:t>ă</w:t>
      </w:r>
      <w:r w:rsidRPr="007E29B0">
        <w:rPr>
          <w:rFonts w:ascii="Arial" w:hAnsi="Arial" w:cs="Arial"/>
        </w:rPr>
        <w:t xml:space="preserve"> din 1917</w:t>
      </w:r>
      <w:r w:rsidR="002C023C">
        <w:rPr>
          <w:rFonts w:ascii="Arial" w:hAnsi="Arial" w:cs="Arial"/>
        </w:rPr>
        <w:t>,</w:t>
      </w:r>
      <w:r w:rsidRPr="007E29B0">
        <w:rPr>
          <w:rFonts w:ascii="Arial" w:hAnsi="Arial" w:cs="Arial"/>
        </w:rPr>
        <w:t xml:space="preserve"> Norvegia și Suedia lansau aceste scheme de pensii ocupaționale)</w:t>
      </w:r>
      <w:r w:rsidR="00F01EDD">
        <w:rPr>
          <w:rFonts w:ascii="Arial" w:hAnsi="Arial" w:cs="Arial"/>
        </w:rPr>
        <w:t>,</w:t>
      </w:r>
      <w:r w:rsidR="007022C1">
        <w:rPr>
          <w:rFonts w:ascii="Arial" w:hAnsi="Arial" w:cs="Arial"/>
        </w:rPr>
        <w:t xml:space="preserve"> </w:t>
      </w:r>
      <w:r w:rsidRPr="007E29B0">
        <w:rPr>
          <w:rFonts w:ascii="Arial" w:hAnsi="Arial" w:cs="Arial"/>
        </w:rPr>
        <w:t>dar care și-a dovedit funcționalitatea. În UK, de pildă, la sfârșitul lunii iunie 2021, valoarea de piață a fondurilor de pensii a atins 2,5 miliarde de lire sterline, iar numărul total de membri cu contribuții definite era de 25,3 milioane, în timp ce numărul total de membri cu beneficii determinate și hibride era de 18,5 milioane. Pe lună, contribuția primită prin schema ocupațională ar însemna, conform unor cifre avansate de studii</w:t>
      </w:r>
      <w:r w:rsidR="00A40655">
        <w:rPr>
          <w:rFonts w:ascii="Arial" w:hAnsi="Arial" w:cs="Arial"/>
        </w:rPr>
        <w:t>,</w:t>
      </w:r>
      <w:r w:rsidRPr="007E29B0">
        <w:rPr>
          <w:rFonts w:ascii="Arial" w:hAnsi="Arial" w:cs="Arial"/>
        </w:rPr>
        <w:t xml:space="preserve"> în jur de 3.000 de lire, sumă care poate varia, în funcție de vechime, funcție etc. Germania acoperă prin pilonul de pensii ocupaționale circa 60% din angajați, iar în Polonia schema ar fi trebuit să poată fi accesată atât de angajații companiilor mari, cât și de cei ai IMM-urilor încă de anul trecut. Olanda, Danemarca, de asemenea, folosesc schemele ocupaționale pentru a crește valoarea pensiilor angajaților la momentul retragerii din viața activă. </w:t>
      </w:r>
    </w:p>
    <w:p w14:paraId="210AD54E" w14:textId="6A947FC3" w:rsidR="007E29B0" w:rsidRPr="007E29B0" w:rsidRDefault="007E29B0" w:rsidP="007E29B0">
      <w:pPr>
        <w:rPr>
          <w:rFonts w:ascii="Arial" w:hAnsi="Arial" w:cs="Arial"/>
        </w:rPr>
      </w:pPr>
      <w:r w:rsidRPr="007E29B0">
        <w:rPr>
          <w:rFonts w:ascii="Arial" w:hAnsi="Arial" w:cs="Arial"/>
        </w:rPr>
        <w:t xml:space="preserve">Din punct de vedere fiscal, Legea </w:t>
      </w:r>
      <w:r w:rsidR="00315E11">
        <w:rPr>
          <w:rFonts w:ascii="Arial" w:hAnsi="Arial" w:cs="Arial"/>
        </w:rPr>
        <w:t xml:space="preserve">nr. </w:t>
      </w:r>
      <w:r w:rsidRPr="007E29B0">
        <w:rPr>
          <w:rFonts w:ascii="Arial" w:hAnsi="Arial" w:cs="Arial"/>
        </w:rPr>
        <w:t>1/2020, cea prin care sunt stabilite condițiile în care un angajator poate participa la asigurarea unor beneficii angajaților săi, care transpune, practic, o Directiv</w:t>
      </w:r>
      <w:r w:rsidR="002C023C">
        <w:rPr>
          <w:rFonts w:ascii="Arial" w:hAnsi="Arial" w:cs="Arial"/>
        </w:rPr>
        <w:t>ă</w:t>
      </w:r>
      <w:r w:rsidRPr="007E29B0">
        <w:rPr>
          <w:rFonts w:ascii="Arial" w:hAnsi="Arial" w:cs="Arial"/>
        </w:rPr>
        <w:t xml:space="preserve"> europeană, menționează că sumele reprezentând contribuțiile la fondurile de pensii ocupaționale din România sunt deductibile fiscal. Fără să ofere, însă, detalii. Întreg mediul de afaceri a așteptat clarificări care, încă, nu au venit. Ceea ce trebuie să știe companiile înainte de a înființa un fond de pensii ocupaționale</w:t>
      </w:r>
      <w:r w:rsidR="006216C7">
        <w:rPr>
          <w:rFonts w:ascii="Arial" w:hAnsi="Arial" w:cs="Arial"/>
        </w:rPr>
        <w:t>:</w:t>
      </w:r>
      <w:r w:rsidR="007022C1">
        <w:rPr>
          <w:rFonts w:ascii="Arial" w:hAnsi="Arial" w:cs="Arial"/>
        </w:rPr>
        <w:t xml:space="preserve"> </w:t>
      </w:r>
      <w:r w:rsidRPr="007E29B0">
        <w:rPr>
          <w:rFonts w:ascii="Arial" w:hAnsi="Arial" w:cs="Arial"/>
        </w:rPr>
        <w:t>dacă angajații pot beneficia de o bază impozabilă redusă la calculul impozitului pe venit</w:t>
      </w:r>
      <w:r w:rsidR="006216C7">
        <w:rPr>
          <w:rFonts w:ascii="Arial" w:hAnsi="Arial" w:cs="Arial"/>
        </w:rPr>
        <w:t>,</w:t>
      </w:r>
      <w:r w:rsidRPr="007E29B0">
        <w:rPr>
          <w:rFonts w:ascii="Arial" w:hAnsi="Arial" w:cs="Arial"/>
        </w:rPr>
        <w:t xml:space="preserve"> dacă angajatorii pot acorda angajaților proprii alt tip de beneficii cu tratament fiscal favorabil (care să nu fie subiect de impozit pe venit și contribuții sociale). </w:t>
      </w:r>
    </w:p>
    <w:p w14:paraId="37A5CE8E" w14:textId="682FD076" w:rsidR="007E29B0" w:rsidRPr="007E29B0" w:rsidRDefault="007E29B0" w:rsidP="007E29B0">
      <w:pPr>
        <w:rPr>
          <w:rFonts w:ascii="Arial" w:hAnsi="Arial" w:cs="Arial"/>
        </w:rPr>
      </w:pPr>
      <w:r w:rsidRPr="007E29B0">
        <w:rPr>
          <w:rFonts w:ascii="Arial" w:hAnsi="Arial" w:cs="Arial"/>
        </w:rPr>
        <w:t xml:space="preserve">Cum </w:t>
      </w:r>
      <w:r w:rsidR="00FF274D">
        <w:rPr>
          <w:rFonts w:ascii="Arial" w:hAnsi="Arial" w:cs="Arial"/>
        </w:rPr>
        <w:t>N</w:t>
      </w:r>
      <w:r w:rsidRPr="007E29B0">
        <w:rPr>
          <w:rFonts w:ascii="Arial" w:hAnsi="Arial" w:cs="Arial"/>
        </w:rPr>
        <w:t xml:space="preserve">ota de fundamentare a Legii menționează că prevederile aplicabile deductibilității sumelor reprezentând contribuțiile angajatorului și ale angajatului, precum și plata beneficiilor se supun prevederilor Codului </w:t>
      </w:r>
      <w:r w:rsidR="00FF274D">
        <w:rPr>
          <w:rFonts w:ascii="Arial" w:hAnsi="Arial" w:cs="Arial"/>
        </w:rPr>
        <w:t>f</w:t>
      </w:r>
      <w:r w:rsidRPr="007E29B0">
        <w:rPr>
          <w:rFonts w:ascii="Arial" w:hAnsi="Arial" w:cs="Arial"/>
        </w:rPr>
        <w:t xml:space="preserve">iscal, mediul de afaceri a așteptat entuziast și confirmarea unor astfel de prevederi. </w:t>
      </w:r>
    </w:p>
    <w:p w14:paraId="6EF1E06B" w14:textId="706749D6" w:rsidR="007E29B0" w:rsidRPr="007E29B0" w:rsidRDefault="007E29B0" w:rsidP="007E29B0">
      <w:pPr>
        <w:rPr>
          <w:rFonts w:ascii="Arial" w:hAnsi="Arial" w:cs="Arial"/>
        </w:rPr>
      </w:pPr>
      <w:r w:rsidRPr="007E29B0">
        <w:rPr>
          <w:rFonts w:ascii="Arial" w:hAnsi="Arial" w:cs="Arial"/>
        </w:rPr>
        <w:t xml:space="preserve">Astfel, Codul </w:t>
      </w:r>
      <w:r w:rsidR="008850C0">
        <w:rPr>
          <w:rFonts w:ascii="Arial" w:hAnsi="Arial" w:cs="Arial"/>
        </w:rPr>
        <w:t>f</w:t>
      </w:r>
      <w:r w:rsidRPr="007E29B0">
        <w:rPr>
          <w:rFonts w:ascii="Arial" w:hAnsi="Arial" w:cs="Arial"/>
        </w:rPr>
        <w:t>iscal prevede tratamentul fiscal aplicabil</w:t>
      </w:r>
      <w:r w:rsidR="007022C1">
        <w:rPr>
          <w:rFonts w:ascii="Arial" w:hAnsi="Arial" w:cs="Arial"/>
        </w:rPr>
        <w:t xml:space="preserve"> </w:t>
      </w:r>
      <w:r w:rsidRPr="007E29B0">
        <w:rPr>
          <w:rFonts w:ascii="Arial" w:hAnsi="Arial" w:cs="Arial"/>
        </w:rPr>
        <w:t>contribuțiilor privind pensiile facultative</w:t>
      </w:r>
      <w:r w:rsidR="00746C0A">
        <w:rPr>
          <w:rFonts w:ascii="Arial" w:hAnsi="Arial" w:cs="Arial"/>
        </w:rPr>
        <w:t xml:space="preserve">, </w:t>
      </w:r>
      <w:r w:rsidRPr="007E29B0">
        <w:rPr>
          <w:rFonts w:ascii="Arial" w:hAnsi="Arial" w:cs="Arial"/>
        </w:rPr>
        <w:t>acestea nefăcând subiectul taxelor salariale într-o limită de deductibilitate de 400 de euro de persoană. Ne-am pus</w:t>
      </w:r>
      <w:r w:rsidR="00746C0A">
        <w:rPr>
          <w:rFonts w:ascii="Arial" w:hAnsi="Arial" w:cs="Arial"/>
        </w:rPr>
        <w:t>,</w:t>
      </w:r>
      <w:r w:rsidRPr="007E29B0">
        <w:rPr>
          <w:rFonts w:ascii="Arial" w:hAnsi="Arial" w:cs="Arial"/>
        </w:rPr>
        <w:t xml:space="preserve"> astfel</w:t>
      </w:r>
      <w:r w:rsidR="00746C0A">
        <w:rPr>
          <w:rFonts w:ascii="Arial" w:hAnsi="Arial" w:cs="Arial"/>
        </w:rPr>
        <w:t>,</w:t>
      </w:r>
      <w:r w:rsidRPr="007E29B0">
        <w:rPr>
          <w:rFonts w:ascii="Arial" w:hAnsi="Arial" w:cs="Arial"/>
        </w:rPr>
        <w:t xml:space="preserve"> întrebarea dac</w:t>
      </w:r>
      <w:r w:rsidR="002C023C">
        <w:rPr>
          <w:rFonts w:ascii="Arial" w:hAnsi="Arial" w:cs="Arial"/>
        </w:rPr>
        <w:t>ă</w:t>
      </w:r>
      <w:r w:rsidRPr="007E29B0">
        <w:rPr>
          <w:rFonts w:ascii="Arial" w:hAnsi="Arial" w:cs="Arial"/>
        </w:rPr>
        <w:t xml:space="preserve"> intenția legiuitorului a fost includerea contribuțiilor în cadrul pensiilor ocupaționale în același plafon neimpozabil. </w:t>
      </w:r>
    </w:p>
    <w:p w14:paraId="503B69F9" w14:textId="24EC9402" w:rsidR="007E29B0" w:rsidRPr="007E29B0" w:rsidRDefault="007E29B0" w:rsidP="007E29B0">
      <w:pPr>
        <w:rPr>
          <w:rFonts w:ascii="Arial" w:hAnsi="Arial" w:cs="Arial"/>
        </w:rPr>
      </w:pPr>
      <w:r w:rsidRPr="007E29B0">
        <w:rPr>
          <w:rFonts w:ascii="Arial" w:hAnsi="Arial" w:cs="Arial"/>
        </w:rPr>
        <w:t>Să fi fost oare aceasta intenția? Sau doar includerea acestora în categoria veniturilor salariale și</w:t>
      </w:r>
      <w:r w:rsidR="00746C0A">
        <w:rPr>
          <w:rFonts w:ascii="Arial" w:hAnsi="Arial" w:cs="Arial"/>
        </w:rPr>
        <w:t>,</w:t>
      </w:r>
      <w:r w:rsidRPr="007E29B0">
        <w:rPr>
          <w:rFonts w:ascii="Arial" w:hAnsi="Arial" w:cs="Arial"/>
        </w:rPr>
        <w:t xml:space="preserve"> astfel</w:t>
      </w:r>
      <w:r w:rsidR="00746C0A">
        <w:rPr>
          <w:rFonts w:ascii="Arial" w:hAnsi="Arial" w:cs="Arial"/>
        </w:rPr>
        <w:t>,</w:t>
      </w:r>
      <w:r w:rsidRPr="007E29B0">
        <w:rPr>
          <w:rFonts w:ascii="Arial" w:hAnsi="Arial" w:cs="Arial"/>
        </w:rPr>
        <w:t xml:space="preserve"> urmând </w:t>
      </w:r>
      <w:r w:rsidR="0083505B">
        <w:rPr>
          <w:rFonts w:ascii="Arial" w:hAnsi="Arial" w:cs="Arial"/>
        </w:rPr>
        <w:t>a fi</w:t>
      </w:r>
      <w:r w:rsidRPr="007E29B0">
        <w:rPr>
          <w:rFonts w:ascii="Arial" w:hAnsi="Arial" w:cs="Arial"/>
        </w:rPr>
        <w:t xml:space="preserve"> considerate doar costuri deductibile la calculul impozitului pe profit?</w:t>
      </w:r>
    </w:p>
    <w:p w14:paraId="125D4E1A" w14:textId="13584DA2" w:rsidR="007E29B0" w:rsidRPr="007E29B0" w:rsidRDefault="007E29B0" w:rsidP="007E29B0">
      <w:pPr>
        <w:rPr>
          <w:rFonts w:ascii="Arial" w:hAnsi="Arial" w:cs="Arial"/>
        </w:rPr>
      </w:pPr>
      <w:r w:rsidRPr="007E29B0">
        <w:rPr>
          <w:rFonts w:ascii="Arial" w:hAnsi="Arial" w:cs="Arial"/>
        </w:rPr>
        <w:t xml:space="preserve">Am sperat că </w:t>
      </w:r>
      <w:r w:rsidR="00F34EDC">
        <w:rPr>
          <w:rFonts w:ascii="Arial" w:hAnsi="Arial" w:cs="Arial"/>
        </w:rPr>
        <w:t>N</w:t>
      </w:r>
      <w:r w:rsidRPr="007E29B0">
        <w:rPr>
          <w:rFonts w:ascii="Arial" w:hAnsi="Arial" w:cs="Arial"/>
        </w:rPr>
        <w:t>ormele metodologice vor aduce clarificări suplimentare privind tratamentul fiscal aplicabil</w:t>
      </w:r>
      <w:r w:rsidR="00F34EDC">
        <w:rPr>
          <w:rFonts w:ascii="Arial" w:hAnsi="Arial" w:cs="Arial"/>
        </w:rPr>
        <w:t>,</w:t>
      </w:r>
      <w:r w:rsidRPr="007E29B0">
        <w:rPr>
          <w:rFonts w:ascii="Arial" w:hAnsi="Arial" w:cs="Arial"/>
        </w:rPr>
        <w:t xml:space="preserve"> însă, la doi ani distanță de la apariția legii privind pensiile ocupaționale și nici o lună de la apariția primului administrator autorizat din România, BCR Pensii, nu avem încă clarificări pe plan fiscal.</w:t>
      </w:r>
      <w:r w:rsidR="007022C1">
        <w:rPr>
          <w:rFonts w:ascii="Arial" w:hAnsi="Arial" w:cs="Arial"/>
        </w:rPr>
        <w:t xml:space="preserve"> </w:t>
      </w:r>
    </w:p>
    <w:p w14:paraId="2089EA5A" w14:textId="35B13017" w:rsidR="007E29B0" w:rsidRPr="007E29B0" w:rsidRDefault="007E29B0" w:rsidP="007E29B0">
      <w:pPr>
        <w:rPr>
          <w:rFonts w:ascii="Arial" w:hAnsi="Arial" w:cs="Arial"/>
        </w:rPr>
      </w:pPr>
      <w:r w:rsidRPr="007E29B0">
        <w:rPr>
          <w:rFonts w:ascii="Arial" w:hAnsi="Arial" w:cs="Arial"/>
        </w:rPr>
        <w:t>Sperăm, însă, ca această așteptare să vină cu vești bune, precum introducerea acestui tip de beneficii în categoria benefic</w:t>
      </w:r>
      <w:r w:rsidR="005526EB">
        <w:rPr>
          <w:rFonts w:ascii="Arial" w:hAnsi="Arial" w:cs="Arial"/>
        </w:rPr>
        <w:t>i</w:t>
      </w:r>
      <w:r w:rsidRPr="007E29B0">
        <w:rPr>
          <w:rFonts w:ascii="Arial" w:hAnsi="Arial" w:cs="Arial"/>
        </w:rPr>
        <w:t xml:space="preserve">ilor neimpozabile. În vederea stimulării participării la fondul de </w:t>
      </w:r>
      <w:r w:rsidRPr="007E29B0">
        <w:rPr>
          <w:rFonts w:ascii="Arial" w:hAnsi="Arial" w:cs="Arial"/>
        </w:rPr>
        <w:lastRenderedPageBreak/>
        <w:t xml:space="preserve">pensii ocupaționale și a angajaților, aceste contribuții ar trebui și ele să fie incluse în categoria celor deductibile la calculul impozitului pe venit. </w:t>
      </w:r>
    </w:p>
    <w:p w14:paraId="79E7DCF0" w14:textId="061759A5" w:rsidR="0030093C" w:rsidRPr="007E29B0" w:rsidRDefault="007E29B0" w:rsidP="007E29B0">
      <w:pPr>
        <w:rPr>
          <w:rFonts w:ascii="Arial" w:hAnsi="Arial" w:cs="Arial"/>
        </w:rPr>
      </w:pPr>
      <w:r w:rsidRPr="007E29B0">
        <w:rPr>
          <w:rFonts w:ascii="Arial" w:hAnsi="Arial" w:cs="Arial"/>
        </w:rPr>
        <w:t>Nu este prima oară când introducerea unei noi legi pune sub semnul întrebării tratamentul fiscal aplicabil veniturilor/beneficiilor salariale noi prevăzute. Sperăm</w:t>
      </w:r>
      <w:r w:rsidR="00DD57B6">
        <w:rPr>
          <w:rFonts w:ascii="Arial" w:hAnsi="Arial" w:cs="Arial"/>
        </w:rPr>
        <w:t>,</w:t>
      </w:r>
      <w:r w:rsidRPr="007E29B0">
        <w:rPr>
          <w:rFonts w:ascii="Arial" w:hAnsi="Arial" w:cs="Arial"/>
        </w:rPr>
        <w:t xml:space="preserve"> totuși</w:t>
      </w:r>
      <w:r w:rsidR="00DD57B6">
        <w:rPr>
          <w:rFonts w:ascii="Arial" w:hAnsi="Arial" w:cs="Arial"/>
        </w:rPr>
        <w:t>,</w:t>
      </w:r>
      <w:r w:rsidRPr="007E29B0">
        <w:rPr>
          <w:rFonts w:ascii="Arial" w:hAnsi="Arial" w:cs="Arial"/>
        </w:rPr>
        <w:t xml:space="preserve"> c</w:t>
      </w:r>
      <w:r w:rsidR="0083505B">
        <w:rPr>
          <w:rFonts w:ascii="Arial" w:hAnsi="Arial" w:cs="Arial"/>
        </w:rPr>
        <w:t>ă</w:t>
      </w:r>
      <w:r w:rsidRPr="007E29B0">
        <w:rPr>
          <w:rFonts w:ascii="Arial" w:hAnsi="Arial" w:cs="Arial"/>
        </w:rPr>
        <w:t xml:space="preserve"> înregistrarea BCR Pensii ca administrator autorizat de fonduri </w:t>
      </w:r>
      <w:r w:rsidR="003B4B7F">
        <w:rPr>
          <w:rFonts w:ascii="Arial" w:hAnsi="Arial" w:cs="Arial"/>
        </w:rPr>
        <w:t>de</w:t>
      </w:r>
      <w:r w:rsidR="003B4B7F" w:rsidRPr="007E29B0">
        <w:rPr>
          <w:rFonts w:ascii="Arial" w:hAnsi="Arial" w:cs="Arial"/>
        </w:rPr>
        <w:t xml:space="preserve"> </w:t>
      </w:r>
      <w:r w:rsidRPr="007E29B0">
        <w:rPr>
          <w:rFonts w:ascii="Arial" w:hAnsi="Arial" w:cs="Arial"/>
        </w:rPr>
        <w:t xml:space="preserve">pensii ocupaționale să fie factor accelerator în clarificarea acestui aspect și emiterea </w:t>
      </w:r>
      <w:r w:rsidR="00023447">
        <w:rPr>
          <w:rFonts w:ascii="Arial" w:hAnsi="Arial" w:cs="Arial"/>
        </w:rPr>
        <w:t>N</w:t>
      </w:r>
      <w:r w:rsidRPr="007E29B0">
        <w:rPr>
          <w:rFonts w:ascii="Arial" w:hAnsi="Arial" w:cs="Arial"/>
        </w:rPr>
        <w:t>ormelor metodologice de aplicare a legii. Până atunci, rămânem cu întrebări care, momentan</w:t>
      </w:r>
      <w:r w:rsidR="00F23A8D">
        <w:rPr>
          <w:rFonts w:ascii="Arial" w:hAnsi="Arial" w:cs="Arial"/>
        </w:rPr>
        <w:t>,</w:t>
      </w:r>
      <w:r w:rsidRPr="007E29B0">
        <w:rPr>
          <w:rFonts w:ascii="Arial" w:hAnsi="Arial" w:cs="Arial"/>
        </w:rPr>
        <w:t xml:space="preserve"> nu au răspuns.</w:t>
      </w:r>
    </w:p>
    <w:p w14:paraId="7164B543" w14:textId="77777777" w:rsidR="004A4AB4" w:rsidRPr="001E4938" w:rsidRDefault="004A4AB4" w:rsidP="008C382C">
      <w:pPr>
        <w:rPr>
          <w:rFonts w:ascii="Arial" w:hAnsi="Arial" w:cs="Arial"/>
        </w:rPr>
      </w:pPr>
    </w:p>
    <w:p w14:paraId="250FC64A" w14:textId="5027031C" w:rsidR="00D5580B" w:rsidRPr="00FF1FAE" w:rsidRDefault="00D5580B" w:rsidP="00FC362E">
      <w:pPr>
        <w:spacing w:after="0" w:line="240" w:lineRule="auto"/>
        <w:rPr>
          <w:rFonts w:ascii="Arial" w:hAnsi="Arial" w:cs="Arial"/>
          <w:color w:val="242424"/>
          <w:sz w:val="18"/>
          <w:szCs w:val="18"/>
          <w:shd w:val="clear" w:color="auto" w:fill="FFFFFF"/>
        </w:rPr>
      </w:pPr>
      <w:r w:rsidRPr="00FF1FAE">
        <w:rPr>
          <w:rFonts w:ascii="Arial" w:hAnsi="Arial" w:cs="Arial"/>
          <w:color w:val="242424"/>
          <w:sz w:val="18"/>
          <w:szCs w:val="18"/>
          <w:shd w:val="clear" w:color="auto" w:fill="FFFFFF"/>
        </w:rPr>
        <w:t>***</w:t>
      </w:r>
    </w:p>
    <w:p w14:paraId="63E7A13E" w14:textId="77777777" w:rsidR="001454E9" w:rsidRPr="00FF1FAE" w:rsidRDefault="001454E9" w:rsidP="00FC362E">
      <w:pPr>
        <w:pStyle w:val="EYNormal"/>
        <w:rPr>
          <w:rFonts w:eastAsiaTheme="minorHAnsi" w:cs="Arial"/>
          <w:b/>
          <w:bCs/>
          <w:sz w:val="18"/>
          <w:szCs w:val="18"/>
        </w:rPr>
      </w:pPr>
      <w:r w:rsidRPr="00FF1FAE">
        <w:rPr>
          <w:rFonts w:eastAsiaTheme="minorHAnsi" w:cs="Arial"/>
          <w:b/>
          <w:bCs/>
          <w:sz w:val="18"/>
          <w:szCs w:val="18"/>
        </w:rPr>
        <w:t>Despre EY România</w:t>
      </w:r>
    </w:p>
    <w:p w14:paraId="4821C4BA" w14:textId="3E333022" w:rsidR="001454E9" w:rsidRDefault="001454E9" w:rsidP="00FC362E">
      <w:pPr>
        <w:pStyle w:val="EYNormal"/>
        <w:rPr>
          <w:rFonts w:eastAsiaTheme="minorHAnsi" w:cs="Arial"/>
          <w:sz w:val="18"/>
          <w:szCs w:val="18"/>
          <w:u w:val="single"/>
        </w:rPr>
      </w:pPr>
      <w:r w:rsidRPr="00FF1FAE">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FF1FAE">
        <w:rPr>
          <w:rFonts w:eastAsiaTheme="minorHAnsi" w:cs="Arial"/>
          <w:sz w:val="18"/>
          <w:szCs w:val="18"/>
        </w:rPr>
        <w:t>lor</w:t>
      </w:r>
      <w:r w:rsidRPr="00FF1FAE">
        <w:rPr>
          <w:rFonts w:eastAsiaTheme="minorHAnsi" w:cs="Arial"/>
          <w:sz w:val="18"/>
          <w:szCs w:val="18"/>
        </w:rPr>
        <w:t xml:space="preserve"> este cea mai integrată la nivel global, iar resursele din cadrul acesteia </w:t>
      </w:r>
      <w:r w:rsidR="00730A3C" w:rsidRPr="00FF1FAE">
        <w:rPr>
          <w:rFonts w:eastAsiaTheme="minorHAnsi" w:cs="Arial"/>
          <w:sz w:val="18"/>
          <w:szCs w:val="18"/>
        </w:rPr>
        <w:t>îi</w:t>
      </w:r>
      <w:r w:rsidRPr="00FF1FAE">
        <w:rPr>
          <w:rFonts w:eastAsiaTheme="minorHAnsi" w:cs="Arial"/>
          <w:sz w:val="18"/>
          <w:szCs w:val="18"/>
        </w:rPr>
        <w:t xml:space="preserve"> ajută să le ofer</w:t>
      </w:r>
      <w:r w:rsidR="00730A3C" w:rsidRPr="00FF1FAE">
        <w:rPr>
          <w:rFonts w:eastAsiaTheme="minorHAnsi" w:cs="Arial"/>
          <w:sz w:val="18"/>
          <w:szCs w:val="18"/>
        </w:rPr>
        <w:t>e</w:t>
      </w:r>
      <w:r w:rsidRPr="00FF1FAE">
        <w:rPr>
          <w:rFonts w:eastAsiaTheme="minorHAnsi" w:cs="Arial"/>
          <w:sz w:val="18"/>
          <w:szCs w:val="18"/>
        </w:rPr>
        <w:t xml:space="preserve"> clienților servicii prin care să beneficieze de oportunitățile din întreaga lume.</w:t>
      </w:r>
      <w:r w:rsidRPr="00FF1FAE">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FF1FAE">
        <w:rPr>
          <w:rFonts w:eastAsiaTheme="minorHAnsi" w:cs="Arial"/>
          <w:sz w:val="18"/>
          <w:szCs w:val="18"/>
        </w:rPr>
        <w:t>u</w:t>
      </w:r>
      <w:r w:rsidRPr="00FF1FAE">
        <w:rPr>
          <w:rFonts w:eastAsiaTheme="minorHAnsi" w:cs="Arial"/>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FF1FAE">
        <w:rPr>
          <w:rFonts w:eastAsiaTheme="minorHAnsi" w:cs="Arial"/>
          <w:sz w:val="18"/>
          <w:szCs w:val="18"/>
        </w:rPr>
        <w:t>.</w:t>
      </w:r>
      <w:r w:rsidR="002D3375" w:rsidRPr="00FF1FAE">
        <w:rPr>
          <w:rFonts w:eastAsiaTheme="minorHAnsi" w:cs="Arial"/>
          <w:sz w:val="18"/>
          <w:szCs w:val="18"/>
          <w:u w:val="single"/>
        </w:rPr>
        <w:t xml:space="preserve"> </w:t>
      </w:r>
    </w:p>
    <w:p w14:paraId="4CCA5647" w14:textId="095CB80A" w:rsidR="00F05556" w:rsidRDefault="00F05556" w:rsidP="00FC362E">
      <w:pPr>
        <w:pStyle w:val="EYNormal"/>
        <w:rPr>
          <w:rFonts w:eastAsiaTheme="minorHAnsi" w:cs="Arial"/>
          <w:sz w:val="18"/>
          <w:szCs w:val="18"/>
          <w:u w:val="single"/>
        </w:rPr>
      </w:pPr>
    </w:p>
    <w:p w14:paraId="0C3B8EF2" w14:textId="77777777" w:rsidR="001454E9" w:rsidRPr="00FF1FAE" w:rsidRDefault="001454E9" w:rsidP="00FC362E">
      <w:pPr>
        <w:pStyle w:val="NormalWeb"/>
        <w:shd w:val="clear" w:color="auto" w:fill="FFFFFF"/>
        <w:spacing w:before="0" w:beforeAutospacing="0" w:after="0" w:afterAutospacing="0"/>
        <w:rPr>
          <w:rFonts w:ascii="Arial" w:hAnsi="Arial" w:cs="Arial"/>
          <w:sz w:val="18"/>
          <w:szCs w:val="18"/>
          <w:lang w:val="ro-RO"/>
        </w:rPr>
      </w:pPr>
    </w:p>
    <w:p w14:paraId="07CA51B0" w14:textId="77777777" w:rsidR="009C0341" w:rsidRPr="001E4938" w:rsidRDefault="009C0341" w:rsidP="00FC362E">
      <w:pPr>
        <w:pStyle w:val="NormalWeb"/>
        <w:shd w:val="clear" w:color="auto" w:fill="FFFFFF"/>
        <w:spacing w:before="0" w:beforeAutospacing="0" w:after="0" w:afterAutospacing="0"/>
        <w:rPr>
          <w:rFonts w:ascii="Arial" w:hAnsi="Arial" w:cs="Arial"/>
          <w:sz w:val="22"/>
          <w:szCs w:val="22"/>
          <w:lang w:val="ro-RO"/>
        </w:rPr>
      </w:pPr>
    </w:p>
    <w:p w14:paraId="00AE37EB" w14:textId="5DA0F3B2" w:rsidR="00205FE1" w:rsidRPr="001E4938" w:rsidRDefault="00205FE1" w:rsidP="00FC362E">
      <w:pPr>
        <w:spacing w:after="0" w:line="240" w:lineRule="auto"/>
        <w:rPr>
          <w:rFonts w:ascii="Arial" w:hAnsi="Arial" w:cs="Arial"/>
        </w:rPr>
      </w:pPr>
    </w:p>
    <w:sectPr w:rsidR="00205FE1" w:rsidRPr="001E4938"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C883" w14:textId="77777777" w:rsidR="00274D79" w:rsidRDefault="00274D79" w:rsidP="00B8226C">
      <w:pPr>
        <w:spacing w:after="0" w:line="240" w:lineRule="auto"/>
      </w:pPr>
      <w:r>
        <w:separator/>
      </w:r>
    </w:p>
  </w:endnote>
  <w:endnote w:type="continuationSeparator" w:id="0">
    <w:p w14:paraId="161C0ABB" w14:textId="77777777" w:rsidR="00274D79" w:rsidRDefault="00274D79"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92DC7">
          <w:rPr>
            <w:noProof/>
          </w:rPr>
          <w:t>3</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35C6" w14:textId="77777777" w:rsidR="00274D79" w:rsidRDefault="00274D79" w:rsidP="00B8226C">
      <w:pPr>
        <w:spacing w:after="0" w:line="240" w:lineRule="auto"/>
      </w:pPr>
      <w:r>
        <w:separator/>
      </w:r>
    </w:p>
  </w:footnote>
  <w:footnote w:type="continuationSeparator" w:id="0">
    <w:p w14:paraId="27E29A4E" w14:textId="77777777" w:rsidR="00274D79" w:rsidRDefault="00274D79"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10933"/>
    <w:rsid w:val="00012912"/>
    <w:rsid w:val="00023447"/>
    <w:rsid w:val="00023A0B"/>
    <w:rsid w:val="000246B6"/>
    <w:rsid w:val="000272BC"/>
    <w:rsid w:val="00027376"/>
    <w:rsid w:val="00033325"/>
    <w:rsid w:val="0003689D"/>
    <w:rsid w:val="00037E06"/>
    <w:rsid w:val="00045BAF"/>
    <w:rsid w:val="00053D09"/>
    <w:rsid w:val="00055F45"/>
    <w:rsid w:val="000578B9"/>
    <w:rsid w:val="00057ED5"/>
    <w:rsid w:val="00062951"/>
    <w:rsid w:val="00063081"/>
    <w:rsid w:val="00063960"/>
    <w:rsid w:val="0006450C"/>
    <w:rsid w:val="00072845"/>
    <w:rsid w:val="00076D9F"/>
    <w:rsid w:val="00084FEC"/>
    <w:rsid w:val="000A13B2"/>
    <w:rsid w:val="000A14B7"/>
    <w:rsid w:val="000A227C"/>
    <w:rsid w:val="000A405B"/>
    <w:rsid w:val="000A468F"/>
    <w:rsid w:val="000A4694"/>
    <w:rsid w:val="000A48DA"/>
    <w:rsid w:val="000A52E0"/>
    <w:rsid w:val="000A68A4"/>
    <w:rsid w:val="000A7A8B"/>
    <w:rsid w:val="000B16F7"/>
    <w:rsid w:val="000B2B1F"/>
    <w:rsid w:val="000C483E"/>
    <w:rsid w:val="000C4CBE"/>
    <w:rsid w:val="000C5BDB"/>
    <w:rsid w:val="000C5DFB"/>
    <w:rsid w:val="000C6EB2"/>
    <w:rsid w:val="000D118E"/>
    <w:rsid w:val="000D216E"/>
    <w:rsid w:val="000D5B33"/>
    <w:rsid w:val="000E2D8F"/>
    <w:rsid w:val="000E2FC4"/>
    <w:rsid w:val="000E7C3D"/>
    <w:rsid w:val="000E7FF2"/>
    <w:rsid w:val="000F511E"/>
    <w:rsid w:val="000F5FF4"/>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23D4"/>
    <w:rsid w:val="001454E9"/>
    <w:rsid w:val="00145739"/>
    <w:rsid w:val="0015332F"/>
    <w:rsid w:val="0015682F"/>
    <w:rsid w:val="00161AAA"/>
    <w:rsid w:val="0016586E"/>
    <w:rsid w:val="0016595D"/>
    <w:rsid w:val="00165E14"/>
    <w:rsid w:val="00167B21"/>
    <w:rsid w:val="00172791"/>
    <w:rsid w:val="00174111"/>
    <w:rsid w:val="001756D9"/>
    <w:rsid w:val="001773F7"/>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C01DB"/>
    <w:rsid w:val="001D25D1"/>
    <w:rsid w:val="001D4D20"/>
    <w:rsid w:val="001D7192"/>
    <w:rsid w:val="001E4938"/>
    <w:rsid w:val="001E75F8"/>
    <w:rsid w:val="001F1230"/>
    <w:rsid w:val="001F63BD"/>
    <w:rsid w:val="00200099"/>
    <w:rsid w:val="00201C15"/>
    <w:rsid w:val="00204A02"/>
    <w:rsid w:val="00205FE1"/>
    <w:rsid w:val="0021083E"/>
    <w:rsid w:val="0021526E"/>
    <w:rsid w:val="002162CF"/>
    <w:rsid w:val="00217212"/>
    <w:rsid w:val="00217AF9"/>
    <w:rsid w:val="00217FF5"/>
    <w:rsid w:val="00220637"/>
    <w:rsid w:val="002275E2"/>
    <w:rsid w:val="00240BF3"/>
    <w:rsid w:val="00243927"/>
    <w:rsid w:val="0024430E"/>
    <w:rsid w:val="00247BD7"/>
    <w:rsid w:val="00250C64"/>
    <w:rsid w:val="00251293"/>
    <w:rsid w:val="00264BCA"/>
    <w:rsid w:val="0026670E"/>
    <w:rsid w:val="00266710"/>
    <w:rsid w:val="0027040B"/>
    <w:rsid w:val="00272036"/>
    <w:rsid w:val="00274D79"/>
    <w:rsid w:val="00281BA5"/>
    <w:rsid w:val="002827C5"/>
    <w:rsid w:val="00284AD0"/>
    <w:rsid w:val="002878C0"/>
    <w:rsid w:val="0029352F"/>
    <w:rsid w:val="00294B83"/>
    <w:rsid w:val="00296658"/>
    <w:rsid w:val="00297A37"/>
    <w:rsid w:val="002A3864"/>
    <w:rsid w:val="002A6702"/>
    <w:rsid w:val="002A7DDE"/>
    <w:rsid w:val="002B3604"/>
    <w:rsid w:val="002B6BA5"/>
    <w:rsid w:val="002C023C"/>
    <w:rsid w:val="002C20CB"/>
    <w:rsid w:val="002C2168"/>
    <w:rsid w:val="002C27F3"/>
    <w:rsid w:val="002C4BBB"/>
    <w:rsid w:val="002D0BBE"/>
    <w:rsid w:val="002D2A42"/>
    <w:rsid w:val="002D3375"/>
    <w:rsid w:val="002D3980"/>
    <w:rsid w:val="002D639D"/>
    <w:rsid w:val="002D6815"/>
    <w:rsid w:val="002E002B"/>
    <w:rsid w:val="002E204F"/>
    <w:rsid w:val="002E250F"/>
    <w:rsid w:val="002F3801"/>
    <w:rsid w:val="002F51B4"/>
    <w:rsid w:val="002F780C"/>
    <w:rsid w:val="0030093C"/>
    <w:rsid w:val="00301A6D"/>
    <w:rsid w:val="00302C13"/>
    <w:rsid w:val="00302CFE"/>
    <w:rsid w:val="00305CBB"/>
    <w:rsid w:val="00305EFE"/>
    <w:rsid w:val="003138E5"/>
    <w:rsid w:val="00315E11"/>
    <w:rsid w:val="00317549"/>
    <w:rsid w:val="0032391D"/>
    <w:rsid w:val="00323B40"/>
    <w:rsid w:val="00323FD4"/>
    <w:rsid w:val="00325C0B"/>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94700"/>
    <w:rsid w:val="003A22E4"/>
    <w:rsid w:val="003A2CE6"/>
    <w:rsid w:val="003A2FF9"/>
    <w:rsid w:val="003A4BDA"/>
    <w:rsid w:val="003A6E46"/>
    <w:rsid w:val="003A7C84"/>
    <w:rsid w:val="003B0856"/>
    <w:rsid w:val="003B08AF"/>
    <w:rsid w:val="003B1AC2"/>
    <w:rsid w:val="003B1B11"/>
    <w:rsid w:val="003B25CE"/>
    <w:rsid w:val="003B4B7F"/>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541D"/>
    <w:rsid w:val="004373A3"/>
    <w:rsid w:val="004379B1"/>
    <w:rsid w:val="00445096"/>
    <w:rsid w:val="00445F8D"/>
    <w:rsid w:val="00447140"/>
    <w:rsid w:val="004530CB"/>
    <w:rsid w:val="00457394"/>
    <w:rsid w:val="0046146A"/>
    <w:rsid w:val="0046375E"/>
    <w:rsid w:val="00466016"/>
    <w:rsid w:val="00471DB7"/>
    <w:rsid w:val="00472541"/>
    <w:rsid w:val="00473022"/>
    <w:rsid w:val="004807BA"/>
    <w:rsid w:val="0048150C"/>
    <w:rsid w:val="00483495"/>
    <w:rsid w:val="00484A3D"/>
    <w:rsid w:val="0048507B"/>
    <w:rsid w:val="004854EA"/>
    <w:rsid w:val="0048734B"/>
    <w:rsid w:val="00487B80"/>
    <w:rsid w:val="00487F99"/>
    <w:rsid w:val="004901BC"/>
    <w:rsid w:val="0049152B"/>
    <w:rsid w:val="00494E59"/>
    <w:rsid w:val="004A4AB4"/>
    <w:rsid w:val="004A4F53"/>
    <w:rsid w:val="004A539E"/>
    <w:rsid w:val="004A54EC"/>
    <w:rsid w:val="004B41A7"/>
    <w:rsid w:val="004B4EF4"/>
    <w:rsid w:val="004B7912"/>
    <w:rsid w:val="004C17AA"/>
    <w:rsid w:val="004C2A89"/>
    <w:rsid w:val="004C3480"/>
    <w:rsid w:val="004C580C"/>
    <w:rsid w:val="004D087B"/>
    <w:rsid w:val="004D1866"/>
    <w:rsid w:val="004D4590"/>
    <w:rsid w:val="004D60AA"/>
    <w:rsid w:val="004E0D49"/>
    <w:rsid w:val="004E1B75"/>
    <w:rsid w:val="004E6748"/>
    <w:rsid w:val="004F0A8F"/>
    <w:rsid w:val="004F3D70"/>
    <w:rsid w:val="004F627C"/>
    <w:rsid w:val="004F647C"/>
    <w:rsid w:val="004F6BF2"/>
    <w:rsid w:val="00500DC9"/>
    <w:rsid w:val="00502417"/>
    <w:rsid w:val="005046DA"/>
    <w:rsid w:val="005063CC"/>
    <w:rsid w:val="0051077A"/>
    <w:rsid w:val="0051081D"/>
    <w:rsid w:val="00510827"/>
    <w:rsid w:val="0051263A"/>
    <w:rsid w:val="00517C27"/>
    <w:rsid w:val="00523017"/>
    <w:rsid w:val="00525D05"/>
    <w:rsid w:val="0052649E"/>
    <w:rsid w:val="00535012"/>
    <w:rsid w:val="00535D9E"/>
    <w:rsid w:val="005367D4"/>
    <w:rsid w:val="00541A28"/>
    <w:rsid w:val="00543DE7"/>
    <w:rsid w:val="00546FBE"/>
    <w:rsid w:val="005526EB"/>
    <w:rsid w:val="00552DC0"/>
    <w:rsid w:val="00561A11"/>
    <w:rsid w:val="00563D86"/>
    <w:rsid w:val="00564434"/>
    <w:rsid w:val="00573EC9"/>
    <w:rsid w:val="005752E2"/>
    <w:rsid w:val="00581410"/>
    <w:rsid w:val="00581ADA"/>
    <w:rsid w:val="005944DA"/>
    <w:rsid w:val="0059582D"/>
    <w:rsid w:val="00595DE0"/>
    <w:rsid w:val="00596ABD"/>
    <w:rsid w:val="005A1F4F"/>
    <w:rsid w:val="005A2578"/>
    <w:rsid w:val="005A4D44"/>
    <w:rsid w:val="005A5448"/>
    <w:rsid w:val="005B367C"/>
    <w:rsid w:val="005B65F6"/>
    <w:rsid w:val="005B6955"/>
    <w:rsid w:val="005C0984"/>
    <w:rsid w:val="005C1EA8"/>
    <w:rsid w:val="005C31EA"/>
    <w:rsid w:val="005C4254"/>
    <w:rsid w:val="005C430F"/>
    <w:rsid w:val="005D598A"/>
    <w:rsid w:val="005D5CAD"/>
    <w:rsid w:val="005D5CBC"/>
    <w:rsid w:val="005D74DA"/>
    <w:rsid w:val="005E103B"/>
    <w:rsid w:val="005E1F79"/>
    <w:rsid w:val="005E4125"/>
    <w:rsid w:val="005E70B1"/>
    <w:rsid w:val="005E77AB"/>
    <w:rsid w:val="005F022A"/>
    <w:rsid w:val="005F2FD7"/>
    <w:rsid w:val="005F6862"/>
    <w:rsid w:val="0061078F"/>
    <w:rsid w:val="00614DAB"/>
    <w:rsid w:val="00615C15"/>
    <w:rsid w:val="00616DD2"/>
    <w:rsid w:val="00616F07"/>
    <w:rsid w:val="006213F5"/>
    <w:rsid w:val="006216C7"/>
    <w:rsid w:val="00624337"/>
    <w:rsid w:val="00626AA3"/>
    <w:rsid w:val="00632C07"/>
    <w:rsid w:val="00633DD1"/>
    <w:rsid w:val="00635451"/>
    <w:rsid w:val="006371C7"/>
    <w:rsid w:val="00640ABB"/>
    <w:rsid w:val="006410E6"/>
    <w:rsid w:val="00642B86"/>
    <w:rsid w:val="00646C60"/>
    <w:rsid w:val="00657073"/>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272"/>
    <w:rsid w:val="006F2B98"/>
    <w:rsid w:val="006F4A8C"/>
    <w:rsid w:val="006F54EA"/>
    <w:rsid w:val="007022C1"/>
    <w:rsid w:val="007036CA"/>
    <w:rsid w:val="00703A02"/>
    <w:rsid w:val="00703D32"/>
    <w:rsid w:val="00705023"/>
    <w:rsid w:val="00707F7A"/>
    <w:rsid w:val="007140EF"/>
    <w:rsid w:val="0072143C"/>
    <w:rsid w:val="007214B8"/>
    <w:rsid w:val="007215CA"/>
    <w:rsid w:val="00721A43"/>
    <w:rsid w:val="00721CEE"/>
    <w:rsid w:val="00721E07"/>
    <w:rsid w:val="0072515A"/>
    <w:rsid w:val="00727854"/>
    <w:rsid w:val="00727879"/>
    <w:rsid w:val="00730A3C"/>
    <w:rsid w:val="00730E6B"/>
    <w:rsid w:val="007321D1"/>
    <w:rsid w:val="007325B5"/>
    <w:rsid w:val="007413E7"/>
    <w:rsid w:val="0074331D"/>
    <w:rsid w:val="00746369"/>
    <w:rsid w:val="00746C0A"/>
    <w:rsid w:val="00752223"/>
    <w:rsid w:val="007530FA"/>
    <w:rsid w:val="00753988"/>
    <w:rsid w:val="007542FE"/>
    <w:rsid w:val="00756176"/>
    <w:rsid w:val="00757B23"/>
    <w:rsid w:val="00761E96"/>
    <w:rsid w:val="00761F36"/>
    <w:rsid w:val="00766C8E"/>
    <w:rsid w:val="00771E7A"/>
    <w:rsid w:val="00775778"/>
    <w:rsid w:val="00780122"/>
    <w:rsid w:val="00781430"/>
    <w:rsid w:val="00783A89"/>
    <w:rsid w:val="007842C0"/>
    <w:rsid w:val="00784E68"/>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29B0"/>
    <w:rsid w:val="007E4518"/>
    <w:rsid w:val="007E746E"/>
    <w:rsid w:val="00802744"/>
    <w:rsid w:val="00805138"/>
    <w:rsid w:val="00807E6B"/>
    <w:rsid w:val="0081612E"/>
    <w:rsid w:val="00823FD0"/>
    <w:rsid w:val="0082432F"/>
    <w:rsid w:val="00825DA0"/>
    <w:rsid w:val="0082781C"/>
    <w:rsid w:val="00827B09"/>
    <w:rsid w:val="0083505B"/>
    <w:rsid w:val="008364BF"/>
    <w:rsid w:val="00842F10"/>
    <w:rsid w:val="00845C53"/>
    <w:rsid w:val="008469FC"/>
    <w:rsid w:val="0085094D"/>
    <w:rsid w:val="00855C51"/>
    <w:rsid w:val="008566D0"/>
    <w:rsid w:val="0085682A"/>
    <w:rsid w:val="008611F7"/>
    <w:rsid w:val="00865D2B"/>
    <w:rsid w:val="0086619D"/>
    <w:rsid w:val="00867770"/>
    <w:rsid w:val="00873ED9"/>
    <w:rsid w:val="00874EF9"/>
    <w:rsid w:val="0087537C"/>
    <w:rsid w:val="00877579"/>
    <w:rsid w:val="008850C0"/>
    <w:rsid w:val="0089146C"/>
    <w:rsid w:val="00891C1F"/>
    <w:rsid w:val="00893A33"/>
    <w:rsid w:val="00896378"/>
    <w:rsid w:val="00897112"/>
    <w:rsid w:val="008A2557"/>
    <w:rsid w:val="008A2B6A"/>
    <w:rsid w:val="008B4277"/>
    <w:rsid w:val="008B466E"/>
    <w:rsid w:val="008B4B39"/>
    <w:rsid w:val="008B74DA"/>
    <w:rsid w:val="008C10CA"/>
    <w:rsid w:val="008C175F"/>
    <w:rsid w:val="008C382C"/>
    <w:rsid w:val="008D0A6A"/>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1AC3"/>
    <w:rsid w:val="00976D47"/>
    <w:rsid w:val="009802D7"/>
    <w:rsid w:val="00981FB6"/>
    <w:rsid w:val="00982CAE"/>
    <w:rsid w:val="00985F5E"/>
    <w:rsid w:val="00993AA0"/>
    <w:rsid w:val="00996866"/>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0655"/>
    <w:rsid w:val="00A41208"/>
    <w:rsid w:val="00A45E5F"/>
    <w:rsid w:val="00A500AA"/>
    <w:rsid w:val="00A52857"/>
    <w:rsid w:val="00A53338"/>
    <w:rsid w:val="00A5378C"/>
    <w:rsid w:val="00A53E4F"/>
    <w:rsid w:val="00A5658C"/>
    <w:rsid w:val="00A62413"/>
    <w:rsid w:val="00A635A3"/>
    <w:rsid w:val="00A662BC"/>
    <w:rsid w:val="00A66BE7"/>
    <w:rsid w:val="00A76417"/>
    <w:rsid w:val="00A90D17"/>
    <w:rsid w:val="00A91616"/>
    <w:rsid w:val="00A936C6"/>
    <w:rsid w:val="00AA2F36"/>
    <w:rsid w:val="00AB08F3"/>
    <w:rsid w:val="00AB1CA3"/>
    <w:rsid w:val="00AB4BB6"/>
    <w:rsid w:val="00AB6A26"/>
    <w:rsid w:val="00AC229A"/>
    <w:rsid w:val="00AC275C"/>
    <w:rsid w:val="00AC57D0"/>
    <w:rsid w:val="00AD01F6"/>
    <w:rsid w:val="00AD0DE1"/>
    <w:rsid w:val="00AD0E40"/>
    <w:rsid w:val="00AD19E8"/>
    <w:rsid w:val="00AD7CBD"/>
    <w:rsid w:val="00AE18A8"/>
    <w:rsid w:val="00AE26BC"/>
    <w:rsid w:val="00AE2D7D"/>
    <w:rsid w:val="00AE3FE1"/>
    <w:rsid w:val="00AF12D7"/>
    <w:rsid w:val="00AF3EF2"/>
    <w:rsid w:val="00AF444A"/>
    <w:rsid w:val="00AF4C46"/>
    <w:rsid w:val="00AF608C"/>
    <w:rsid w:val="00AF6348"/>
    <w:rsid w:val="00AF67A8"/>
    <w:rsid w:val="00AF7C3F"/>
    <w:rsid w:val="00B02045"/>
    <w:rsid w:val="00B10264"/>
    <w:rsid w:val="00B1026D"/>
    <w:rsid w:val="00B106C8"/>
    <w:rsid w:val="00B1185D"/>
    <w:rsid w:val="00B13EC8"/>
    <w:rsid w:val="00B17450"/>
    <w:rsid w:val="00B20822"/>
    <w:rsid w:val="00B20C37"/>
    <w:rsid w:val="00B25681"/>
    <w:rsid w:val="00B2703D"/>
    <w:rsid w:val="00B30747"/>
    <w:rsid w:val="00B355D1"/>
    <w:rsid w:val="00B41643"/>
    <w:rsid w:val="00B42EA5"/>
    <w:rsid w:val="00B468BF"/>
    <w:rsid w:val="00B47A0D"/>
    <w:rsid w:val="00B6537E"/>
    <w:rsid w:val="00B65AA3"/>
    <w:rsid w:val="00B6705D"/>
    <w:rsid w:val="00B67292"/>
    <w:rsid w:val="00B7110E"/>
    <w:rsid w:val="00B73A17"/>
    <w:rsid w:val="00B74778"/>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FEA"/>
    <w:rsid w:val="00BB05AA"/>
    <w:rsid w:val="00BB0F36"/>
    <w:rsid w:val="00BC2C31"/>
    <w:rsid w:val="00BC2F54"/>
    <w:rsid w:val="00BC34EE"/>
    <w:rsid w:val="00BE180A"/>
    <w:rsid w:val="00BE7513"/>
    <w:rsid w:val="00BF24F1"/>
    <w:rsid w:val="00BF6DC9"/>
    <w:rsid w:val="00BF6FDF"/>
    <w:rsid w:val="00C029B7"/>
    <w:rsid w:val="00C05969"/>
    <w:rsid w:val="00C15C5E"/>
    <w:rsid w:val="00C24A2B"/>
    <w:rsid w:val="00C33582"/>
    <w:rsid w:val="00C3433F"/>
    <w:rsid w:val="00C34A10"/>
    <w:rsid w:val="00C435E4"/>
    <w:rsid w:val="00C43F04"/>
    <w:rsid w:val="00C506C4"/>
    <w:rsid w:val="00C52054"/>
    <w:rsid w:val="00C523E4"/>
    <w:rsid w:val="00C52EB1"/>
    <w:rsid w:val="00C54AC6"/>
    <w:rsid w:val="00C56425"/>
    <w:rsid w:val="00C61C48"/>
    <w:rsid w:val="00C75060"/>
    <w:rsid w:val="00C773B9"/>
    <w:rsid w:val="00C77481"/>
    <w:rsid w:val="00C80EA2"/>
    <w:rsid w:val="00C85A64"/>
    <w:rsid w:val="00C921E8"/>
    <w:rsid w:val="00C93154"/>
    <w:rsid w:val="00CA3C6C"/>
    <w:rsid w:val="00CA4183"/>
    <w:rsid w:val="00CA5092"/>
    <w:rsid w:val="00CA5ABA"/>
    <w:rsid w:val="00CA7655"/>
    <w:rsid w:val="00CB1540"/>
    <w:rsid w:val="00CB258D"/>
    <w:rsid w:val="00CC067B"/>
    <w:rsid w:val="00CC312F"/>
    <w:rsid w:val="00CC5E4F"/>
    <w:rsid w:val="00CD6B1C"/>
    <w:rsid w:val="00CD746A"/>
    <w:rsid w:val="00CE0745"/>
    <w:rsid w:val="00CE512E"/>
    <w:rsid w:val="00CE6E4A"/>
    <w:rsid w:val="00CF0E6D"/>
    <w:rsid w:val="00CF19AD"/>
    <w:rsid w:val="00CF291C"/>
    <w:rsid w:val="00CF2F05"/>
    <w:rsid w:val="00CF3803"/>
    <w:rsid w:val="00CF41BA"/>
    <w:rsid w:val="00D0412D"/>
    <w:rsid w:val="00D05FB1"/>
    <w:rsid w:val="00D117E3"/>
    <w:rsid w:val="00D12494"/>
    <w:rsid w:val="00D140DF"/>
    <w:rsid w:val="00D22ED3"/>
    <w:rsid w:val="00D23492"/>
    <w:rsid w:val="00D27920"/>
    <w:rsid w:val="00D27BD8"/>
    <w:rsid w:val="00D31DB2"/>
    <w:rsid w:val="00D32B59"/>
    <w:rsid w:val="00D3337E"/>
    <w:rsid w:val="00D349F2"/>
    <w:rsid w:val="00D34B36"/>
    <w:rsid w:val="00D52B23"/>
    <w:rsid w:val="00D52B75"/>
    <w:rsid w:val="00D53097"/>
    <w:rsid w:val="00D54AA3"/>
    <w:rsid w:val="00D5580B"/>
    <w:rsid w:val="00D6333C"/>
    <w:rsid w:val="00D67D6E"/>
    <w:rsid w:val="00D713F0"/>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C0B5A"/>
    <w:rsid w:val="00DC0E12"/>
    <w:rsid w:val="00DD2164"/>
    <w:rsid w:val="00DD4B77"/>
    <w:rsid w:val="00DD57B6"/>
    <w:rsid w:val="00DD72D1"/>
    <w:rsid w:val="00DE7145"/>
    <w:rsid w:val="00DE7C60"/>
    <w:rsid w:val="00DF3CD6"/>
    <w:rsid w:val="00E027EE"/>
    <w:rsid w:val="00E056E6"/>
    <w:rsid w:val="00E125D7"/>
    <w:rsid w:val="00E23ACF"/>
    <w:rsid w:val="00E27F36"/>
    <w:rsid w:val="00E33B0A"/>
    <w:rsid w:val="00E34D16"/>
    <w:rsid w:val="00E34F2E"/>
    <w:rsid w:val="00E37A3C"/>
    <w:rsid w:val="00E41593"/>
    <w:rsid w:val="00E42EFF"/>
    <w:rsid w:val="00E55A7A"/>
    <w:rsid w:val="00E57600"/>
    <w:rsid w:val="00E57C8C"/>
    <w:rsid w:val="00E61177"/>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1EDD"/>
    <w:rsid w:val="00F0517D"/>
    <w:rsid w:val="00F05556"/>
    <w:rsid w:val="00F07ED4"/>
    <w:rsid w:val="00F1382F"/>
    <w:rsid w:val="00F145FF"/>
    <w:rsid w:val="00F17D12"/>
    <w:rsid w:val="00F2325F"/>
    <w:rsid w:val="00F23A8D"/>
    <w:rsid w:val="00F23C0C"/>
    <w:rsid w:val="00F25A82"/>
    <w:rsid w:val="00F27EFA"/>
    <w:rsid w:val="00F33C19"/>
    <w:rsid w:val="00F34299"/>
    <w:rsid w:val="00F34EDC"/>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871C4"/>
    <w:rsid w:val="00F93EC9"/>
    <w:rsid w:val="00FA00A0"/>
    <w:rsid w:val="00FA0736"/>
    <w:rsid w:val="00FA1DC4"/>
    <w:rsid w:val="00FA50A2"/>
    <w:rsid w:val="00FA7D92"/>
    <w:rsid w:val="00FB053C"/>
    <w:rsid w:val="00FB1895"/>
    <w:rsid w:val="00FB2FBD"/>
    <w:rsid w:val="00FB3453"/>
    <w:rsid w:val="00FB5B98"/>
    <w:rsid w:val="00FB7D6C"/>
    <w:rsid w:val="00FC362E"/>
    <w:rsid w:val="00FC4935"/>
    <w:rsid w:val="00FC4A6F"/>
    <w:rsid w:val="00FC6C80"/>
    <w:rsid w:val="00FD0A7A"/>
    <w:rsid w:val="00FD0C32"/>
    <w:rsid w:val="00FE1A85"/>
    <w:rsid w:val="00FE1DC9"/>
    <w:rsid w:val="00FF0136"/>
    <w:rsid w:val="00FF0736"/>
    <w:rsid w:val="00FF1FAE"/>
    <w:rsid w:val="00FF2294"/>
    <w:rsid w:val="00FF2649"/>
    <w:rsid w:val="00FF274D"/>
    <w:rsid w:val="00FF4D58"/>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 w:type="paragraph" w:styleId="Revision">
    <w:name w:val="Revision"/>
    <w:hidden/>
    <w:uiPriority w:val="99"/>
    <w:semiHidden/>
    <w:rsid w:val="001C01D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76996-AB33-4C68-8855-B25938F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1071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84</cp:revision>
  <dcterms:created xsi:type="dcterms:W3CDTF">2022-03-02T16:58:00Z</dcterms:created>
  <dcterms:modified xsi:type="dcterms:W3CDTF">2022-03-03T09:04:00Z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