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9E" w:rsidRPr="00422614" w:rsidRDefault="00FF469E" w:rsidP="007B5B70">
      <w:pPr>
        <w:jc w:val="center"/>
        <w:rPr>
          <w:b/>
        </w:rPr>
      </w:pPr>
      <w:r w:rsidRPr="00422614">
        <w:rPr>
          <w:b/>
        </w:rPr>
        <w:t>R O M Â N I A</w:t>
      </w:r>
    </w:p>
    <w:p w:rsidR="00FF469E" w:rsidRPr="00422614" w:rsidRDefault="00FF469E" w:rsidP="007B5B70">
      <w:pPr>
        <w:jc w:val="center"/>
      </w:pPr>
      <w:r w:rsidRPr="00422614">
        <w:rPr>
          <w:noProof/>
          <w:color w:val="0000FF"/>
        </w:rPr>
        <w:drawing>
          <wp:inline distT="0" distB="0" distL="0" distR="0" wp14:anchorId="55779C6A" wp14:editId="68B87947">
            <wp:extent cx="685800" cy="857250"/>
            <wp:effectExtent l="0" t="0" r="0" b="0"/>
            <wp:docPr id="2" name="Imagine 2" descr="ANd9GcQebf9UVoTATbwhS9auCTlU-SN3hYKCuofUIW7ES-oWq4__xnbhJcSOo2k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ebf9UVoTATbwhS9auCTlU-SN3hYKCuofUIW7ES-oWq4__xnbhJcSOo2k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inline>
        </w:drawing>
      </w:r>
    </w:p>
    <w:tbl>
      <w:tblPr>
        <w:tblW w:w="10632" w:type="dxa"/>
        <w:tblInd w:w="-459" w:type="dxa"/>
        <w:tblLook w:val="01E0" w:firstRow="1" w:lastRow="1" w:firstColumn="1" w:lastColumn="1" w:noHBand="0" w:noVBand="0"/>
      </w:tblPr>
      <w:tblGrid>
        <w:gridCol w:w="3639"/>
        <w:gridCol w:w="3360"/>
        <w:gridCol w:w="3633"/>
      </w:tblGrid>
      <w:tr w:rsidR="00FF469E" w:rsidRPr="00422614" w:rsidTr="008645E0">
        <w:trPr>
          <w:trHeight w:val="340"/>
        </w:trPr>
        <w:tc>
          <w:tcPr>
            <w:tcW w:w="3639" w:type="dxa"/>
            <w:shd w:val="clear" w:color="auto" w:fill="0000FF"/>
          </w:tcPr>
          <w:p w:rsidR="00FF469E" w:rsidRPr="00422614" w:rsidRDefault="00FF469E" w:rsidP="008645E0">
            <w:pPr>
              <w:jc w:val="center"/>
            </w:pPr>
          </w:p>
          <w:p w:rsidR="00FF469E" w:rsidRPr="00422614" w:rsidRDefault="00FF469E" w:rsidP="008645E0">
            <w:pPr>
              <w:jc w:val="center"/>
            </w:pPr>
          </w:p>
        </w:tc>
        <w:tc>
          <w:tcPr>
            <w:tcW w:w="3360" w:type="dxa"/>
            <w:shd w:val="clear" w:color="auto" w:fill="FFFF00"/>
          </w:tcPr>
          <w:p w:rsidR="00FF469E" w:rsidRPr="00422614" w:rsidRDefault="00FF469E" w:rsidP="008645E0">
            <w:pPr>
              <w:jc w:val="center"/>
            </w:pPr>
          </w:p>
        </w:tc>
        <w:tc>
          <w:tcPr>
            <w:tcW w:w="3633" w:type="dxa"/>
            <w:shd w:val="clear" w:color="auto" w:fill="FF0000"/>
          </w:tcPr>
          <w:p w:rsidR="00FF469E" w:rsidRPr="00422614" w:rsidRDefault="00FF469E" w:rsidP="008645E0">
            <w:pPr>
              <w:jc w:val="center"/>
            </w:pPr>
          </w:p>
        </w:tc>
      </w:tr>
    </w:tbl>
    <w:p w:rsidR="00FF469E" w:rsidRPr="00422614" w:rsidRDefault="00FF469E" w:rsidP="00FF469E">
      <w:pPr>
        <w:tabs>
          <w:tab w:val="left" w:pos="0"/>
        </w:tabs>
        <w:spacing w:line="276" w:lineRule="auto"/>
        <w:ind w:left="-360" w:hanging="66"/>
        <w:rPr>
          <w:b/>
        </w:rPr>
      </w:pPr>
      <w:r w:rsidRPr="00422614">
        <w:rPr>
          <w:b/>
        </w:rPr>
        <w:t>CURTEA DE APEL BUCUREŞTI</w:t>
      </w:r>
    </w:p>
    <w:tbl>
      <w:tblPr>
        <w:tblW w:w="10501" w:type="dxa"/>
        <w:tblInd w:w="-612" w:type="dxa"/>
        <w:tblLook w:val="01E0" w:firstRow="1" w:lastRow="1" w:firstColumn="1" w:lastColumn="1" w:noHBand="0" w:noVBand="0"/>
      </w:tblPr>
      <w:tblGrid>
        <w:gridCol w:w="5398"/>
        <w:gridCol w:w="284"/>
        <w:gridCol w:w="4819"/>
      </w:tblGrid>
      <w:tr w:rsidR="00FF469E" w:rsidRPr="00422614" w:rsidTr="008645E0">
        <w:tc>
          <w:tcPr>
            <w:tcW w:w="5398" w:type="dxa"/>
            <w:shd w:val="clear" w:color="auto" w:fill="auto"/>
          </w:tcPr>
          <w:p w:rsidR="00FF469E" w:rsidRPr="00422614" w:rsidRDefault="00FF469E" w:rsidP="008645E0">
            <w:pPr>
              <w:spacing w:line="276" w:lineRule="auto"/>
              <w:jc w:val="both"/>
              <w:rPr>
                <w:b/>
              </w:rPr>
            </w:pPr>
            <w:r w:rsidRPr="00422614">
              <w:rPr>
                <w:b/>
              </w:rPr>
              <w:t xml:space="preserve">               </w:t>
            </w:r>
            <w:r w:rsidRPr="00422614">
              <w:rPr>
                <w:b/>
                <w:noProof/>
              </w:rPr>
              <w:drawing>
                <wp:inline distT="0" distB="0" distL="0" distR="0" wp14:anchorId="081192C8" wp14:editId="2538AB0B">
                  <wp:extent cx="1268730" cy="1325880"/>
                  <wp:effectExtent l="0" t="0" r="7620" b="7620"/>
                  <wp:docPr id="1" name="Imagin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730" cy="1325880"/>
                          </a:xfrm>
                          <a:prstGeom prst="rect">
                            <a:avLst/>
                          </a:prstGeom>
                          <a:noFill/>
                          <a:ln>
                            <a:noFill/>
                          </a:ln>
                        </pic:spPr>
                      </pic:pic>
                    </a:graphicData>
                  </a:graphic>
                </wp:inline>
              </w:drawing>
            </w:r>
          </w:p>
          <w:p w:rsidR="00FF469E" w:rsidRPr="00422614" w:rsidRDefault="00FF469E" w:rsidP="008645E0">
            <w:pPr>
              <w:spacing w:line="276" w:lineRule="auto"/>
              <w:ind w:left="328"/>
              <w:jc w:val="both"/>
              <w:rPr>
                <w:b/>
                <w:sz w:val="20"/>
                <w:szCs w:val="20"/>
              </w:rPr>
            </w:pPr>
            <w:r w:rsidRPr="00422614">
              <w:rPr>
                <w:b/>
                <w:sz w:val="20"/>
                <w:szCs w:val="20"/>
              </w:rPr>
              <w:t>BIROUL DE INFORMARE ŞI RELAŢII PUBLICE</w:t>
            </w:r>
          </w:p>
          <w:p w:rsidR="00FF469E" w:rsidRPr="00422614" w:rsidRDefault="00FF469E" w:rsidP="0032484C">
            <w:pPr>
              <w:spacing w:line="276" w:lineRule="auto"/>
              <w:ind w:firstLine="328"/>
              <w:rPr>
                <w:b/>
              </w:rPr>
            </w:pPr>
            <w:r w:rsidRPr="00422614">
              <w:rPr>
                <w:b/>
              </w:rPr>
              <w:t xml:space="preserve">Nr. </w:t>
            </w:r>
            <w:r w:rsidR="0032484C" w:rsidRPr="00422614">
              <w:rPr>
                <w:b/>
              </w:rPr>
              <w:t>184</w:t>
            </w:r>
            <w:r w:rsidR="003513F0" w:rsidRPr="00422614">
              <w:rPr>
                <w:b/>
              </w:rPr>
              <w:t>/BIRP/</w:t>
            </w:r>
            <w:r w:rsidR="0032484C" w:rsidRPr="00422614">
              <w:rPr>
                <w:b/>
              </w:rPr>
              <w:t>11.03.2020</w:t>
            </w:r>
          </w:p>
        </w:tc>
        <w:tc>
          <w:tcPr>
            <w:tcW w:w="284" w:type="dxa"/>
            <w:shd w:val="clear" w:color="auto" w:fill="auto"/>
          </w:tcPr>
          <w:p w:rsidR="00FF469E" w:rsidRPr="00422614" w:rsidRDefault="00FF469E" w:rsidP="008645E0">
            <w:pPr>
              <w:spacing w:line="276" w:lineRule="auto"/>
              <w:jc w:val="center"/>
            </w:pPr>
          </w:p>
        </w:tc>
        <w:tc>
          <w:tcPr>
            <w:tcW w:w="4819" w:type="dxa"/>
            <w:shd w:val="clear" w:color="auto" w:fill="auto"/>
          </w:tcPr>
          <w:p w:rsidR="007B5B70" w:rsidRPr="00422614" w:rsidRDefault="007B5B70" w:rsidP="008645E0">
            <w:pPr>
              <w:spacing w:line="276" w:lineRule="auto"/>
              <w:jc w:val="both"/>
              <w:rPr>
                <w:sz w:val="22"/>
                <w:szCs w:val="22"/>
              </w:rPr>
            </w:pPr>
          </w:p>
          <w:p w:rsidR="00FF469E" w:rsidRPr="00422614" w:rsidRDefault="00FF469E" w:rsidP="008645E0">
            <w:pPr>
              <w:spacing w:line="276" w:lineRule="auto"/>
              <w:jc w:val="both"/>
              <w:rPr>
                <w:sz w:val="22"/>
                <w:szCs w:val="22"/>
              </w:rPr>
            </w:pPr>
            <w:r w:rsidRPr="00422614">
              <w:rPr>
                <w:sz w:val="22"/>
                <w:szCs w:val="22"/>
              </w:rPr>
              <w:t>Splaiul Independenţei nr. 5, sectorul 4</w:t>
            </w:r>
          </w:p>
          <w:p w:rsidR="00FF469E" w:rsidRPr="00422614" w:rsidRDefault="00FF469E" w:rsidP="008645E0">
            <w:pPr>
              <w:spacing w:line="276" w:lineRule="auto"/>
              <w:jc w:val="both"/>
              <w:rPr>
                <w:sz w:val="22"/>
                <w:szCs w:val="22"/>
              </w:rPr>
            </w:pPr>
            <w:r w:rsidRPr="00422614">
              <w:rPr>
                <w:sz w:val="22"/>
                <w:szCs w:val="22"/>
              </w:rPr>
              <w:t>E-mail: relatiicab@just.ro</w:t>
            </w:r>
          </w:p>
          <w:p w:rsidR="00FF469E" w:rsidRPr="00422614" w:rsidRDefault="00FF469E" w:rsidP="008645E0">
            <w:pPr>
              <w:spacing w:line="276" w:lineRule="auto"/>
              <w:jc w:val="both"/>
              <w:rPr>
                <w:sz w:val="22"/>
                <w:szCs w:val="22"/>
              </w:rPr>
            </w:pPr>
            <w:r w:rsidRPr="00422614">
              <w:rPr>
                <w:sz w:val="22"/>
                <w:szCs w:val="22"/>
              </w:rPr>
              <w:t xml:space="preserve">Web: </w:t>
            </w:r>
            <w:hyperlink r:id="rId10" w:history="1">
              <w:r w:rsidRPr="00422614">
                <w:rPr>
                  <w:rStyle w:val="Hyperlink"/>
                  <w:sz w:val="22"/>
                  <w:szCs w:val="22"/>
                </w:rPr>
                <w:t>http://www.cab1864.eu</w:t>
              </w:r>
            </w:hyperlink>
            <w:r w:rsidRPr="00422614">
              <w:rPr>
                <w:sz w:val="22"/>
                <w:szCs w:val="22"/>
              </w:rPr>
              <w:t>;</w:t>
            </w:r>
          </w:p>
          <w:p w:rsidR="00FF469E" w:rsidRPr="00422614" w:rsidRDefault="00FF469E" w:rsidP="008645E0">
            <w:pPr>
              <w:spacing w:line="276" w:lineRule="auto"/>
              <w:jc w:val="both"/>
              <w:rPr>
                <w:sz w:val="22"/>
                <w:szCs w:val="22"/>
              </w:rPr>
            </w:pPr>
            <w:r w:rsidRPr="00422614">
              <w:rPr>
                <w:sz w:val="22"/>
                <w:szCs w:val="22"/>
              </w:rPr>
              <w:t>http://noulportal.just.ro/</w:t>
            </w:r>
          </w:p>
          <w:p w:rsidR="00FF469E" w:rsidRPr="00422614" w:rsidRDefault="00FF469E" w:rsidP="008645E0">
            <w:pPr>
              <w:spacing w:line="276" w:lineRule="auto"/>
              <w:jc w:val="both"/>
              <w:rPr>
                <w:sz w:val="22"/>
                <w:szCs w:val="22"/>
              </w:rPr>
            </w:pPr>
            <w:r w:rsidRPr="00422614">
              <w:rPr>
                <w:sz w:val="22"/>
                <w:szCs w:val="22"/>
              </w:rPr>
              <w:t>Tel: (+4-021) 319.51.80;</w:t>
            </w:r>
          </w:p>
          <w:p w:rsidR="00FF469E" w:rsidRPr="00422614" w:rsidRDefault="00FF469E" w:rsidP="008645E0">
            <w:pPr>
              <w:spacing w:line="276" w:lineRule="auto"/>
              <w:jc w:val="both"/>
              <w:rPr>
                <w:sz w:val="22"/>
                <w:szCs w:val="22"/>
              </w:rPr>
            </w:pPr>
            <w:r w:rsidRPr="00422614">
              <w:rPr>
                <w:i/>
                <w:sz w:val="22"/>
                <w:szCs w:val="22"/>
              </w:rPr>
              <w:t>Operator de date cu caracter personal nr. 2933</w:t>
            </w:r>
          </w:p>
          <w:p w:rsidR="00FF469E" w:rsidRPr="00422614" w:rsidRDefault="00FF469E" w:rsidP="008645E0">
            <w:pPr>
              <w:spacing w:line="276" w:lineRule="auto"/>
              <w:jc w:val="both"/>
              <w:rPr>
                <w:i/>
              </w:rPr>
            </w:pPr>
          </w:p>
        </w:tc>
      </w:tr>
    </w:tbl>
    <w:p w:rsidR="00FF469E" w:rsidRPr="00422614" w:rsidRDefault="00FF469E" w:rsidP="00FF469E">
      <w:pPr>
        <w:spacing w:line="276" w:lineRule="auto"/>
        <w:rPr>
          <w:b/>
          <w:color w:val="000000"/>
        </w:rPr>
      </w:pPr>
    </w:p>
    <w:p w:rsidR="00FF469E" w:rsidRPr="00422614" w:rsidRDefault="00FF469E" w:rsidP="00FF469E">
      <w:pPr>
        <w:rPr>
          <w:b/>
          <w:i/>
          <w:color w:val="181818"/>
        </w:rPr>
      </w:pPr>
    </w:p>
    <w:p w:rsidR="00FF469E" w:rsidRPr="00422614" w:rsidRDefault="00FF469E" w:rsidP="00FF469E">
      <w:pPr>
        <w:rPr>
          <w:b/>
          <w:color w:val="181818"/>
          <w:sz w:val="28"/>
          <w:szCs w:val="28"/>
        </w:rPr>
      </w:pPr>
    </w:p>
    <w:p w:rsidR="003513F0" w:rsidRPr="00422614" w:rsidRDefault="00FF469E" w:rsidP="00E97CCC">
      <w:pPr>
        <w:jc w:val="center"/>
        <w:rPr>
          <w:b/>
          <w:color w:val="181818"/>
          <w:sz w:val="28"/>
          <w:szCs w:val="28"/>
        </w:rPr>
      </w:pPr>
      <w:r w:rsidRPr="00422614">
        <w:rPr>
          <w:b/>
          <w:color w:val="181818"/>
          <w:sz w:val="28"/>
          <w:szCs w:val="28"/>
        </w:rPr>
        <w:t>COMUNICAT</w:t>
      </w:r>
    </w:p>
    <w:p w:rsidR="003513F0" w:rsidRPr="00422614" w:rsidRDefault="003513F0" w:rsidP="003513F0">
      <w:pPr>
        <w:ind w:firstLine="708"/>
        <w:jc w:val="both"/>
        <w:rPr>
          <w:b/>
          <w:color w:val="181818"/>
          <w:sz w:val="28"/>
          <w:szCs w:val="28"/>
        </w:rPr>
      </w:pPr>
    </w:p>
    <w:p w:rsidR="003513F0" w:rsidRPr="00422614" w:rsidRDefault="003513F0" w:rsidP="003513F0">
      <w:pPr>
        <w:ind w:firstLine="708"/>
        <w:jc w:val="both"/>
        <w:rPr>
          <w:b/>
          <w:color w:val="181818"/>
          <w:sz w:val="28"/>
          <w:szCs w:val="28"/>
        </w:rPr>
      </w:pPr>
    </w:p>
    <w:p w:rsidR="002B76C9" w:rsidRPr="00422614" w:rsidRDefault="002B76C9" w:rsidP="0050063C">
      <w:pPr>
        <w:spacing w:line="276" w:lineRule="auto"/>
        <w:ind w:firstLine="708"/>
        <w:jc w:val="both"/>
        <w:rPr>
          <w:rFonts w:eastAsiaTheme="minorHAnsi"/>
          <w:lang w:val="en-US" w:eastAsia="en-US"/>
        </w:rPr>
      </w:pPr>
      <w:r w:rsidRPr="00422614">
        <w:rPr>
          <w:rFonts w:eastAsiaTheme="minorHAnsi"/>
          <w:lang w:eastAsia="en-US"/>
        </w:rPr>
        <w:t>În contextul răspândirii  infecţiilor respiratorii cauzate de virusul gripal COVID-19, pentru diminuarea acestui risc, pentru asigurarea  sănătăţii şi securităţii  în muncă a personalului Curţii de Apel Bucureşti, a justiţiabililor şi a celorlalţi participanţi la actul de justiţie, dar şi pentru asigurarea bunei desfăşurări a  activităţii de judecată şi a activităţii de relaţii cu publicul, Biroul de Informare şi Relaţii Publice din cadrul Curţii de Apel Bucureşti este abilitat să aducă la cunoştinţă publică următoarele</w:t>
      </w:r>
      <w:r w:rsidRPr="00422614">
        <w:rPr>
          <w:rFonts w:eastAsiaTheme="minorHAnsi"/>
          <w:lang w:val="en-US" w:eastAsia="en-US"/>
        </w:rPr>
        <w:t>:</w:t>
      </w:r>
    </w:p>
    <w:p w:rsidR="002B76C9" w:rsidRPr="00422614" w:rsidRDefault="002B76C9" w:rsidP="0050063C">
      <w:pPr>
        <w:spacing w:line="276" w:lineRule="auto"/>
        <w:ind w:firstLine="708"/>
        <w:jc w:val="both"/>
      </w:pPr>
      <w:r w:rsidRPr="00422614">
        <w:rPr>
          <w:rFonts w:eastAsiaTheme="minorHAnsi"/>
          <w:lang w:eastAsia="en-US"/>
        </w:rPr>
        <w:t xml:space="preserve">Prin Hotărârea Colegiului de conducere al instanţei  nr. 45/11 martie 2020,  s-a hotărât ca în perioada  </w:t>
      </w:r>
      <w:r w:rsidRPr="00422614">
        <w:t>13 martie – 31 martie 2020, activitatea Curţii de Apel Bucureşti să fie restrânsă considerabil, atât în ceea ce priveşte activitatea de judecată, cât şi în ceea ce priveşte activitatea de relaţii cu publicul la compartimentele care desfăşoară astfel de activităţi.</w:t>
      </w:r>
    </w:p>
    <w:p w:rsidR="002B76C9" w:rsidRPr="00422614" w:rsidRDefault="002B76C9" w:rsidP="0050063C">
      <w:pPr>
        <w:spacing w:line="276" w:lineRule="auto"/>
        <w:jc w:val="both"/>
      </w:pPr>
      <w:r w:rsidRPr="00422614">
        <w:tab/>
        <w:t>S-a hotărât ca în materie penală, în perioada 13 martie – 31 martie 2020 să se judece numai cauzele urgente, respectiv cele care vizează inculpaţi aflaţi sub imperiul unor măsuri preventive dispuse în cauză, cauze de competenţa judecătorului de drepturi şi libertăţi, dar şi cauze în care există posibilitatea împlinirii termenului de prescripţie.</w:t>
      </w:r>
    </w:p>
    <w:p w:rsidR="002B76C9" w:rsidRPr="00422614" w:rsidRDefault="002B76C9" w:rsidP="0050063C">
      <w:pPr>
        <w:spacing w:line="276" w:lineRule="auto"/>
        <w:jc w:val="both"/>
        <w:rPr>
          <w:rFonts w:eastAsiaTheme="minorHAnsi"/>
          <w:lang w:eastAsia="en-US"/>
        </w:rPr>
      </w:pPr>
      <w:r w:rsidRPr="00422614">
        <w:tab/>
        <w:t xml:space="preserve">În celelalte cauze </w:t>
      </w:r>
      <w:r w:rsidRPr="00422614">
        <w:rPr>
          <w:rFonts w:eastAsiaTheme="minorHAnsi"/>
          <w:lang w:eastAsia="en-US"/>
        </w:rPr>
        <w:t xml:space="preserve">se vor acorda termene de judecată ulterior datei de 31 martie 2020, fie prin preschimbarea termenelor din perioada 13 martie – 31 martie 2020 (acolo unde există timpul necesar), fie prin amânarea cauzelor, părţile şi participanţii urmând a fi </w:t>
      </w:r>
      <w:proofErr w:type="spellStart"/>
      <w:r w:rsidRPr="00422614">
        <w:rPr>
          <w:rFonts w:eastAsiaTheme="minorHAnsi"/>
          <w:lang w:eastAsia="en-US"/>
        </w:rPr>
        <w:t>încunoşti</w:t>
      </w:r>
      <w:r w:rsidR="001C3B77">
        <w:rPr>
          <w:rFonts w:eastAsiaTheme="minorHAnsi"/>
          <w:lang w:eastAsia="en-US"/>
        </w:rPr>
        <w:t>i</w:t>
      </w:r>
      <w:r w:rsidRPr="00422614">
        <w:rPr>
          <w:rFonts w:eastAsiaTheme="minorHAnsi"/>
          <w:lang w:eastAsia="en-US"/>
        </w:rPr>
        <w:t>nţaţi</w:t>
      </w:r>
      <w:proofErr w:type="spellEnd"/>
      <w:r w:rsidRPr="00422614">
        <w:rPr>
          <w:rFonts w:eastAsiaTheme="minorHAnsi"/>
          <w:lang w:eastAsia="en-US"/>
        </w:rPr>
        <w:t xml:space="preserve"> în timp util în legătură cu noile termene acordate.</w:t>
      </w:r>
    </w:p>
    <w:p w:rsidR="002B76C9" w:rsidRPr="00422614" w:rsidRDefault="002B76C9" w:rsidP="0050063C">
      <w:pPr>
        <w:spacing w:line="276" w:lineRule="auto"/>
        <w:jc w:val="both"/>
        <w:rPr>
          <w:rFonts w:eastAsiaTheme="minorHAnsi"/>
          <w:lang w:eastAsia="en-US"/>
        </w:rPr>
      </w:pPr>
      <w:r w:rsidRPr="00422614">
        <w:rPr>
          <w:rFonts w:eastAsiaTheme="minorHAnsi"/>
          <w:lang w:eastAsia="en-US"/>
        </w:rPr>
        <w:tab/>
        <w:t>S-a recomandat completelor de judecată care soluţionează cauze în materie penală să procedeze, în măsura posibilităţilor, la audierea persoanelor aflate în detenţie prin sistem de videoconferinţă.</w:t>
      </w:r>
    </w:p>
    <w:p w:rsidR="002B76C9" w:rsidRPr="00422614" w:rsidRDefault="002B76C9" w:rsidP="0050063C">
      <w:pPr>
        <w:tabs>
          <w:tab w:val="left" w:pos="0"/>
        </w:tabs>
        <w:spacing w:line="276" w:lineRule="auto"/>
        <w:ind w:firstLine="709"/>
        <w:contextualSpacing/>
        <w:jc w:val="both"/>
        <w:rPr>
          <w:lang w:val="en-US"/>
        </w:rPr>
      </w:pPr>
      <w:r w:rsidRPr="00422614">
        <w:t xml:space="preserve">S-a hotărât ca în materiile non-penale, în perioada 13 martie </w:t>
      </w:r>
      <w:r w:rsidR="001C3B77" w:rsidRPr="00422614">
        <w:rPr>
          <w:rFonts w:eastAsiaTheme="minorHAnsi"/>
          <w:lang w:eastAsia="en-US"/>
        </w:rPr>
        <w:t>–</w:t>
      </w:r>
      <w:r w:rsidRPr="00422614">
        <w:t xml:space="preserve"> 31 martie 2020, să fie judecate numai cauzele având unul dintre următoarele obiecte</w:t>
      </w:r>
      <w:r w:rsidRPr="00422614">
        <w:rPr>
          <w:lang w:val="en-US"/>
        </w:rPr>
        <w:t>:</w:t>
      </w:r>
    </w:p>
    <w:p w:rsidR="002B76C9" w:rsidRPr="00422614" w:rsidRDefault="002B76C9" w:rsidP="0050063C">
      <w:pPr>
        <w:tabs>
          <w:tab w:val="left" w:pos="0"/>
        </w:tabs>
        <w:spacing w:line="276" w:lineRule="auto"/>
        <w:ind w:firstLine="709"/>
        <w:contextualSpacing/>
        <w:jc w:val="both"/>
        <w:rPr>
          <w:lang w:val="en-US"/>
        </w:rPr>
      </w:pPr>
      <w:proofErr w:type="spellStart"/>
      <w:r w:rsidRPr="00422614">
        <w:t>-în</w:t>
      </w:r>
      <w:proofErr w:type="spellEnd"/>
      <w:r w:rsidRPr="00422614">
        <w:t xml:space="preserve"> materie civilă</w:t>
      </w:r>
      <w:r w:rsidRPr="00422614">
        <w:rPr>
          <w:lang w:val="en-US"/>
        </w:rPr>
        <w:t>:</w:t>
      </w:r>
    </w:p>
    <w:p w:rsidR="002B76C9" w:rsidRPr="00422614" w:rsidRDefault="002B76C9" w:rsidP="0050063C">
      <w:pPr>
        <w:tabs>
          <w:tab w:val="left" w:pos="0"/>
        </w:tabs>
        <w:spacing w:line="276" w:lineRule="auto"/>
        <w:ind w:firstLine="709"/>
        <w:contextualSpacing/>
        <w:jc w:val="both"/>
      </w:pPr>
      <w:r w:rsidRPr="00422614">
        <w:rPr>
          <w:lang w:val="en-US"/>
        </w:rPr>
        <w:tab/>
      </w:r>
      <w:r w:rsidRPr="00422614">
        <w:rPr>
          <w:lang w:val="en-US"/>
        </w:rPr>
        <w:tab/>
        <w:t>-</w:t>
      </w:r>
      <w:r w:rsidRPr="00422614">
        <w:t xml:space="preserve"> </w:t>
      </w:r>
      <w:proofErr w:type="gramStart"/>
      <w:r w:rsidRPr="00422614">
        <w:t>ordonanţă</w:t>
      </w:r>
      <w:proofErr w:type="gramEnd"/>
      <w:r w:rsidRPr="00422614">
        <w:t xml:space="preserve"> preşedinţială </w:t>
      </w:r>
    </w:p>
    <w:p w:rsidR="002B76C9" w:rsidRPr="00422614" w:rsidRDefault="002B76C9" w:rsidP="0050063C">
      <w:pPr>
        <w:tabs>
          <w:tab w:val="left" w:pos="0"/>
        </w:tabs>
        <w:spacing w:line="276" w:lineRule="auto"/>
        <w:ind w:firstLine="709"/>
        <w:contextualSpacing/>
        <w:jc w:val="both"/>
      </w:pPr>
      <w:r w:rsidRPr="00422614">
        <w:tab/>
      </w:r>
      <w:r w:rsidRPr="00422614">
        <w:tab/>
        <w:t>- ordin de protecţie</w:t>
      </w:r>
    </w:p>
    <w:p w:rsidR="002B76C9" w:rsidRPr="00422614" w:rsidRDefault="002B76C9" w:rsidP="0050063C">
      <w:pPr>
        <w:tabs>
          <w:tab w:val="left" w:pos="0"/>
        </w:tabs>
        <w:spacing w:line="276" w:lineRule="auto"/>
        <w:ind w:firstLine="709"/>
        <w:contextualSpacing/>
        <w:jc w:val="both"/>
      </w:pPr>
      <w:r w:rsidRPr="00422614">
        <w:lastRenderedPageBreak/>
        <w:tab/>
      </w:r>
      <w:r w:rsidRPr="00422614">
        <w:tab/>
        <w:t>- suspendare provizorie</w:t>
      </w:r>
    </w:p>
    <w:p w:rsidR="002B76C9" w:rsidRPr="00422614" w:rsidRDefault="002B76C9" w:rsidP="0050063C">
      <w:pPr>
        <w:tabs>
          <w:tab w:val="left" w:pos="0"/>
        </w:tabs>
        <w:spacing w:line="276" w:lineRule="auto"/>
        <w:ind w:firstLine="709"/>
        <w:contextualSpacing/>
        <w:jc w:val="both"/>
      </w:pPr>
      <w:r w:rsidRPr="00422614">
        <w:tab/>
        <w:t xml:space="preserve">         </w:t>
      </w:r>
      <w:r w:rsidR="00422614">
        <w:t xml:space="preserve">  </w:t>
      </w:r>
      <w:r w:rsidR="009C5D40" w:rsidRPr="00422614">
        <w:t xml:space="preserve"> </w:t>
      </w:r>
      <w:r w:rsidRPr="00422614">
        <w:t>- suspendare executare</w:t>
      </w:r>
    </w:p>
    <w:p w:rsidR="002B76C9" w:rsidRPr="00422614" w:rsidRDefault="00373B53" w:rsidP="0050063C">
      <w:pPr>
        <w:tabs>
          <w:tab w:val="left" w:pos="0"/>
        </w:tabs>
        <w:spacing w:line="276" w:lineRule="auto"/>
        <w:ind w:firstLine="709"/>
        <w:contextualSpacing/>
        <w:jc w:val="both"/>
      </w:pPr>
      <w:r>
        <w:tab/>
      </w:r>
      <w:r>
        <w:tab/>
        <w:t>- măsuri asigură</w:t>
      </w:r>
      <w:r w:rsidR="002B76C9" w:rsidRPr="00422614">
        <w:t>torii</w:t>
      </w:r>
    </w:p>
    <w:p w:rsidR="002B76C9" w:rsidRPr="00422614" w:rsidRDefault="002B76C9" w:rsidP="0050063C">
      <w:pPr>
        <w:tabs>
          <w:tab w:val="left" w:pos="0"/>
        </w:tabs>
        <w:spacing w:line="276" w:lineRule="auto"/>
        <w:ind w:firstLine="709"/>
        <w:contextualSpacing/>
        <w:jc w:val="both"/>
      </w:pPr>
      <w:r w:rsidRPr="00422614">
        <w:tab/>
      </w:r>
      <w:r w:rsidRPr="00422614">
        <w:tab/>
        <w:t>- cauzele care, potrivit legii, se judecă fără citarea părţilor</w:t>
      </w:r>
    </w:p>
    <w:p w:rsidR="002B76C9" w:rsidRPr="00422614" w:rsidRDefault="002B76C9" w:rsidP="0050063C">
      <w:pPr>
        <w:tabs>
          <w:tab w:val="left" w:pos="0"/>
        </w:tabs>
        <w:spacing w:line="276" w:lineRule="auto"/>
        <w:ind w:firstLine="709"/>
        <w:contextualSpacing/>
        <w:jc w:val="both"/>
        <w:rPr>
          <w:lang w:val="en-US"/>
        </w:rPr>
      </w:pPr>
      <w:proofErr w:type="spellStart"/>
      <w:r w:rsidRPr="00422614">
        <w:t>-în</w:t>
      </w:r>
      <w:proofErr w:type="spellEnd"/>
      <w:r w:rsidRPr="00422614">
        <w:t xml:space="preserve"> materia cauzelor cu profesionişti şi insolvenţă</w:t>
      </w:r>
      <w:r w:rsidRPr="00422614">
        <w:rPr>
          <w:lang w:val="en-US"/>
        </w:rPr>
        <w:t>:</w:t>
      </w:r>
    </w:p>
    <w:p w:rsidR="002B76C9" w:rsidRPr="00422614" w:rsidRDefault="002B76C9" w:rsidP="0050063C">
      <w:pPr>
        <w:tabs>
          <w:tab w:val="left" w:pos="0"/>
        </w:tabs>
        <w:spacing w:line="276" w:lineRule="auto"/>
        <w:ind w:firstLine="709"/>
        <w:contextualSpacing/>
        <w:jc w:val="both"/>
      </w:pPr>
      <w:r w:rsidRPr="00422614">
        <w:tab/>
      </w:r>
      <w:r w:rsidRPr="00422614">
        <w:tab/>
        <w:t>- ordonanţă preşedinţială</w:t>
      </w:r>
    </w:p>
    <w:p w:rsidR="002B76C9" w:rsidRPr="00422614" w:rsidRDefault="002B76C9" w:rsidP="0050063C">
      <w:pPr>
        <w:tabs>
          <w:tab w:val="left" w:pos="0"/>
        </w:tabs>
        <w:spacing w:line="276" w:lineRule="auto"/>
        <w:ind w:firstLine="709"/>
        <w:contextualSpacing/>
        <w:jc w:val="both"/>
      </w:pPr>
      <w:r w:rsidRPr="00422614">
        <w:tab/>
        <w:t xml:space="preserve">         </w:t>
      </w:r>
      <w:r w:rsidR="00422614">
        <w:t xml:space="preserve">  </w:t>
      </w:r>
      <w:r w:rsidR="009C5D40" w:rsidRPr="00422614">
        <w:t xml:space="preserve"> </w:t>
      </w:r>
      <w:r w:rsidRPr="00422614">
        <w:t>- suspendare provizorie</w:t>
      </w:r>
    </w:p>
    <w:p w:rsidR="002B76C9" w:rsidRPr="00422614" w:rsidRDefault="002B76C9" w:rsidP="0050063C">
      <w:pPr>
        <w:tabs>
          <w:tab w:val="left" w:pos="0"/>
        </w:tabs>
        <w:spacing w:line="276" w:lineRule="auto"/>
        <w:ind w:firstLine="709"/>
        <w:contextualSpacing/>
        <w:jc w:val="both"/>
      </w:pPr>
      <w:r w:rsidRPr="00422614">
        <w:tab/>
        <w:t xml:space="preserve">         </w:t>
      </w:r>
      <w:r w:rsidR="00422614">
        <w:t xml:space="preserve">  </w:t>
      </w:r>
      <w:r w:rsidR="009C5D40" w:rsidRPr="00422614">
        <w:t xml:space="preserve"> </w:t>
      </w:r>
      <w:r w:rsidRPr="00422614">
        <w:t>- suspendare executare</w:t>
      </w:r>
    </w:p>
    <w:p w:rsidR="002B76C9" w:rsidRPr="00422614" w:rsidRDefault="00373B53" w:rsidP="0050063C">
      <w:pPr>
        <w:tabs>
          <w:tab w:val="left" w:pos="0"/>
        </w:tabs>
        <w:spacing w:line="276" w:lineRule="auto"/>
        <w:ind w:firstLine="709"/>
        <w:contextualSpacing/>
        <w:jc w:val="both"/>
      </w:pPr>
      <w:r>
        <w:tab/>
      </w:r>
      <w:r>
        <w:tab/>
        <w:t>- măsuri asigură</w:t>
      </w:r>
      <w:r w:rsidR="002B76C9" w:rsidRPr="00422614">
        <w:t>torii</w:t>
      </w:r>
    </w:p>
    <w:p w:rsidR="002B76C9" w:rsidRPr="00422614" w:rsidRDefault="002B76C9" w:rsidP="0050063C">
      <w:pPr>
        <w:tabs>
          <w:tab w:val="left" w:pos="0"/>
        </w:tabs>
        <w:spacing w:line="276" w:lineRule="auto"/>
        <w:ind w:firstLine="709"/>
        <w:contextualSpacing/>
        <w:jc w:val="both"/>
      </w:pPr>
      <w:r w:rsidRPr="00422614">
        <w:tab/>
      </w:r>
      <w:r w:rsidRPr="00422614">
        <w:tab/>
        <w:t>- cauzele care, potrivit legii, se judecă fără citarea părţilor</w:t>
      </w:r>
    </w:p>
    <w:p w:rsidR="002B76C9" w:rsidRPr="00422614" w:rsidRDefault="002B76C9" w:rsidP="0050063C">
      <w:pPr>
        <w:tabs>
          <w:tab w:val="left" w:pos="0"/>
        </w:tabs>
        <w:spacing w:line="276" w:lineRule="auto"/>
        <w:ind w:firstLine="709"/>
        <w:contextualSpacing/>
        <w:jc w:val="both"/>
      </w:pPr>
      <w:proofErr w:type="spellStart"/>
      <w:r w:rsidRPr="00422614">
        <w:t>-în</w:t>
      </w:r>
      <w:proofErr w:type="spellEnd"/>
      <w:r w:rsidRPr="00422614">
        <w:t xml:space="preserve"> materia litigiilor de muncă şi asigurări sociale:</w:t>
      </w:r>
    </w:p>
    <w:p w:rsidR="002B76C9" w:rsidRPr="00422614" w:rsidRDefault="002B76C9" w:rsidP="0050063C">
      <w:pPr>
        <w:tabs>
          <w:tab w:val="left" w:pos="0"/>
        </w:tabs>
        <w:spacing w:line="276" w:lineRule="auto"/>
        <w:ind w:firstLine="709"/>
        <w:contextualSpacing/>
        <w:jc w:val="both"/>
      </w:pPr>
      <w:r w:rsidRPr="00422614">
        <w:tab/>
      </w:r>
      <w:r w:rsidRPr="00422614">
        <w:tab/>
        <w:t>- ordonanţă preşedinţială</w:t>
      </w:r>
    </w:p>
    <w:p w:rsidR="002B76C9" w:rsidRPr="00422614" w:rsidRDefault="002B76C9" w:rsidP="0050063C">
      <w:pPr>
        <w:tabs>
          <w:tab w:val="left" w:pos="0"/>
        </w:tabs>
        <w:spacing w:line="276" w:lineRule="auto"/>
        <w:ind w:firstLine="709"/>
        <w:contextualSpacing/>
        <w:jc w:val="both"/>
      </w:pPr>
      <w:r w:rsidRPr="00422614">
        <w:tab/>
        <w:t xml:space="preserve">         </w:t>
      </w:r>
      <w:r w:rsidR="009C5D40" w:rsidRPr="00422614">
        <w:t xml:space="preserve"> </w:t>
      </w:r>
      <w:r w:rsidR="00422614">
        <w:t xml:space="preserve">  </w:t>
      </w:r>
      <w:r w:rsidRPr="00422614">
        <w:t>- suspendare provizorie</w:t>
      </w:r>
    </w:p>
    <w:p w:rsidR="002B76C9" w:rsidRPr="00422614" w:rsidRDefault="002B76C9" w:rsidP="0050063C">
      <w:pPr>
        <w:tabs>
          <w:tab w:val="left" w:pos="0"/>
        </w:tabs>
        <w:spacing w:line="276" w:lineRule="auto"/>
        <w:ind w:firstLine="709"/>
        <w:contextualSpacing/>
        <w:jc w:val="both"/>
      </w:pPr>
      <w:r w:rsidRPr="00422614">
        <w:tab/>
        <w:t xml:space="preserve">        </w:t>
      </w:r>
      <w:r w:rsidR="009C5D40" w:rsidRPr="00422614">
        <w:t xml:space="preserve"> </w:t>
      </w:r>
      <w:r w:rsidRPr="00422614">
        <w:t xml:space="preserve"> </w:t>
      </w:r>
      <w:r w:rsidR="00422614">
        <w:t xml:space="preserve">  </w:t>
      </w:r>
      <w:r w:rsidRPr="00422614">
        <w:t>- suspendare executare</w:t>
      </w:r>
    </w:p>
    <w:p w:rsidR="002B76C9" w:rsidRPr="00422614" w:rsidRDefault="002B76C9" w:rsidP="0050063C">
      <w:pPr>
        <w:tabs>
          <w:tab w:val="left" w:pos="0"/>
        </w:tabs>
        <w:spacing w:line="276" w:lineRule="auto"/>
        <w:ind w:firstLine="709"/>
        <w:contextualSpacing/>
        <w:jc w:val="both"/>
      </w:pPr>
      <w:r w:rsidRPr="00422614">
        <w:tab/>
      </w:r>
      <w:r w:rsidRPr="00422614">
        <w:tab/>
        <w:t>- grevă</w:t>
      </w:r>
    </w:p>
    <w:p w:rsidR="002B76C9" w:rsidRPr="00422614" w:rsidRDefault="002B76C9" w:rsidP="0050063C">
      <w:pPr>
        <w:tabs>
          <w:tab w:val="left" w:pos="0"/>
        </w:tabs>
        <w:spacing w:line="276" w:lineRule="auto"/>
        <w:ind w:firstLine="709"/>
        <w:contextualSpacing/>
        <w:jc w:val="both"/>
      </w:pPr>
      <w:r w:rsidRPr="00422614">
        <w:tab/>
      </w:r>
      <w:r w:rsidRPr="00422614">
        <w:tab/>
        <w:t>- cauzele care, potrivit legii, se judecă fără citarea părţilor</w:t>
      </w:r>
    </w:p>
    <w:p w:rsidR="002B76C9" w:rsidRPr="00422614" w:rsidRDefault="002B76C9" w:rsidP="0050063C">
      <w:pPr>
        <w:tabs>
          <w:tab w:val="left" w:pos="0"/>
        </w:tabs>
        <w:spacing w:line="276" w:lineRule="auto"/>
        <w:ind w:firstLine="709"/>
        <w:contextualSpacing/>
        <w:jc w:val="both"/>
      </w:pPr>
      <w:proofErr w:type="spellStart"/>
      <w:r w:rsidRPr="00422614">
        <w:t>-în</w:t>
      </w:r>
      <w:proofErr w:type="spellEnd"/>
      <w:r w:rsidRPr="00422614">
        <w:t xml:space="preserve"> materia de contencios administrativ şi fiscal:</w:t>
      </w:r>
    </w:p>
    <w:p w:rsidR="002B76C9" w:rsidRPr="00422614" w:rsidRDefault="002B76C9" w:rsidP="0050063C">
      <w:pPr>
        <w:tabs>
          <w:tab w:val="left" w:pos="0"/>
        </w:tabs>
        <w:spacing w:line="276" w:lineRule="auto"/>
        <w:ind w:firstLine="709"/>
        <w:contextualSpacing/>
        <w:jc w:val="both"/>
      </w:pPr>
      <w:r w:rsidRPr="00422614">
        <w:tab/>
      </w:r>
      <w:r w:rsidRPr="00422614">
        <w:tab/>
        <w:t>- ordonanţă preşedinţială</w:t>
      </w:r>
    </w:p>
    <w:p w:rsidR="002B76C9" w:rsidRPr="00422614" w:rsidRDefault="002B76C9" w:rsidP="0050063C">
      <w:pPr>
        <w:tabs>
          <w:tab w:val="left" w:pos="0"/>
        </w:tabs>
        <w:spacing w:line="276" w:lineRule="auto"/>
        <w:ind w:firstLine="709"/>
        <w:contextualSpacing/>
        <w:jc w:val="both"/>
      </w:pPr>
      <w:r w:rsidRPr="00422614">
        <w:tab/>
        <w:t xml:space="preserve">        </w:t>
      </w:r>
      <w:r w:rsidR="009C5D40" w:rsidRPr="00422614">
        <w:t xml:space="preserve"> </w:t>
      </w:r>
      <w:r w:rsidRPr="00422614">
        <w:t xml:space="preserve"> </w:t>
      </w:r>
      <w:r w:rsidR="00422614">
        <w:t xml:space="preserve">  </w:t>
      </w:r>
      <w:r w:rsidRPr="00422614">
        <w:t>- suspendare provizorie</w:t>
      </w:r>
    </w:p>
    <w:p w:rsidR="002B76C9" w:rsidRPr="00422614" w:rsidRDefault="002B76C9" w:rsidP="0050063C">
      <w:pPr>
        <w:tabs>
          <w:tab w:val="left" w:pos="0"/>
        </w:tabs>
        <w:spacing w:line="276" w:lineRule="auto"/>
        <w:ind w:firstLine="709"/>
        <w:contextualSpacing/>
        <w:jc w:val="both"/>
      </w:pPr>
      <w:r w:rsidRPr="00422614">
        <w:tab/>
        <w:t xml:space="preserve">         </w:t>
      </w:r>
      <w:r w:rsidR="009C5D40" w:rsidRPr="00422614">
        <w:t xml:space="preserve"> </w:t>
      </w:r>
      <w:r w:rsidR="00422614">
        <w:t xml:space="preserve">  </w:t>
      </w:r>
      <w:r w:rsidRPr="00422614">
        <w:t>- custodie publică (inclusiv prelungire)</w:t>
      </w:r>
      <w:r w:rsidRPr="00422614">
        <w:tab/>
      </w:r>
      <w:r w:rsidRPr="00422614">
        <w:tab/>
        <w:t xml:space="preserve"> </w:t>
      </w:r>
    </w:p>
    <w:p w:rsidR="002B76C9" w:rsidRPr="00422614" w:rsidRDefault="002B76C9" w:rsidP="0050063C">
      <w:pPr>
        <w:tabs>
          <w:tab w:val="left" w:pos="0"/>
        </w:tabs>
        <w:spacing w:line="276" w:lineRule="auto"/>
        <w:ind w:firstLine="709"/>
        <w:contextualSpacing/>
        <w:jc w:val="both"/>
      </w:pPr>
      <w:r w:rsidRPr="00422614">
        <w:tab/>
      </w:r>
      <w:r w:rsidRPr="00422614">
        <w:tab/>
        <w:t>- litigii privind declararea ca indezirabili</w:t>
      </w:r>
    </w:p>
    <w:p w:rsidR="002B76C9" w:rsidRPr="00422614" w:rsidRDefault="002B76C9" w:rsidP="0050063C">
      <w:pPr>
        <w:tabs>
          <w:tab w:val="left" w:pos="0"/>
        </w:tabs>
        <w:spacing w:line="276" w:lineRule="auto"/>
        <w:ind w:firstLine="709"/>
        <w:contextualSpacing/>
        <w:jc w:val="both"/>
      </w:pPr>
      <w:r w:rsidRPr="00422614">
        <w:tab/>
      </w:r>
      <w:r w:rsidRPr="00422614">
        <w:tab/>
        <w:t>- măsuri asigur</w:t>
      </w:r>
      <w:r w:rsidR="00373B53">
        <w:t>ă</w:t>
      </w:r>
      <w:bookmarkStart w:id="0" w:name="_GoBack"/>
      <w:bookmarkEnd w:id="0"/>
      <w:r w:rsidRPr="00422614">
        <w:t>torii</w:t>
      </w:r>
    </w:p>
    <w:p w:rsidR="002B76C9" w:rsidRPr="00422614" w:rsidRDefault="002B76C9" w:rsidP="0050063C">
      <w:pPr>
        <w:tabs>
          <w:tab w:val="left" w:pos="0"/>
        </w:tabs>
        <w:spacing w:line="276" w:lineRule="auto"/>
        <w:ind w:firstLine="709"/>
        <w:contextualSpacing/>
        <w:jc w:val="both"/>
      </w:pPr>
      <w:r w:rsidRPr="00422614">
        <w:tab/>
      </w:r>
      <w:r w:rsidRPr="00422614">
        <w:tab/>
        <w:t>- cauzele care, potrivit legii, se judecă fără citarea părţilor</w:t>
      </w:r>
    </w:p>
    <w:p w:rsidR="002B76C9" w:rsidRPr="00422614" w:rsidRDefault="002B76C9" w:rsidP="0050063C">
      <w:pPr>
        <w:tabs>
          <w:tab w:val="left" w:pos="0"/>
        </w:tabs>
        <w:spacing w:line="276" w:lineRule="auto"/>
        <w:ind w:firstLine="709"/>
        <w:contextualSpacing/>
        <w:jc w:val="both"/>
        <w:rPr>
          <w:rFonts w:eastAsiaTheme="minorHAnsi"/>
          <w:lang w:eastAsia="en-US"/>
        </w:rPr>
      </w:pPr>
      <w:r w:rsidRPr="00422614">
        <w:rPr>
          <w:rFonts w:eastAsiaTheme="minorHAnsi"/>
          <w:lang w:eastAsia="en-US"/>
        </w:rPr>
        <w:t xml:space="preserve">S-a hotărât ca în materiile civile, dosarele care au termen de judecată fixat în perioada 13 martie – 31 martie 2020 să primească alt termen de judecată, ulterior datei de 31 martie 2020, fie prin preschimbarea termenului (acolo unde există timpul necesar), fie prin  amânarea cauzelor, părţile şi participanţii la proces urmând a fi </w:t>
      </w:r>
      <w:proofErr w:type="spellStart"/>
      <w:r w:rsidRPr="00422614">
        <w:rPr>
          <w:rFonts w:eastAsiaTheme="minorHAnsi"/>
          <w:lang w:eastAsia="en-US"/>
        </w:rPr>
        <w:t>încunoşti</w:t>
      </w:r>
      <w:r w:rsidR="001C3B77">
        <w:rPr>
          <w:rFonts w:eastAsiaTheme="minorHAnsi"/>
          <w:lang w:eastAsia="en-US"/>
        </w:rPr>
        <w:t>i</w:t>
      </w:r>
      <w:r w:rsidRPr="00422614">
        <w:rPr>
          <w:rFonts w:eastAsiaTheme="minorHAnsi"/>
          <w:lang w:eastAsia="en-US"/>
        </w:rPr>
        <w:t>nţaţi</w:t>
      </w:r>
      <w:proofErr w:type="spellEnd"/>
      <w:r w:rsidRPr="00422614">
        <w:rPr>
          <w:rFonts w:eastAsiaTheme="minorHAnsi"/>
          <w:lang w:eastAsia="en-US"/>
        </w:rPr>
        <w:t xml:space="preserve"> în timp util despre noul termen de judecată fixat.</w:t>
      </w:r>
    </w:p>
    <w:p w:rsidR="002B76C9" w:rsidRPr="00422614" w:rsidRDefault="002B76C9" w:rsidP="0050063C">
      <w:pPr>
        <w:tabs>
          <w:tab w:val="left" w:pos="0"/>
        </w:tabs>
        <w:spacing w:line="276" w:lineRule="auto"/>
        <w:ind w:firstLine="709"/>
        <w:contextualSpacing/>
        <w:jc w:val="both"/>
        <w:rPr>
          <w:rFonts w:eastAsiaTheme="minorHAnsi"/>
          <w:lang w:eastAsia="en-US"/>
        </w:rPr>
      </w:pPr>
      <w:r w:rsidRPr="00422614">
        <w:rPr>
          <w:rFonts w:eastAsiaTheme="minorHAnsi"/>
          <w:lang w:eastAsia="en-US"/>
        </w:rPr>
        <w:t xml:space="preserve"> În vederea evitării supraaglomerării şedinţelor de judecată din perioada aprilie – mai 2020, s-a aprobat prelungirea perioadei de fixare a primului termen de judecată pentru cauzele a căror procedură de regularizare se finalizează în perioada 13 martie – 31 martie 2020, de la 60 de zile la 120 de zile.</w:t>
      </w:r>
    </w:p>
    <w:p w:rsidR="002B76C9" w:rsidRPr="00422614" w:rsidRDefault="002B76C9" w:rsidP="0050063C">
      <w:pPr>
        <w:tabs>
          <w:tab w:val="left" w:pos="0"/>
        </w:tabs>
        <w:spacing w:line="276" w:lineRule="auto"/>
        <w:ind w:firstLine="709"/>
        <w:contextualSpacing/>
        <w:jc w:val="both"/>
        <w:rPr>
          <w:rFonts w:eastAsiaTheme="minorHAnsi"/>
          <w:lang w:eastAsia="en-US"/>
        </w:rPr>
      </w:pPr>
      <w:r w:rsidRPr="00422614">
        <w:rPr>
          <w:rFonts w:eastAsiaTheme="minorHAnsi"/>
          <w:lang w:eastAsia="en-US"/>
        </w:rPr>
        <w:t>S-a hotărât ca lista cauzelor ale căror termene de judecată au fost preschimbate să fie afişată pe portalul instanţei, dar şi la uşile de acces în Palatul de Justiţie.</w:t>
      </w:r>
    </w:p>
    <w:p w:rsidR="002B76C9" w:rsidRPr="00422614" w:rsidRDefault="002B76C9" w:rsidP="0050063C">
      <w:pPr>
        <w:tabs>
          <w:tab w:val="left" w:pos="0"/>
        </w:tabs>
        <w:spacing w:line="276" w:lineRule="auto"/>
        <w:ind w:firstLine="709"/>
        <w:contextualSpacing/>
        <w:jc w:val="both"/>
        <w:rPr>
          <w:rFonts w:eastAsiaTheme="minorHAnsi"/>
          <w:lang w:eastAsia="en-US"/>
        </w:rPr>
      </w:pPr>
      <w:r w:rsidRPr="00422614">
        <w:rPr>
          <w:rFonts w:eastAsiaTheme="minorHAnsi"/>
          <w:lang w:eastAsia="en-US"/>
        </w:rPr>
        <w:t>Tot astfel, în vederea deplasării unui număr cât mai mic de persoane la sediul Curţii de Apel Bucureşti s-a luat măsura ca în perioada 13 martie – 31 martie 2020, să fie redus programul de lucru cu publicul la Registratura generală a Curţii de Apel Bucureşti, dar şi la registraturile şi arhivele celor nouă secţii, la 2 ore pe zi, activitatea cu publicul urmând a se desfăşura în intervalul orar 10</w:t>
      </w:r>
      <w:r w:rsidRPr="00422614">
        <w:rPr>
          <w:rFonts w:eastAsiaTheme="minorHAnsi"/>
          <w:vertAlign w:val="superscript"/>
          <w:lang w:eastAsia="en-US"/>
        </w:rPr>
        <w:t xml:space="preserve">00 </w:t>
      </w:r>
      <w:r w:rsidRPr="00422614">
        <w:rPr>
          <w:rFonts w:eastAsiaTheme="minorHAnsi"/>
          <w:lang w:eastAsia="en-US"/>
        </w:rPr>
        <w:t>- 12</w:t>
      </w:r>
      <w:r w:rsidRPr="00422614">
        <w:rPr>
          <w:rFonts w:eastAsiaTheme="minorHAnsi"/>
          <w:vertAlign w:val="superscript"/>
          <w:lang w:eastAsia="en-US"/>
        </w:rPr>
        <w:t>00</w:t>
      </w:r>
      <w:r w:rsidR="0050063C">
        <w:rPr>
          <w:rFonts w:eastAsiaTheme="minorHAnsi"/>
          <w:lang w:eastAsia="en-US"/>
        </w:rPr>
        <w:t xml:space="preserve">, </w:t>
      </w:r>
      <w:r w:rsidRPr="00422614">
        <w:rPr>
          <w:rFonts w:eastAsiaTheme="minorHAnsi"/>
          <w:lang w:eastAsia="en-US"/>
        </w:rPr>
        <w:t>cu recomandarea  pentru părţi şi participa</w:t>
      </w:r>
      <w:r w:rsidR="00770264">
        <w:rPr>
          <w:rFonts w:eastAsiaTheme="minorHAnsi"/>
          <w:lang w:eastAsia="en-US"/>
        </w:rPr>
        <w:t>n</w:t>
      </w:r>
      <w:r w:rsidRPr="00422614">
        <w:rPr>
          <w:rFonts w:eastAsiaTheme="minorHAnsi"/>
          <w:lang w:eastAsia="en-US"/>
        </w:rPr>
        <w:t>ţii la procese</w:t>
      </w:r>
      <w:r w:rsidR="00E97CCC">
        <w:rPr>
          <w:rFonts w:eastAsiaTheme="minorHAnsi"/>
          <w:lang w:eastAsia="en-US"/>
        </w:rPr>
        <w:t>,</w:t>
      </w:r>
      <w:r w:rsidRPr="00422614">
        <w:rPr>
          <w:rFonts w:eastAsiaTheme="minorHAnsi"/>
          <w:lang w:eastAsia="en-US"/>
        </w:rPr>
        <w:t xml:space="preserve"> dar şi pentru alţi cetăţeni care apelează la serviciul public al justiţiei, ca toată corespondenţa să fie trimisă prin mijloacele de comunicare prevăzute de lege (poştă, curier, fax, e-mail), altele decât cele care presupun prezenţa la sediul instanţei, cu excepţia situaţiilor urgente ce </w:t>
      </w:r>
      <w:r w:rsidR="00E97CCC">
        <w:rPr>
          <w:rFonts w:eastAsiaTheme="minorHAnsi"/>
          <w:lang w:eastAsia="en-US"/>
        </w:rPr>
        <w:t>necesită</w:t>
      </w:r>
      <w:r w:rsidRPr="00422614">
        <w:rPr>
          <w:rFonts w:eastAsiaTheme="minorHAnsi"/>
          <w:lang w:eastAsia="en-US"/>
        </w:rPr>
        <w:t xml:space="preserve"> deplasarea în persoană sau prin reprezentant.</w:t>
      </w:r>
    </w:p>
    <w:p w:rsidR="002B76C9" w:rsidRPr="00422614" w:rsidRDefault="002B76C9" w:rsidP="009C5D40">
      <w:pPr>
        <w:ind w:firstLine="708"/>
        <w:rPr>
          <w:rFonts w:eastAsiaTheme="minorHAnsi"/>
          <w:lang w:eastAsia="en-US"/>
        </w:rPr>
      </w:pPr>
    </w:p>
    <w:p w:rsidR="002B76C9" w:rsidRPr="00422614" w:rsidRDefault="002B76C9" w:rsidP="009C5D40">
      <w:pPr>
        <w:rPr>
          <w:rFonts w:eastAsiaTheme="minorHAnsi"/>
          <w:lang w:val="en-US" w:eastAsia="en-US"/>
        </w:rPr>
      </w:pPr>
      <w:r w:rsidRPr="00422614">
        <w:rPr>
          <w:rFonts w:eastAsiaTheme="minorHAnsi"/>
          <w:lang w:val="en-US" w:eastAsia="en-US"/>
        </w:rPr>
        <w:tab/>
      </w:r>
    </w:p>
    <w:p w:rsidR="002B76C9" w:rsidRPr="00422614" w:rsidRDefault="002B76C9" w:rsidP="009C5D40">
      <w:pPr>
        <w:rPr>
          <w:rFonts w:eastAsiaTheme="minorHAnsi"/>
          <w:lang w:val="en-US" w:eastAsia="en-US"/>
        </w:rPr>
      </w:pPr>
      <w:r w:rsidRPr="00422614">
        <w:rPr>
          <w:rFonts w:eastAsiaTheme="minorHAnsi"/>
          <w:lang w:val="en-US" w:eastAsia="en-US"/>
        </w:rPr>
        <w:tab/>
      </w:r>
    </w:p>
    <w:p w:rsidR="00FF469E" w:rsidRPr="00422614" w:rsidRDefault="003513F0" w:rsidP="00FF469E">
      <w:pPr>
        <w:spacing w:line="360" w:lineRule="auto"/>
        <w:ind w:firstLine="567"/>
        <w:jc w:val="center"/>
        <w:rPr>
          <w:b/>
          <w:color w:val="000000"/>
          <w:sz w:val="28"/>
          <w:szCs w:val="28"/>
        </w:rPr>
      </w:pPr>
      <w:r w:rsidRPr="00422614">
        <w:rPr>
          <w:b/>
          <w:color w:val="000000"/>
          <w:sz w:val="28"/>
          <w:szCs w:val="28"/>
        </w:rPr>
        <w:t xml:space="preserve"> BIROUL</w:t>
      </w:r>
      <w:r w:rsidR="00FF469E" w:rsidRPr="00422614">
        <w:rPr>
          <w:b/>
          <w:color w:val="000000"/>
          <w:sz w:val="28"/>
          <w:szCs w:val="28"/>
        </w:rPr>
        <w:t xml:space="preserve"> DE INFORMARE ŞI RELAŢII PUBLICE</w:t>
      </w:r>
    </w:p>
    <w:p w:rsidR="00FF469E" w:rsidRPr="00291DF7" w:rsidRDefault="00FF469E" w:rsidP="00FF469E">
      <w:pPr>
        <w:tabs>
          <w:tab w:val="left" w:pos="3348"/>
        </w:tabs>
        <w:spacing w:line="360" w:lineRule="auto"/>
        <w:rPr>
          <w:sz w:val="28"/>
          <w:szCs w:val="28"/>
        </w:rPr>
      </w:pPr>
    </w:p>
    <w:p w:rsidR="00712442" w:rsidRPr="00291DF7" w:rsidRDefault="00712442">
      <w:pPr>
        <w:rPr>
          <w:sz w:val="28"/>
          <w:szCs w:val="28"/>
        </w:rPr>
      </w:pPr>
    </w:p>
    <w:sectPr w:rsidR="00712442" w:rsidRPr="00291DF7" w:rsidSect="007B5B70">
      <w:footerReference w:type="even" r:id="rId11"/>
      <w:footerReference w:type="default" r:id="rId12"/>
      <w:pgSz w:w="11906" w:h="16838"/>
      <w:pgMar w:top="567" w:right="1134" w:bottom="851"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21" w:rsidRDefault="001A0B21">
      <w:r>
        <w:separator/>
      </w:r>
    </w:p>
  </w:endnote>
  <w:endnote w:type="continuationSeparator" w:id="0">
    <w:p w:rsidR="001A0B21" w:rsidRDefault="001A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CA" w:rsidRDefault="00FF469E" w:rsidP="00D94198">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5C33CA" w:rsidRDefault="001A0B21" w:rsidP="001A3104">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236272"/>
      <w:docPartObj>
        <w:docPartGallery w:val="Page Numbers (Bottom of Page)"/>
        <w:docPartUnique/>
      </w:docPartObj>
    </w:sdtPr>
    <w:sdtEndPr/>
    <w:sdtContent>
      <w:p w:rsidR="007B5B70" w:rsidRDefault="007B5B70">
        <w:pPr>
          <w:pStyle w:val="Subsol"/>
          <w:jc w:val="center"/>
        </w:pPr>
        <w:r>
          <w:fldChar w:fldCharType="begin"/>
        </w:r>
        <w:r>
          <w:instrText>PAGE   \* MERGEFORMAT</w:instrText>
        </w:r>
        <w:r>
          <w:fldChar w:fldCharType="separate"/>
        </w:r>
        <w:r w:rsidR="00373B53" w:rsidRPr="00373B53">
          <w:rPr>
            <w:noProof/>
            <w:lang w:val="ro-RO"/>
          </w:rPr>
          <w:t>2</w:t>
        </w:r>
        <w:r>
          <w:fldChar w:fldCharType="end"/>
        </w:r>
      </w:p>
    </w:sdtContent>
  </w:sdt>
  <w:p w:rsidR="005C33CA" w:rsidRDefault="001A0B21" w:rsidP="001A3104">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21" w:rsidRDefault="001A0B21">
      <w:r>
        <w:separator/>
      </w:r>
    </w:p>
  </w:footnote>
  <w:footnote w:type="continuationSeparator" w:id="0">
    <w:p w:rsidR="001A0B21" w:rsidRDefault="001A0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36"/>
    <w:rsid w:val="000C5730"/>
    <w:rsid w:val="00141797"/>
    <w:rsid w:val="001A0B21"/>
    <w:rsid w:val="001C3B77"/>
    <w:rsid w:val="00291DF7"/>
    <w:rsid w:val="002B76C9"/>
    <w:rsid w:val="0032484C"/>
    <w:rsid w:val="003513F0"/>
    <w:rsid w:val="00373B53"/>
    <w:rsid w:val="00422614"/>
    <w:rsid w:val="004E29D9"/>
    <w:rsid w:val="0050063C"/>
    <w:rsid w:val="00506A7D"/>
    <w:rsid w:val="00712442"/>
    <w:rsid w:val="00770264"/>
    <w:rsid w:val="007B5B70"/>
    <w:rsid w:val="008C4E44"/>
    <w:rsid w:val="00945C68"/>
    <w:rsid w:val="009C5D40"/>
    <w:rsid w:val="00AB093B"/>
    <w:rsid w:val="00C54138"/>
    <w:rsid w:val="00D70093"/>
    <w:rsid w:val="00E00F8B"/>
    <w:rsid w:val="00E97CCC"/>
    <w:rsid w:val="00F42A29"/>
    <w:rsid w:val="00FB3936"/>
    <w:rsid w:val="00FF46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9E"/>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FF469E"/>
    <w:rPr>
      <w:color w:val="0000FF"/>
      <w:u w:val="single"/>
    </w:rPr>
  </w:style>
  <w:style w:type="paragraph" w:styleId="Subsol">
    <w:name w:val="footer"/>
    <w:basedOn w:val="Normal"/>
    <w:link w:val="SubsolCaracter"/>
    <w:uiPriority w:val="99"/>
    <w:rsid w:val="00FF469E"/>
    <w:pPr>
      <w:tabs>
        <w:tab w:val="center" w:pos="4536"/>
        <w:tab w:val="right" w:pos="9072"/>
      </w:tabs>
    </w:pPr>
    <w:rPr>
      <w:lang w:val="x-none" w:eastAsia="x-none"/>
    </w:rPr>
  </w:style>
  <w:style w:type="character" w:customStyle="1" w:styleId="SubsolCaracter">
    <w:name w:val="Subsol Caracter"/>
    <w:basedOn w:val="Fontdeparagrafimplicit"/>
    <w:link w:val="Subsol"/>
    <w:uiPriority w:val="99"/>
    <w:rsid w:val="00FF469E"/>
    <w:rPr>
      <w:rFonts w:ascii="Times New Roman" w:eastAsia="Times New Roman" w:hAnsi="Times New Roman" w:cs="Times New Roman"/>
      <w:sz w:val="24"/>
      <w:szCs w:val="24"/>
      <w:lang w:val="x-none" w:eastAsia="x-none"/>
    </w:rPr>
  </w:style>
  <w:style w:type="character" w:styleId="Numrdepagin">
    <w:name w:val="page number"/>
    <w:basedOn w:val="Fontdeparagrafimplicit"/>
    <w:rsid w:val="00FF469E"/>
  </w:style>
  <w:style w:type="paragraph" w:styleId="Textsimplu">
    <w:name w:val="Plain Text"/>
    <w:basedOn w:val="Normal"/>
    <w:link w:val="TextsimpluCaracter"/>
    <w:uiPriority w:val="99"/>
    <w:unhideWhenUsed/>
    <w:rsid w:val="00FF469E"/>
    <w:rPr>
      <w:rFonts w:ascii="Courier New" w:hAnsi="Courier New" w:cs="Courier New"/>
      <w:sz w:val="20"/>
      <w:szCs w:val="20"/>
    </w:rPr>
  </w:style>
  <w:style w:type="character" w:customStyle="1" w:styleId="TextsimpluCaracter">
    <w:name w:val="Text simplu Caracter"/>
    <w:basedOn w:val="Fontdeparagrafimplicit"/>
    <w:link w:val="Textsimplu"/>
    <w:uiPriority w:val="99"/>
    <w:rsid w:val="00FF469E"/>
    <w:rPr>
      <w:rFonts w:ascii="Courier New" w:eastAsia="Times New Roman" w:hAnsi="Courier New" w:cs="Courier New"/>
      <w:sz w:val="20"/>
      <w:szCs w:val="20"/>
      <w:lang w:eastAsia="ro-RO"/>
    </w:rPr>
  </w:style>
  <w:style w:type="paragraph" w:styleId="TextnBalon">
    <w:name w:val="Balloon Text"/>
    <w:basedOn w:val="Normal"/>
    <w:link w:val="TextnBalonCaracter"/>
    <w:uiPriority w:val="99"/>
    <w:semiHidden/>
    <w:unhideWhenUsed/>
    <w:rsid w:val="00FF469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F469E"/>
    <w:rPr>
      <w:rFonts w:ascii="Tahoma" w:eastAsia="Times New Roman" w:hAnsi="Tahoma" w:cs="Tahoma"/>
      <w:sz w:val="16"/>
      <w:szCs w:val="16"/>
      <w:lang w:eastAsia="ro-RO"/>
    </w:rPr>
  </w:style>
  <w:style w:type="paragraph" w:styleId="Antet">
    <w:name w:val="header"/>
    <w:basedOn w:val="Normal"/>
    <w:link w:val="AntetCaracter"/>
    <w:uiPriority w:val="99"/>
    <w:unhideWhenUsed/>
    <w:rsid w:val="007B5B70"/>
    <w:pPr>
      <w:tabs>
        <w:tab w:val="center" w:pos="4536"/>
        <w:tab w:val="right" w:pos="9072"/>
      </w:tabs>
    </w:pPr>
  </w:style>
  <w:style w:type="character" w:customStyle="1" w:styleId="AntetCaracter">
    <w:name w:val="Antet Caracter"/>
    <w:basedOn w:val="Fontdeparagrafimplicit"/>
    <w:link w:val="Antet"/>
    <w:uiPriority w:val="99"/>
    <w:rsid w:val="007B5B70"/>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9E"/>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FF469E"/>
    <w:rPr>
      <w:color w:val="0000FF"/>
      <w:u w:val="single"/>
    </w:rPr>
  </w:style>
  <w:style w:type="paragraph" w:styleId="Subsol">
    <w:name w:val="footer"/>
    <w:basedOn w:val="Normal"/>
    <w:link w:val="SubsolCaracter"/>
    <w:uiPriority w:val="99"/>
    <w:rsid w:val="00FF469E"/>
    <w:pPr>
      <w:tabs>
        <w:tab w:val="center" w:pos="4536"/>
        <w:tab w:val="right" w:pos="9072"/>
      </w:tabs>
    </w:pPr>
    <w:rPr>
      <w:lang w:val="x-none" w:eastAsia="x-none"/>
    </w:rPr>
  </w:style>
  <w:style w:type="character" w:customStyle="1" w:styleId="SubsolCaracter">
    <w:name w:val="Subsol Caracter"/>
    <w:basedOn w:val="Fontdeparagrafimplicit"/>
    <w:link w:val="Subsol"/>
    <w:uiPriority w:val="99"/>
    <w:rsid w:val="00FF469E"/>
    <w:rPr>
      <w:rFonts w:ascii="Times New Roman" w:eastAsia="Times New Roman" w:hAnsi="Times New Roman" w:cs="Times New Roman"/>
      <w:sz w:val="24"/>
      <w:szCs w:val="24"/>
      <w:lang w:val="x-none" w:eastAsia="x-none"/>
    </w:rPr>
  </w:style>
  <w:style w:type="character" w:styleId="Numrdepagin">
    <w:name w:val="page number"/>
    <w:basedOn w:val="Fontdeparagrafimplicit"/>
    <w:rsid w:val="00FF469E"/>
  </w:style>
  <w:style w:type="paragraph" w:styleId="Textsimplu">
    <w:name w:val="Plain Text"/>
    <w:basedOn w:val="Normal"/>
    <w:link w:val="TextsimpluCaracter"/>
    <w:uiPriority w:val="99"/>
    <w:unhideWhenUsed/>
    <w:rsid w:val="00FF469E"/>
    <w:rPr>
      <w:rFonts w:ascii="Courier New" w:hAnsi="Courier New" w:cs="Courier New"/>
      <w:sz w:val="20"/>
      <w:szCs w:val="20"/>
    </w:rPr>
  </w:style>
  <w:style w:type="character" w:customStyle="1" w:styleId="TextsimpluCaracter">
    <w:name w:val="Text simplu Caracter"/>
    <w:basedOn w:val="Fontdeparagrafimplicit"/>
    <w:link w:val="Textsimplu"/>
    <w:uiPriority w:val="99"/>
    <w:rsid w:val="00FF469E"/>
    <w:rPr>
      <w:rFonts w:ascii="Courier New" w:eastAsia="Times New Roman" w:hAnsi="Courier New" w:cs="Courier New"/>
      <w:sz w:val="20"/>
      <w:szCs w:val="20"/>
      <w:lang w:eastAsia="ro-RO"/>
    </w:rPr>
  </w:style>
  <w:style w:type="paragraph" w:styleId="TextnBalon">
    <w:name w:val="Balloon Text"/>
    <w:basedOn w:val="Normal"/>
    <w:link w:val="TextnBalonCaracter"/>
    <w:uiPriority w:val="99"/>
    <w:semiHidden/>
    <w:unhideWhenUsed/>
    <w:rsid w:val="00FF469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F469E"/>
    <w:rPr>
      <w:rFonts w:ascii="Tahoma" w:eastAsia="Times New Roman" w:hAnsi="Tahoma" w:cs="Tahoma"/>
      <w:sz w:val="16"/>
      <w:szCs w:val="16"/>
      <w:lang w:eastAsia="ro-RO"/>
    </w:rPr>
  </w:style>
  <w:style w:type="paragraph" w:styleId="Antet">
    <w:name w:val="header"/>
    <w:basedOn w:val="Normal"/>
    <w:link w:val="AntetCaracter"/>
    <w:uiPriority w:val="99"/>
    <w:unhideWhenUsed/>
    <w:rsid w:val="007B5B70"/>
    <w:pPr>
      <w:tabs>
        <w:tab w:val="center" w:pos="4536"/>
        <w:tab w:val="right" w:pos="9072"/>
      </w:tabs>
    </w:pPr>
  </w:style>
  <w:style w:type="character" w:customStyle="1" w:styleId="AntetCaracter">
    <w:name w:val="Antet Caracter"/>
    <w:basedOn w:val="Fontdeparagrafimplicit"/>
    <w:link w:val="Antet"/>
    <w:uiPriority w:val="99"/>
    <w:rsid w:val="007B5B70"/>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ro/imgres?imgurl=http://www.produsin.ro/wp-content/uploads/2009/09/stema_romania.gif&amp;imgrefurl=http://www.produsin.ro/articole/informare/drapelul-stema-si-imnul/&amp;usg=__2JN8h2jSqvLCLlBMtNBou4k0O9E=&amp;h=770&amp;w=561&amp;sz=93&amp;hl=ro&amp;start=3&amp;sig2=juo54okAcHYFvfVkiMWAtQ&amp;zoom=1&amp;tbnid=VF3eWf9giUf9IM:&amp;tbnh=142&amp;tbnw=103&amp;ei=yMObTub7Hcr-4QTQtqGHBA&amp;prev=/search?q%3Dstema%2Bromaniei%26hl%3Dro%26gbv%3D2%26tbm%3Disch&amp;itbs=1"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b1864.e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4304</Characters>
  <Application>Microsoft Office Word</Application>
  <DocSecurity>0</DocSecurity>
  <Lines>35</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Floredana Cezar</dc:creator>
  <cp:lastModifiedBy>Mariana Adam</cp:lastModifiedBy>
  <cp:revision>3</cp:revision>
  <cp:lastPrinted>2020-03-11T16:28:00Z</cp:lastPrinted>
  <dcterms:created xsi:type="dcterms:W3CDTF">2020-03-11T16:30:00Z</dcterms:created>
  <dcterms:modified xsi:type="dcterms:W3CDTF">2020-03-11T16:32:00Z</dcterms:modified>
</cp:coreProperties>
</file>