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1989" w14:textId="7600DE9C" w:rsidR="00DD3AA7" w:rsidRPr="00075FC2" w:rsidRDefault="00DD3AA7" w:rsidP="001B62CA">
      <w:pPr>
        <w:spacing w:after="80" w:line="252" w:lineRule="auto"/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075FC2">
        <w:rPr>
          <w:rFonts w:asciiTheme="majorHAnsi" w:hAnsiTheme="majorHAnsi" w:cstheme="majorHAnsi"/>
          <w:b/>
          <w:sz w:val="24"/>
          <w:szCs w:val="24"/>
          <w:lang w:val="ro-RO"/>
        </w:rPr>
        <w:t xml:space="preserve">Utilizarea de </w:t>
      </w:r>
      <w:r w:rsidRPr="00075FC2">
        <w:rPr>
          <w:rFonts w:asciiTheme="majorHAnsi" w:hAnsiTheme="majorHAnsi" w:cstheme="majorHAnsi"/>
          <w:b/>
          <w:i/>
          <w:sz w:val="24"/>
          <w:szCs w:val="24"/>
          <w:lang w:val="ro-RO"/>
        </w:rPr>
        <w:t>cookies</w:t>
      </w:r>
      <w:r w:rsidRPr="00075FC2">
        <w:rPr>
          <w:rFonts w:asciiTheme="majorHAnsi" w:hAnsiTheme="majorHAnsi" w:cstheme="majorHAnsi"/>
          <w:b/>
          <w:sz w:val="24"/>
          <w:szCs w:val="24"/>
          <w:lang w:val="ro-RO"/>
        </w:rPr>
        <w:t xml:space="preserve"> – între cerințe</w:t>
      </w:r>
      <w:r w:rsidR="007A2ABB">
        <w:rPr>
          <w:rFonts w:asciiTheme="majorHAnsi" w:hAnsiTheme="majorHAnsi" w:cstheme="majorHAnsi"/>
          <w:b/>
          <w:sz w:val="24"/>
          <w:szCs w:val="24"/>
          <w:lang w:val="ro-RO"/>
        </w:rPr>
        <w:t>le</w:t>
      </w:r>
      <w:r w:rsidRPr="00075FC2">
        <w:rPr>
          <w:rFonts w:asciiTheme="majorHAnsi" w:hAnsiTheme="majorHAnsi" w:cstheme="majorHAnsi"/>
          <w:b/>
          <w:sz w:val="24"/>
          <w:szCs w:val="24"/>
          <w:lang w:val="ro-RO"/>
        </w:rPr>
        <w:t xml:space="preserve"> legale, nevoia businessului și așteptările utilizatorilor</w:t>
      </w:r>
    </w:p>
    <w:p w14:paraId="0DD6196C" w14:textId="77777777" w:rsidR="007A2ABB" w:rsidRDefault="007A2ABB" w:rsidP="001B62CA">
      <w:pPr>
        <w:spacing w:after="80" w:line="252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2AF5BE04" w14:textId="4C3E51D4" w:rsidR="00FF4185" w:rsidRPr="00075FC2" w:rsidRDefault="00FF4185" w:rsidP="001B62CA">
      <w:pPr>
        <w:spacing w:after="80" w:line="252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Materi</w:t>
      </w:r>
      <w:r w:rsidR="00957DCA" w:rsidRPr="00957DCA">
        <w:rPr>
          <w:rFonts w:asciiTheme="majorHAnsi" w:hAnsiTheme="majorHAnsi" w:cstheme="majorHAnsi"/>
          <w:i/>
          <w:sz w:val="20"/>
          <w:szCs w:val="20"/>
          <w:lang w:val="ro-RO"/>
        </w:rPr>
        <w:t xml:space="preserve">al de opinie de Silvia Axinescu, </w:t>
      </w:r>
      <w:r w:rsidR="00957DCA" w:rsidRPr="00075FC2">
        <w:rPr>
          <w:rStyle w:val="Emphasis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Senior Managing Associate</w:t>
      </w:r>
      <w:r w:rsidR="00957DCA">
        <w:rPr>
          <w:rStyle w:val="Emphasis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,</w:t>
      </w:r>
      <w:r w:rsidR="00957DCA">
        <w:rPr>
          <w:rFonts w:asciiTheme="majorHAnsi" w:hAnsiTheme="majorHAnsi" w:cstheme="majorHAnsi"/>
          <w:i/>
          <w:sz w:val="20"/>
          <w:szCs w:val="20"/>
          <w:lang w:val="ro-RO"/>
        </w:rPr>
        <w:t xml:space="preserve"> și Mădălina Spătaru, </w:t>
      </w:r>
      <w:proofErr w:type="spellStart"/>
      <w:r w:rsidR="00957DCA">
        <w:rPr>
          <w:rFonts w:asciiTheme="majorHAnsi" w:hAnsiTheme="majorHAnsi" w:cstheme="majorHAnsi"/>
          <w:i/>
          <w:sz w:val="20"/>
          <w:szCs w:val="20"/>
          <w:lang w:val="ro-RO"/>
        </w:rPr>
        <w:t>Associate</w:t>
      </w:r>
      <w:proofErr w:type="spellEnd"/>
      <w:r w:rsidR="00957DCA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Reff &amp; Asociații </w:t>
      </w:r>
      <w:r w:rsidR="00957DCA" w:rsidRPr="00075FC2">
        <w:rPr>
          <w:rFonts w:asciiTheme="majorHAnsi" w:hAnsiTheme="majorHAnsi" w:cstheme="majorHAnsi"/>
          <w:i/>
          <w:sz w:val="20"/>
          <w:szCs w:val="20"/>
          <w:lang w:val="ro-RO"/>
        </w:rPr>
        <w:t>| Deloitte Legal</w:t>
      </w:r>
    </w:p>
    <w:p w14:paraId="1CBCFE74" w14:textId="77777777" w:rsidR="007A2ABB" w:rsidRDefault="007A2ABB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3B09C698" w14:textId="21CEFC97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sz w:val="20"/>
          <w:szCs w:val="20"/>
          <w:lang w:val="ro-RO"/>
        </w:rPr>
        <w:t>Anul 2022 a debutat cu</w:t>
      </w:r>
      <w:r w:rsidR="00D07ABD">
        <w:rPr>
          <w:rFonts w:asciiTheme="majorHAnsi" w:hAnsiTheme="majorHAnsi" w:cstheme="majorHAnsi"/>
          <w:sz w:val="20"/>
          <w:szCs w:val="20"/>
          <w:lang w:val="ro-RO"/>
        </w:rPr>
        <w:t xml:space="preserve"> activitate intensă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în zona protecție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i datelor cu caracter personal.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Autoritățile de supraveghere din Europa au emis</w:t>
      </w:r>
      <w:r w:rsidR="00D07AB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în prima lună din an</w:t>
      </w:r>
      <w:r w:rsidR="00D07AB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orientări</w:t>
      </w:r>
      <w:r w:rsidR="00957DCA">
        <w:rPr>
          <w:rFonts w:asciiTheme="majorHAnsi" w:hAnsiTheme="majorHAnsi" w:cstheme="majorHAnsi"/>
          <w:sz w:val="20"/>
          <w:szCs w:val="20"/>
          <w:lang w:val="ro-RO"/>
        </w:rPr>
        <w:t xml:space="preserve"> și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opinii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implementare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adecvată a prevederilor legale, </w:t>
      </w:r>
      <w:r w:rsidR="00957DCA">
        <w:rPr>
          <w:rFonts w:asciiTheme="majorHAnsi" w:hAnsiTheme="majorHAnsi" w:cstheme="majorHAnsi"/>
          <w:sz w:val="20"/>
          <w:szCs w:val="20"/>
          <w:lang w:val="ro-RO"/>
        </w:rPr>
        <w:t xml:space="preserve">dar au aplicat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și numeroase sancțiuni pentru încălc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area acestora de către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operatori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de date.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 U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nul dintre aspectele ce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atrage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din ce în ce mai mult interesul autorităților în materia protecției datelor la nivelul Uniunii Europene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(UE)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privește și conformarea cu legislația aplicabilă în materia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-urilor sau tehnologiilor similare. </w:t>
      </w:r>
      <w:r w:rsidR="00957DCA">
        <w:rPr>
          <w:rFonts w:asciiTheme="majorHAnsi" w:hAnsiTheme="majorHAnsi" w:cstheme="majorHAnsi"/>
          <w:sz w:val="20"/>
          <w:szCs w:val="20"/>
          <w:lang w:val="ro-RO"/>
        </w:rPr>
        <w:t xml:space="preserve">În această direcție,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există un număr semnificativ de orientări, bune practici sau recomandări privind modalitatea de conformare</w:t>
      </w:r>
      <w:r w:rsidR="00D07ABD">
        <w:rPr>
          <w:rFonts w:asciiTheme="majorHAnsi" w:hAnsiTheme="majorHAnsi" w:cstheme="majorHAnsi"/>
          <w:sz w:val="20"/>
          <w:szCs w:val="20"/>
          <w:lang w:val="ro-RO"/>
        </w:rPr>
        <w:t xml:space="preserve">, emise de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autoritățile de supraveghere din Olanda, Franța sau Spania, Danemarca, Grecia, Italia sau, mai recent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din Croația sau Cehia. </w:t>
      </w:r>
    </w:p>
    <w:p w14:paraId="01148060" w14:textId="1A690920" w:rsidR="00DD3AA7" w:rsidRPr="00DD3AA7" w:rsidRDefault="00957DCA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n ultimii ani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operatorii, indiferent de industrie, adoptă atitudini și implementări diferite, dar și eronate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în ceea ce privește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instrumentele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gestionare a modulelor de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</w:t>
      </w:r>
      <w:r w:rsidR="00DD3AA7" w:rsidRPr="00332E0B">
        <w:rPr>
          <w:rFonts w:asciiTheme="majorHAnsi" w:hAnsiTheme="majorHAnsi" w:cstheme="majorHAnsi"/>
          <w:i/>
          <w:sz w:val="20"/>
          <w:szCs w:val="20"/>
          <w:lang w:val="ro-RO"/>
        </w:rPr>
        <w:t>okie</w:t>
      </w:r>
      <w:r w:rsidRPr="001B62CA">
        <w:rPr>
          <w:rFonts w:asciiTheme="majorHAnsi" w:hAnsiTheme="majorHAnsi" w:cstheme="majorHAnsi"/>
          <w:color w:val="1F1F1F"/>
          <w:sz w:val="20"/>
          <w:szCs w:val="20"/>
          <w:shd w:val="clear" w:color="auto" w:fill="FFFFFF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n ciuda numeroaselor </w:t>
      </w:r>
      <w:r>
        <w:rPr>
          <w:rFonts w:asciiTheme="majorHAnsi" w:hAnsiTheme="majorHAnsi" w:cstheme="majorHAnsi"/>
          <w:sz w:val="20"/>
          <w:szCs w:val="20"/>
          <w:lang w:val="ro-RO"/>
        </w:rPr>
        <w:t>recomandări emise de autorități</w:t>
      </w:r>
      <w:r w:rsidR="00E62906" w:rsidRPr="00322DBF">
        <w:rPr>
          <w:rFonts w:ascii="Helvetica" w:hAnsi="Helvetica" w:cs="Helvetica"/>
          <w:color w:val="1F1F1F"/>
          <w:sz w:val="21"/>
          <w:szCs w:val="21"/>
          <w:shd w:val="clear" w:color="auto" w:fill="FFFFFF"/>
          <w:lang w:val="ro-RO"/>
        </w:rPr>
        <w:t xml:space="preserve">.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De cele mai multe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ori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acest lucru se întâmplă întrucât implementarea mecanismelor de gestionare </w:t>
      </w:r>
      <w:r w:rsidR="00E62906">
        <w:rPr>
          <w:rFonts w:asciiTheme="majorHAnsi" w:hAnsiTheme="majorHAnsi" w:cstheme="majorHAnsi"/>
          <w:sz w:val="20"/>
          <w:szCs w:val="20"/>
          <w:lang w:val="ro-RO"/>
        </w:rPr>
        <w:t xml:space="preserve">este tratată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ca un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simplu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element de pe o lungă listă de „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cerințe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GDPR” c</w:t>
      </w:r>
      <w:r w:rsidR="00E62906"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trebuie bifat.</w:t>
      </w:r>
    </w:p>
    <w:p w14:paraId="0A8D9D79" w14:textId="008080F2" w:rsidR="00DD3AA7" w:rsidRPr="00DD3AA7" w:rsidRDefault="00E62906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Dar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investigații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>le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soldate cu amenzi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, din ce în ce mai des întâlnite în ultimul timp în jurisdicții diferite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 xml:space="preserve">, pot influența gradul de conștientizare a 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societăților 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 xml:space="preserve">care folosesc astfel de tehnologii cu privire la </w:t>
      </w:r>
      <w:r w:rsidR="00E23458" w:rsidRPr="00DD3AA7">
        <w:rPr>
          <w:rFonts w:asciiTheme="majorHAnsi" w:hAnsiTheme="majorHAnsi" w:cstheme="majorHAnsi"/>
          <w:sz w:val="20"/>
          <w:szCs w:val="20"/>
          <w:lang w:val="ro-RO"/>
        </w:rPr>
        <w:t>conformare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 xml:space="preserve">. Exemple în acest sens există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în Spania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 xml:space="preserve">, unde a fost aplicată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o amend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de 30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000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de euro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lipsa unui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instrument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cu privire la managementul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cookies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 xml:space="preserve">în Belgia -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o amendă de 15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000 </w:t>
      </w:r>
      <w:r w:rsidR="00784EBF">
        <w:rPr>
          <w:rFonts w:asciiTheme="majorHAnsi" w:hAnsiTheme="majorHAnsi" w:cstheme="majorHAnsi"/>
          <w:sz w:val="20"/>
          <w:szCs w:val="20"/>
          <w:lang w:val="ro-RO"/>
        </w:rPr>
        <w:t xml:space="preserve">de euro </w:t>
      </w:r>
      <w:r w:rsidR="00970C78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folosirea unui banner de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inițial fără </w:t>
      </w:r>
      <w:r w:rsidR="006D1FCE">
        <w:rPr>
          <w:rFonts w:asciiTheme="majorHAnsi" w:hAnsiTheme="majorHAnsi" w:cstheme="majorHAnsi"/>
          <w:sz w:val="20"/>
          <w:szCs w:val="20"/>
          <w:lang w:val="ro-RO"/>
        </w:rPr>
        <w:t xml:space="preserve">a solicita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consimțământ</w:t>
      </w:r>
      <w:r w:rsidR="006D1FCE">
        <w:rPr>
          <w:rFonts w:asciiTheme="majorHAnsi" w:hAnsiTheme="majorHAnsi" w:cstheme="majorHAnsi"/>
          <w:sz w:val="20"/>
          <w:szCs w:val="20"/>
          <w:lang w:val="ro-RO"/>
        </w:rPr>
        <w:t>ul utilizatorului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, ulterior cu consimțământul pre</w:t>
      </w:r>
      <w:r w:rsidR="00970C78">
        <w:rPr>
          <w:rFonts w:asciiTheme="majorHAnsi" w:hAnsiTheme="majorHAnsi" w:cstheme="majorHAnsi"/>
          <w:sz w:val="20"/>
          <w:szCs w:val="20"/>
          <w:lang w:val="ro-RO"/>
        </w:rPr>
        <w:t>-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bifat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 -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, mai recent, răsunătoarele decizii din Franța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70C78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sancțion</w:t>
      </w:r>
      <w:r w:rsidR="00970C78">
        <w:rPr>
          <w:rFonts w:asciiTheme="majorHAnsi" w:hAnsiTheme="majorHAnsi" w:cstheme="majorHAnsi"/>
          <w:sz w:val="20"/>
          <w:szCs w:val="20"/>
          <w:lang w:val="ro-RO"/>
        </w:rPr>
        <w:t xml:space="preserve">are a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Google și Facebook pentru implementarea neadecvată a banner-ului de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10BFDE8F" w14:textId="77777777" w:rsidR="00332E0B" w:rsidRDefault="00332E0B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75DEE014" w14:textId="21D202BD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 xml:space="preserve">Ce prevede legislația și care sunt așteptările utilizatorilor în </w:t>
      </w:r>
      <w:r w:rsidR="006D1FCE">
        <w:rPr>
          <w:rFonts w:asciiTheme="majorHAnsi" w:hAnsiTheme="majorHAnsi" w:cstheme="majorHAnsi"/>
          <w:b/>
          <w:sz w:val="20"/>
          <w:szCs w:val="20"/>
          <w:lang w:val="ro-RO"/>
        </w:rPr>
        <w:t>această zonă</w:t>
      </w: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>?</w:t>
      </w:r>
    </w:p>
    <w:p w14:paraId="024762A8" w14:textId="5B340D39" w:rsidR="00DD3AA7" w:rsidRPr="00DD3AA7" w:rsidRDefault="006D1FCE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Pentru a folosi </w:t>
      </w:r>
      <w:r w:rsidR="00E23458">
        <w:rPr>
          <w:rFonts w:asciiTheme="majorHAnsi" w:hAnsiTheme="majorHAnsi" w:cstheme="majorHAnsi"/>
          <w:sz w:val="20"/>
          <w:szCs w:val="20"/>
          <w:lang w:val="ro-RO"/>
        </w:rPr>
        <w:t>astfel de tehnologii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de colectare a informațiilor, site-urile trebuie să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obțin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consimțământul prealabil al utilizatorului, în acord cu cerințele europen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, reglementate prin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Directiva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E-</w:t>
      </w:r>
      <w:proofErr w:type="spellStart"/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privacy</w:t>
      </w:r>
      <w:proofErr w:type="spellEnd"/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, implementată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în România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prin Legea nr. 506/2004 privind prelucrarea datelor cu caracter personal și protecția vieții private în sectorul comunicaților electronice. Important</w:t>
      </w:r>
      <w:r w:rsidR="00970C78">
        <w:rPr>
          <w:rFonts w:asciiTheme="majorHAnsi" w:hAnsiTheme="majorHAnsi" w:cstheme="majorHAnsi"/>
          <w:sz w:val="20"/>
          <w:szCs w:val="20"/>
          <w:lang w:val="ro-RO"/>
        </w:rPr>
        <w:t xml:space="preserve"> este faptul că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aceste reguli se aplică indiferent dacă se prelucrează sau nu date cu caracter personal. </w:t>
      </w:r>
    </w:p>
    <w:p w14:paraId="775E757F" w14:textId="6CE8A21A" w:rsidR="00DD3AA7" w:rsidRPr="00DD3AA7" w:rsidRDefault="006D18D5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Regula are și excepții, care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prezintă mult mai mult interes, având în vedere mai ales rațiunile comerciale privind utilizarea informațiilor respective. Potrivit </w:t>
      </w:r>
      <w:r w:rsidR="00AC74EA">
        <w:rPr>
          <w:rFonts w:asciiTheme="majorHAnsi" w:hAnsiTheme="majorHAnsi" w:cstheme="majorHAnsi"/>
          <w:sz w:val="20"/>
          <w:szCs w:val="20"/>
          <w:lang w:val="ro-RO"/>
        </w:rPr>
        <w:t xml:space="preserve">legislației naționale, consimțământul utilizatorului </w:t>
      </w:r>
      <w:r w:rsidR="009D3CA1">
        <w:rPr>
          <w:rFonts w:asciiTheme="majorHAnsi" w:hAnsiTheme="majorHAnsi" w:cstheme="majorHAnsi"/>
          <w:sz w:val="20"/>
          <w:szCs w:val="20"/>
          <w:lang w:val="ro-RO"/>
        </w:rPr>
        <w:t xml:space="preserve">nu este obligatoriu </w:t>
      </w:r>
      <w:r w:rsidR="00AC74EA">
        <w:rPr>
          <w:rFonts w:asciiTheme="majorHAnsi" w:hAnsiTheme="majorHAnsi" w:cstheme="majorHAnsi"/>
          <w:sz w:val="20"/>
          <w:szCs w:val="20"/>
          <w:lang w:val="ro-RO"/>
        </w:rPr>
        <w:t xml:space="preserve">dacă </w:t>
      </w:r>
      <w:r w:rsidR="00AC74EA" w:rsidRPr="00075FC2">
        <w:rPr>
          <w:rFonts w:asciiTheme="majorHAnsi" w:hAnsiTheme="majorHAnsi" w:cstheme="majorHAnsi"/>
          <w:i/>
          <w:sz w:val="20"/>
          <w:szCs w:val="20"/>
          <w:lang w:val="ro-RO"/>
        </w:rPr>
        <w:t>c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ookie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-urile </w:t>
      </w:r>
      <w:r w:rsidR="00AC74EA">
        <w:rPr>
          <w:rFonts w:asciiTheme="majorHAnsi" w:hAnsiTheme="majorHAnsi" w:cstheme="majorHAnsi"/>
          <w:sz w:val="20"/>
          <w:szCs w:val="20"/>
          <w:lang w:val="ro-RO"/>
        </w:rPr>
        <w:t xml:space="preserve">sunt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necesare </w:t>
      </w:r>
      <w:r w:rsidR="00AC74EA">
        <w:rPr>
          <w:rFonts w:asciiTheme="majorHAnsi" w:hAnsiTheme="majorHAnsi" w:cstheme="majorHAnsi"/>
          <w:sz w:val="20"/>
          <w:szCs w:val="20"/>
          <w:lang w:val="ro-RO"/>
        </w:rPr>
        <w:t xml:space="preserve">strict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pentru transmiterea unei comunicări sau</w:t>
      </w:r>
      <w:r w:rsidR="00AC74EA">
        <w:rPr>
          <w:rFonts w:asciiTheme="majorHAnsi" w:hAnsiTheme="majorHAnsi" w:cstheme="majorHAnsi"/>
          <w:sz w:val="20"/>
          <w:szCs w:val="20"/>
          <w:lang w:val="ro-RO"/>
        </w:rPr>
        <w:t xml:space="preserve"> doar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pentru funcționarea serviciului solicitat de utilizator</w:t>
      </w:r>
      <w:r w:rsidR="00AC74EA">
        <w:rPr>
          <w:rFonts w:asciiTheme="majorHAnsi" w:hAnsiTheme="majorHAnsi" w:cstheme="majorHAnsi"/>
          <w:sz w:val="20"/>
          <w:szCs w:val="20"/>
          <w:lang w:val="ro-RO"/>
        </w:rPr>
        <w:t xml:space="preserve"> (</w:t>
      </w:r>
      <w:r w:rsidR="00AC74EA" w:rsidRPr="00DD3AA7">
        <w:rPr>
          <w:rFonts w:asciiTheme="majorHAnsi" w:hAnsiTheme="majorHAnsi" w:cstheme="majorHAnsi"/>
          <w:sz w:val="20"/>
          <w:szCs w:val="20"/>
          <w:lang w:val="ro-RO"/>
        </w:rPr>
        <w:t>orice serviciu online)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DCE8D45" w14:textId="5CDF7BA9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Așadar, se poate observa că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numeroase tipuri de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cookies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, precum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cele colectate în scop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statistic sau de marketing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nu se încadrează în niciuna din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>excepțiile prevăzute de lege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. Totuși, luând în considerare și nuanțările oferite de unele autorități europene în materie (precum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>cea</w:t>
      </w:r>
      <w:r w:rsidR="00B901D6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din Spania, în legătură cu anumite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-uri de marketing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sau cea din Franța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în legătură cu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-urile privind informațiile statistice și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care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impun totodată respectarea unor condiții specifice), se poate analiza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necesitatea obținerii consimțământului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de la caz la caz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și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se poate decide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maniera de implementare 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în consecință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(facilă, </w:t>
      </w:r>
      <w:proofErr w:type="spellStart"/>
      <w:r w:rsidRPr="00DD3AA7">
        <w:rPr>
          <w:rFonts w:asciiTheme="majorHAnsi" w:hAnsiTheme="majorHAnsi" w:cstheme="majorHAnsi"/>
          <w:i/>
          <w:sz w:val="20"/>
          <w:szCs w:val="20"/>
          <w:lang w:val="ro-RO"/>
        </w:rPr>
        <w:t>user-friendly</w:t>
      </w:r>
      <w:proofErr w:type="spellEnd"/>
      <w:r w:rsidRPr="00DD3AA7">
        <w:rPr>
          <w:rFonts w:asciiTheme="majorHAnsi" w:hAnsiTheme="majorHAnsi" w:cstheme="majorHAnsi"/>
          <w:sz w:val="20"/>
          <w:szCs w:val="20"/>
          <w:lang w:val="ro-RO"/>
        </w:rPr>
        <w:t>, dar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 xml:space="preserve"> în conformitate cu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rigorile legisla</w:t>
      </w:r>
      <w:r w:rsidR="00B901D6">
        <w:rPr>
          <w:rFonts w:asciiTheme="majorHAnsi" w:hAnsiTheme="majorHAnsi" w:cstheme="majorHAnsi"/>
          <w:sz w:val="20"/>
          <w:szCs w:val="20"/>
          <w:lang w:val="ro-RO"/>
        </w:rPr>
        <w:t>ției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).  </w:t>
      </w:r>
    </w:p>
    <w:p w14:paraId="076FF524" w14:textId="77777777" w:rsidR="00332E0B" w:rsidRDefault="00332E0B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780E8986" w14:textId="0497E1A2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 xml:space="preserve">Viitorul </w:t>
      </w:r>
      <w:r w:rsidR="00332E0B">
        <w:rPr>
          <w:rFonts w:asciiTheme="majorHAnsi" w:hAnsiTheme="majorHAnsi" w:cstheme="majorHAnsi"/>
          <w:b/>
          <w:sz w:val="20"/>
          <w:szCs w:val="20"/>
          <w:lang w:val="ro-RO"/>
        </w:rPr>
        <w:t>r</w:t>
      </w:r>
      <w:r w:rsidR="00332E0B" w:rsidRPr="00DD3AA7">
        <w:rPr>
          <w:rFonts w:asciiTheme="majorHAnsi" w:hAnsiTheme="majorHAnsi" w:cstheme="majorHAnsi"/>
          <w:b/>
          <w:sz w:val="20"/>
          <w:szCs w:val="20"/>
          <w:lang w:val="ro-RO"/>
        </w:rPr>
        <w:t xml:space="preserve">egulament </w:t>
      </w: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 xml:space="preserve">privind viața privată și comunicațiile electronice </w:t>
      </w:r>
    </w:p>
    <w:p w14:paraId="60BEC473" w14:textId="78DB5956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Având în vedere modalitatea în care majoritatea site-urilor au implementat informarea sau obținerea consimțământului pentru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="000A7ACD">
        <w:rPr>
          <w:rFonts w:asciiTheme="majorHAnsi" w:hAnsiTheme="majorHAnsi" w:cstheme="majorHAnsi"/>
          <w:i/>
          <w:sz w:val="20"/>
          <w:szCs w:val="20"/>
          <w:lang w:val="ro-RO"/>
        </w:rPr>
        <w:t>-uri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, dar și maniera în care utilizatorii se raportează la acestea în practică, este 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>evident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că legislația actuală (loca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>lă,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dar și european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) nu și-a atins scopul. </w:t>
      </w:r>
    </w:p>
    <w:p w14:paraId="118369D7" w14:textId="51B7BD9F" w:rsid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sz w:val="20"/>
          <w:szCs w:val="20"/>
          <w:lang w:val="ro-RO"/>
        </w:rPr>
        <w:lastRenderedPageBreak/>
        <w:t xml:space="preserve">Din acest motiv, </w:t>
      </w:r>
      <w:r w:rsidR="009D3CA1">
        <w:rPr>
          <w:rFonts w:asciiTheme="majorHAnsi" w:hAnsiTheme="majorHAnsi" w:cstheme="majorHAnsi"/>
          <w:sz w:val="20"/>
          <w:szCs w:val="20"/>
          <w:lang w:val="ro-RO"/>
        </w:rPr>
        <w:t>trebuie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precizat că viitorul 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r</w:t>
      </w:r>
      <w:r w:rsidR="00332E0B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egulament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relaxează </w:t>
      </w:r>
      <w:r w:rsidR="00A441C2">
        <w:rPr>
          <w:rFonts w:asciiTheme="majorHAnsi" w:hAnsiTheme="majorHAnsi" w:cstheme="majorHAnsi"/>
          <w:sz w:val="20"/>
          <w:szCs w:val="20"/>
          <w:lang w:val="ro-RO"/>
        </w:rPr>
        <w:t>în oarecare măsură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cadrul de reglementare,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 xml:space="preserve">astfel încât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mai mult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 xml:space="preserve">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tipuri de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să fie 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 xml:space="preserve">exceptate de la obținerea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consimțământ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>ului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. Spre exemplu, anumite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-uri statistice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 xml:space="preserve">, cum ar fi cele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de măsurare a traficului web sau cu privire la numărul de utilizatori finali ai unei aplicații</w:t>
      </w:r>
      <w:r w:rsidR="000A7AC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ar putea fi exceptate în anumite condiții de la obținerea consimțământului. Totodată, </w:t>
      </w:r>
      <w:r w:rsidR="000E65D0">
        <w:rPr>
          <w:rFonts w:asciiTheme="majorHAnsi" w:hAnsiTheme="majorHAnsi" w:cstheme="majorHAnsi"/>
          <w:sz w:val="20"/>
          <w:szCs w:val="20"/>
          <w:lang w:val="ro-RO"/>
        </w:rPr>
        <w:t xml:space="preserve">potrivit proiectului de </w:t>
      </w:r>
      <w:hyperlink r:id="rId8" w:history="1">
        <w:r w:rsidR="000E65D0" w:rsidRPr="000E65D0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regulament</w:t>
        </w:r>
      </w:hyperlink>
      <w:r w:rsidRPr="00DD3AA7">
        <w:rPr>
          <w:rFonts w:asciiTheme="majorHAnsi" w:hAnsiTheme="majorHAnsi" w:cstheme="majorHAnsi"/>
          <w:sz w:val="20"/>
          <w:szCs w:val="20"/>
          <w:lang w:val="ro-RO"/>
        </w:rPr>
        <w:t>, interesul vital al utilizatorului ar putea fi</w:t>
      </w:r>
      <w:r w:rsidR="000E65D0">
        <w:rPr>
          <w:rFonts w:asciiTheme="majorHAnsi" w:hAnsiTheme="majorHAnsi" w:cstheme="majorHAnsi"/>
          <w:sz w:val="20"/>
          <w:szCs w:val="20"/>
          <w:lang w:val="ro-RO"/>
        </w:rPr>
        <w:t xml:space="preserve"> folosit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ca temei pentru utilizare, </w:t>
      </w:r>
      <w:r w:rsidR="000E65D0">
        <w:rPr>
          <w:rFonts w:asciiTheme="majorHAnsi" w:hAnsiTheme="majorHAnsi" w:cstheme="majorHAnsi"/>
          <w:sz w:val="20"/>
          <w:szCs w:val="20"/>
          <w:lang w:val="ro-RO"/>
        </w:rPr>
        <w:t xml:space="preserve">aspect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nereglementat de legislația actuală și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 xml:space="preserve">a cărui implementare practică va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fi interesant de urmărit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3664AFB9" w14:textId="77777777" w:rsidR="00332E0B" w:rsidRPr="00DD3AA7" w:rsidRDefault="00332E0B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79800C75" w14:textId="77777777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 xml:space="preserve">Necesitatea evaluării </w:t>
      </w:r>
      <w:r w:rsidRPr="00075FC2">
        <w:rPr>
          <w:rFonts w:asciiTheme="majorHAnsi" w:hAnsiTheme="majorHAnsi" w:cstheme="majorHAnsi"/>
          <w:b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>-urilor la nivelul fiecărui site sau aplicații utilizate</w:t>
      </w:r>
    </w:p>
    <w:p w14:paraId="406ADCEA" w14:textId="1543C147" w:rsidR="00DD3AA7" w:rsidRPr="00DD3AA7" w:rsidRDefault="00A441C2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Cele mai recent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e recomandări și decizii în materie subliniază ceea ce era de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mult expus de profesioniști, respectiv că implementarea unui modul de obținere a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-ului, informarea utilizatorului și redactarea unei politici privind utilizarea </w:t>
      </w:r>
      <w:r w:rsidR="00B10408">
        <w:rPr>
          <w:rFonts w:asciiTheme="majorHAnsi" w:hAnsiTheme="majorHAnsi" w:cstheme="majorHAnsi"/>
          <w:sz w:val="20"/>
          <w:szCs w:val="20"/>
          <w:lang w:val="ro-RO"/>
        </w:rPr>
        <w:t>acestor instrumente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de către un site sau o aplicație nu sunt suficiente dacă nu reflectă realitatea </w:t>
      </w:r>
      <w:r>
        <w:rPr>
          <w:rFonts w:asciiTheme="majorHAnsi" w:hAnsiTheme="majorHAnsi" w:cstheme="majorHAnsi"/>
          <w:sz w:val="20"/>
          <w:szCs w:val="20"/>
          <w:lang w:val="ro-RO"/>
        </w:rPr>
        <w:t>„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din teren” sau dacă preferințele 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ori</w:t>
      </w:r>
      <w:r w:rsidR="00332E0B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opțiunile utilizatorilor nu sunt stocate</w:t>
      </w:r>
      <w:r w:rsidR="00B10408">
        <w:rPr>
          <w:rFonts w:asciiTheme="majorHAnsi" w:hAnsiTheme="majorHAnsi" w:cstheme="majorHAnsi"/>
          <w:sz w:val="20"/>
          <w:szCs w:val="20"/>
          <w:lang w:val="ro-RO"/>
        </w:rPr>
        <w:t xml:space="preserve"> efectiv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. Spre exemplu, în cazul unor</w:t>
      </w:r>
      <w:r w:rsidR="00B1040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businessuri</w:t>
      </w:r>
      <w:r w:rsidR="00332E0B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>complexe (precum instituții financiare, societăți de asigurare sau alte entități obliga</w:t>
      </w:r>
      <w:r w:rsidR="00B10408">
        <w:rPr>
          <w:rFonts w:asciiTheme="majorHAnsi" w:hAnsiTheme="majorHAnsi" w:cstheme="majorHAnsi"/>
          <w:sz w:val="20"/>
          <w:szCs w:val="20"/>
          <w:lang w:val="ro-RO"/>
        </w:rPr>
        <w:t>te să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asigur</w:t>
      </w:r>
      <w:r w:rsidR="00B10408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o protecție sporită a rețelelor și site-urilor), anumite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-uri intră în responsabilitatea directă a propriilor departamente de IT, neputând fi regăsite în baze de date publice. De asemenea, este extrem de important modul în care un </w:t>
      </w:r>
      <w:r w:rsidR="00DD3AA7"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este folosit, anumite module putând avea utilizări multiple.</w:t>
      </w:r>
    </w:p>
    <w:p w14:paraId="73822B46" w14:textId="06BE4CAE" w:rsidR="00DD3AA7" w:rsidRPr="00075FC2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Din acest motiv, </w:t>
      </w:r>
      <w:r w:rsidR="00B10408">
        <w:rPr>
          <w:rFonts w:asciiTheme="majorHAnsi" w:hAnsiTheme="majorHAnsi" w:cstheme="majorHAnsi"/>
          <w:sz w:val="20"/>
          <w:szCs w:val="20"/>
          <w:lang w:val="ro-RO"/>
        </w:rPr>
        <w:t xml:space="preserve">devine 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utilă maparea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e-urilor în sensul evaluării acestora pentru fiecare caz în parte, cu scopul de a determina, în primul rând</w:t>
      </w:r>
      <w:r w:rsidR="00A441C2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care este întreaga plajă de </w:t>
      </w:r>
      <w:r w:rsidRPr="00075FC2">
        <w:rPr>
          <w:rFonts w:asciiTheme="majorHAnsi" w:hAnsiTheme="majorHAnsi" w:cstheme="majorHAnsi"/>
          <w:i/>
          <w:sz w:val="20"/>
          <w:szCs w:val="20"/>
          <w:lang w:val="ro-RO"/>
        </w:rPr>
        <w:t>cookie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-uri utilizate, tipul acest</w:t>
      </w:r>
      <w:r w:rsidR="00A441C2">
        <w:rPr>
          <w:rFonts w:asciiTheme="majorHAnsi" w:hAnsiTheme="majorHAnsi" w:cstheme="majorHAnsi"/>
          <w:sz w:val="20"/>
          <w:szCs w:val="20"/>
          <w:lang w:val="ro-RO"/>
        </w:rPr>
        <w:t>ora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(</w:t>
      </w:r>
      <w:proofErr w:type="spellStart"/>
      <w:r w:rsidRPr="00DD3AA7">
        <w:rPr>
          <w:rFonts w:asciiTheme="majorHAnsi" w:hAnsiTheme="majorHAnsi" w:cstheme="majorHAnsi"/>
          <w:i/>
          <w:sz w:val="20"/>
          <w:szCs w:val="20"/>
          <w:lang w:val="ro-RO"/>
        </w:rPr>
        <w:t>first</w:t>
      </w:r>
      <w:proofErr w:type="spellEnd"/>
      <w:r w:rsidRPr="00DD3AA7">
        <w:rPr>
          <w:rFonts w:asciiTheme="majorHAnsi" w:hAnsiTheme="majorHAnsi" w:cstheme="majorHAnsi"/>
          <w:i/>
          <w:sz w:val="20"/>
          <w:szCs w:val="20"/>
          <w:lang w:val="ro-RO"/>
        </w:rPr>
        <w:t xml:space="preserve"> party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 sau </w:t>
      </w:r>
      <w:proofErr w:type="spellStart"/>
      <w:r w:rsidRPr="00DD3AA7">
        <w:rPr>
          <w:rFonts w:asciiTheme="majorHAnsi" w:hAnsiTheme="majorHAnsi" w:cstheme="majorHAnsi"/>
          <w:i/>
          <w:sz w:val="20"/>
          <w:szCs w:val="20"/>
          <w:lang w:val="ro-RO"/>
        </w:rPr>
        <w:t>third</w:t>
      </w:r>
      <w:proofErr w:type="spellEnd"/>
      <w:r w:rsidRPr="00DD3AA7">
        <w:rPr>
          <w:rFonts w:asciiTheme="majorHAnsi" w:hAnsiTheme="majorHAnsi" w:cstheme="majorHAnsi"/>
          <w:i/>
          <w:sz w:val="20"/>
          <w:szCs w:val="20"/>
          <w:lang w:val="ro-RO"/>
        </w:rPr>
        <w:t xml:space="preserve"> party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) și scopul urmărit (publicitate, statistică, securitate etc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 xml:space="preserve">), dar și aspecte precum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>t</w:t>
      </w:r>
      <w:r w:rsidRPr="00075FC2">
        <w:rPr>
          <w:rFonts w:asciiTheme="majorHAnsi" w:hAnsiTheme="majorHAnsi" w:cstheme="majorHAnsi"/>
          <w:sz w:val="20"/>
          <w:szCs w:val="20"/>
          <w:lang w:val="ro-RO"/>
        </w:rPr>
        <w:t>emeiul legal aplicabil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>b</w:t>
      </w:r>
      <w:r w:rsidRPr="00075FC2">
        <w:rPr>
          <w:rFonts w:asciiTheme="majorHAnsi" w:hAnsiTheme="majorHAnsi" w:cstheme="majorHAnsi"/>
          <w:sz w:val="20"/>
          <w:szCs w:val="20"/>
          <w:lang w:val="ro-RO"/>
        </w:rPr>
        <w:t>une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>le</w:t>
      </w:r>
      <w:r w:rsidRPr="00075FC2">
        <w:rPr>
          <w:rFonts w:asciiTheme="majorHAnsi" w:hAnsiTheme="majorHAnsi" w:cstheme="majorHAnsi"/>
          <w:sz w:val="20"/>
          <w:szCs w:val="20"/>
          <w:lang w:val="ro-RO"/>
        </w:rPr>
        <w:t xml:space="preserve"> practici sau recomandări pentru obținerea consimțământului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>p</w:t>
      </w:r>
      <w:r w:rsidRPr="00075FC2">
        <w:rPr>
          <w:rFonts w:asciiTheme="majorHAnsi" w:hAnsiTheme="majorHAnsi" w:cstheme="majorHAnsi"/>
          <w:sz w:val="20"/>
          <w:szCs w:val="20"/>
          <w:lang w:val="ro-RO"/>
        </w:rPr>
        <w:t>erioada de stocare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 xml:space="preserve"> a datelor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>t</w:t>
      </w:r>
      <w:r w:rsidRPr="00075FC2">
        <w:rPr>
          <w:rFonts w:asciiTheme="majorHAnsi" w:hAnsiTheme="majorHAnsi" w:cstheme="majorHAnsi"/>
          <w:sz w:val="20"/>
          <w:szCs w:val="20"/>
          <w:lang w:val="ro-RO"/>
        </w:rPr>
        <w:t>ransparența față de utilizator</w:t>
      </w:r>
      <w:r w:rsidR="00332E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6364D">
        <w:rPr>
          <w:rFonts w:asciiTheme="majorHAnsi" w:hAnsiTheme="majorHAnsi" w:cstheme="majorHAnsi"/>
          <w:sz w:val="20"/>
          <w:szCs w:val="20"/>
          <w:lang w:val="ro-RO"/>
        </w:rPr>
        <w:t>r</w:t>
      </w:r>
      <w:r w:rsidRPr="00DD3AA7">
        <w:rPr>
          <w:rFonts w:asciiTheme="majorHAnsi" w:hAnsiTheme="majorHAnsi" w:cstheme="majorHAnsi"/>
          <w:sz w:val="20"/>
          <w:szCs w:val="20"/>
          <w:lang w:val="ro-RO"/>
        </w:rPr>
        <w:t>educerea eventualelor riscuri aferente neconformării prin adoptarea unor măsuri tehnice și organizaționale care corespund cel mai bine modelului propriu de business.</w:t>
      </w:r>
    </w:p>
    <w:p w14:paraId="6D239C96" w14:textId="77777777" w:rsidR="00332E0B" w:rsidRDefault="00332E0B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63C30E18" w14:textId="769FD7B8" w:rsidR="00DD3AA7" w:rsidRPr="00DD3AA7" w:rsidRDefault="00DD3AA7" w:rsidP="001B62CA">
      <w:pPr>
        <w:spacing w:after="8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DD3AA7">
        <w:rPr>
          <w:rFonts w:asciiTheme="majorHAnsi" w:hAnsiTheme="majorHAnsi" w:cstheme="majorHAnsi"/>
          <w:b/>
          <w:sz w:val="20"/>
          <w:szCs w:val="20"/>
          <w:lang w:val="ro-RO"/>
        </w:rPr>
        <w:t xml:space="preserve">Noi tendințe în </w:t>
      </w:r>
      <w:r w:rsidR="00B10408">
        <w:rPr>
          <w:rFonts w:asciiTheme="majorHAnsi" w:hAnsiTheme="majorHAnsi" w:cstheme="majorHAnsi"/>
          <w:b/>
          <w:sz w:val="20"/>
          <w:szCs w:val="20"/>
          <w:lang w:val="ro-RO"/>
        </w:rPr>
        <w:t>domeniu</w:t>
      </w:r>
    </w:p>
    <w:p w14:paraId="4D009DB0" w14:textId="4D906708" w:rsidR="00DD3AA7" w:rsidRPr="00DD3AA7" w:rsidRDefault="004C2275" w:rsidP="001B62CA">
      <w:pPr>
        <w:spacing w:after="80" w:line="252" w:lineRule="auto"/>
        <w:jc w:val="both"/>
        <w:rPr>
          <w:rFonts w:asciiTheme="majorHAnsi" w:hAnsiTheme="majorHAnsi" w:cstheme="majorHAnsi"/>
          <w:bCs/>
          <w:sz w:val="20"/>
          <w:szCs w:val="20"/>
          <w:lang w:val="ro-RO"/>
        </w:rPr>
      </w:pPr>
      <w:r>
        <w:rPr>
          <w:rFonts w:asciiTheme="majorHAnsi" w:hAnsiTheme="majorHAnsi" w:cstheme="majorHAnsi"/>
          <w:bCs/>
          <w:sz w:val="20"/>
          <w:szCs w:val="20"/>
          <w:lang w:val="ro-RO"/>
        </w:rPr>
        <w:t>La capitolul noutăți</w:t>
      </w:r>
      <w:r w:rsidR="00332E0B">
        <w:rPr>
          <w:rFonts w:asciiTheme="majorHAnsi" w:hAnsiTheme="majorHAnsi" w:cstheme="majorHAnsi"/>
          <w:bCs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este de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mențio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nat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mult</w:t>
      </w:r>
      <w:r w:rsidR="00332E0B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așteptata decizie emisă de autoritatea de supraveghere din Belgia cu privire la așa-numitul</w:t>
      </w:r>
      <w:r w:rsidR="00A441C2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Tranparency</w:t>
      </w:r>
      <w:proofErr w:type="spellEnd"/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and </w:t>
      </w:r>
      <w:proofErr w:type="spellStart"/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Con</w:t>
      </w:r>
      <w:r w:rsidR="003803B0">
        <w:rPr>
          <w:rFonts w:asciiTheme="majorHAnsi" w:hAnsiTheme="majorHAnsi" w:cstheme="majorHAnsi"/>
          <w:bCs/>
          <w:sz w:val="20"/>
          <w:szCs w:val="20"/>
          <w:lang w:val="ro-RO"/>
        </w:rPr>
        <w:t>s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ent</w:t>
      </w:r>
      <w:proofErr w:type="spellEnd"/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Framework (</w:t>
      </w:r>
      <w:r w:rsidR="00DD3AA7" w:rsidRPr="00075FC2">
        <w:rPr>
          <w:rFonts w:asciiTheme="majorHAnsi" w:hAnsiTheme="majorHAnsi" w:cstheme="majorHAnsi"/>
          <w:sz w:val="20"/>
          <w:szCs w:val="20"/>
          <w:lang w:val="ro-RO"/>
        </w:rPr>
        <w:t>TCF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), </w:t>
      </w:r>
      <w:r w:rsidR="00B10408">
        <w:rPr>
          <w:rFonts w:asciiTheme="majorHAnsi" w:hAnsiTheme="majorHAnsi" w:cstheme="majorHAnsi"/>
          <w:bCs/>
          <w:sz w:val="20"/>
          <w:szCs w:val="20"/>
          <w:lang w:val="ro-RO"/>
        </w:rPr>
        <w:t>instrumentul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pentru </w:t>
      </w:r>
      <w:r w:rsidR="00DD3AA7" w:rsidRPr="00075FC2">
        <w:rPr>
          <w:rFonts w:asciiTheme="majorHAnsi" w:hAnsiTheme="majorHAnsi" w:cstheme="majorHAnsi"/>
          <w:bCs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-uri dezvoltat de asociația europeană în materie de </w:t>
      </w:r>
      <w:r w:rsidR="00A441C2">
        <w:rPr>
          <w:rFonts w:asciiTheme="majorHAnsi" w:hAnsiTheme="majorHAnsi" w:cstheme="majorHAnsi"/>
          <w:bCs/>
          <w:sz w:val="20"/>
          <w:szCs w:val="20"/>
          <w:lang w:val="ro-RO"/>
        </w:rPr>
        <w:t>publicitate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– IAB Europe</w:t>
      </w:r>
      <w:r w:rsidR="00332E0B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-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, prin care s-a stabilit în mod clar că </w:t>
      </w:r>
      <w:r w:rsidR="003803B0">
        <w:rPr>
          <w:rFonts w:asciiTheme="majorHAnsi" w:hAnsiTheme="majorHAnsi" w:cstheme="majorHAnsi"/>
          <w:bCs/>
          <w:sz w:val="20"/>
          <w:szCs w:val="20"/>
          <w:lang w:val="ro-RO"/>
        </w:rPr>
        <w:t>folosirea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</w:t>
      </w:r>
      <w:r w:rsidR="00B10408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acestora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nu se poate întemeia pe interesul legitim</w:t>
      </w:r>
      <w:r w:rsidR="003803B0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al utilizatorului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. Prin efectul acestei decizii, nenumărate website-uri ce utilizau </w:t>
      </w:r>
      <w:r w:rsidR="00B10408">
        <w:rPr>
          <w:rFonts w:asciiTheme="majorHAnsi" w:hAnsiTheme="majorHAnsi" w:cstheme="majorHAnsi"/>
          <w:bCs/>
          <w:sz w:val="20"/>
          <w:szCs w:val="20"/>
          <w:lang w:val="ro-RO"/>
        </w:rPr>
        <w:t>instrumentul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TCF sau </w:t>
      </w:r>
      <w:r w:rsidR="00B10408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altele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similare, inclusiv cele operate de pe teritoriul României, </w:t>
      </w:r>
      <w:r w:rsidR="00A441C2">
        <w:rPr>
          <w:rFonts w:asciiTheme="majorHAnsi" w:hAnsiTheme="majorHAnsi" w:cstheme="majorHAnsi"/>
          <w:bCs/>
          <w:sz w:val="20"/>
          <w:szCs w:val="20"/>
          <w:lang w:val="ro-RO"/>
        </w:rPr>
        <w:t>trebuie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să î</w:t>
      </w:r>
      <w:r w:rsidR="00A441C2">
        <w:rPr>
          <w:rFonts w:asciiTheme="majorHAnsi" w:hAnsiTheme="majorHAnsi" w:cstheme="majorHAnsi"/>
          <w:bCs/>
          <w:sz w:val="20"/>
          <w:szCs w:val="20"/>
          <w:lang w:val="ro-RO"/>
        </w:rPr>
        <w:t>ș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i regândească modalitatea de utilizare a </w:t>
      </w:r>
      <w:r w:rsidR="00DD3AA7" w:rsidRPr="00075FC2">
        <w:rPr>
          <w:rFonts w:asciiTheme="majorHAnsi" w:hAnsiTheme="majorHAnsi" w:cstheme="majorHAnsi"/>
          <w:bCs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-urilor, prin implementarea unor 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>mecanisme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conforme cu leg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>islația în vigoare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. </w:t>
      </w:r>
    </w:p>
    <w:p w14:paraId="6BFB1901" w14:textId="37CD8F9C" w:rsidR="00F33B5B" w:rsidRPr="00DD3AA7" w:rsidRDefault="004C2275" w:rsidP="001B62CA">
      <w:pPr>
        <w:spacing w:after="8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În concluzie,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atenția acordată </w:t>
      </w:r>
      <w:r w:rsidR="00DD3AA7" w:rsidRPr="00075FC2">
        <w:rPr>
          <w:rFonts w:asciiTheme="majorHAnsi" w:hAnsiTheme="majorHAnsi" w:cstheme="majorHAnsi"/>
          <w:bCs/>
          <w:i/>
          <w:sz w:val="20"/>
          <w:szCs w:val="20"/>
          <w:lang w:val="ro-RO"/>
        </w:rPr>
        <w:t>cookie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-urilor este binevenită, într-un context în care asistăm la o reală revoluție a internetului, spațiu în care atât datele cu caracter personal, cât și </w:t>
      </w:r>
      <w:r w:rsidR="00DD3AA7" w:rsidRPr="00075FC2">
        <w:rPr>
          <w:rFonts w:asciiTheme="majorHAnsi" w:hAnsiTheme="majorHAnsi" w:cstheme="majorHAnsi"/>
          <w:bCs/>
          <w:i/>
          <w:sz w:val="20"/>
          <w:szCs w:val="20"/>
          <w:lang w:val="ro-RO"/>
        </w:rPr>
        <w:t>meta</w:t>
      </w:r>
      <w:r w:rsidR="00A441C2">
        <w:rPr>
          <w:rFonts w:asciiTheme="majorHAnsi" w:hAnsiTheme="majorHAnsi" w:cstheme="majorHAnsi"/>
          <w:bCs/>
          <w:sz w:val="20"/>
          <w:szCs w:val="20"/>
          <w:lang w:val="ro-RO"/>
        </w:rPr>
        <w:t>-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datele reprezintă unul din elementele principale. În acest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context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, utilizator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>ii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trebuie să 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aibă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posibilitatea 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să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control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eze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>modalit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>atea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în care informația ce îi privește este stocată și deopotrivă utilizată. </w:t>
      </w:r>
      <w:r w:rsidR="003803B0">
        <w:rPr>
          <w:rFonts w:asciiTheme="majorHAnsi" w:hAnsiTheme="majorHAnsi" w:cstheme="majorHAnsi"/>
          <w:bCs/>
          <w:sz w:val="20"/>
          <w:szCs w:val="20"/>
          <w:lang w:val="ro-RO"/>
        </w:rPr>
        <w:t>Așadar</w:t>
      </w:r>
      <w:r w:rsidR="00332E0B">
        <w:rPr>
          <w:rFonts w:asciiTheme="majorHAnsi" w:hAnsiTheme="majorHAnsi" w:cstheme="majorHAnsi"/>
          <w:bCs/>
          <w:sz w:val="20"/>
          <w:szCs w:val="20"/>
          <w:lang w:val="ro-RO"/>
        </w:rPr>
        <w:t>,</w:t>
      </w:r>
      <w:r w:rsidR="003803B0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este de urmărit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modalitatea în care industria va evolua ca urmare a acestei decizii, în prim plan aflându-se, desigur, sectorul de </w:t>
      </w:r>
      <w:r w:rsidR="003803B0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publicitate </w:t>
      </w:r>
      <w:r w:rsidR="00DD3AA7" w:rsidRPr="00DD3AA7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online. </w:t>
      </w:r>
    </w:p>
    <w:sectPr w:rsidR="00F33B5B" w:rsidRPr="00DD3A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BBF3" w14:textId="77777777" w:rsidR="00BF38C7" w:rsidRDefault="00BF38C7" w:rsidP="00DD3AA7">
      <w:pPr>
        <w:spacing w:after="0" w:line="240" w:lineRule="auto"/>
      </w:pPr>
      <w:r>
        <w:separator/>
      </w:r>
    </w:p>
  </w:endnote>
  <w:endnote w:type="continuationSeparator" w:id="0">
    <w:p w14:paraId="7E3868D3" w14:textId="77777777" w:rsidR="00BF38C7" w:rsidRDefault="00BF38C7" w:rsidP="00DD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0B65" w14:textId="77777777" w:rsidR="00BF38C7" w:rsidRDefault="00BF38C7" w:rsidP="00DD3AA7">
      <w:pPr>
        <w:spacing w:after="0" w:line="240" w:lineRule="auto"/>
      </w:pPr>
      <w:r>
        <w:separator/>
      </w:r>
    </w:p>
  </w:footnote>
  <w:footnote w:type="continuationSeparator" w:id="0">
    <w:p w14:paraId="2F2A3DD0" w14:textId="77777777" w:rsidR="00BF38C7" w:rsidRDefault="00BF38C7" w:rsidP="00DD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5D05" w14:textId="77777777" w:rsidR="00CC4DE2" w:rsidRDefault="009A65EB">
    <w:pPr>
      <w:pStyle w:val="Header"/>
    </w:pPr>
    <w:r w:rsidRPr="003B0F78">
      <w:rPr>
        <w:noProof/>
      </w:rPr>
      <w:drawing>
        <wp:anchor distT="0" distB="0" distL="114300" distR="114300" simplePos="0" relativeHeight="251659264" behindDoc="0" locked="0" layoutInCell="1" allowOverlap="1" wp14:anchorId="05AB6582" wp14:editId="1B61E8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295275"/>
          <wp:effectExtent l="0" t="0" r="0" b="9525"/>
          <wp:wrapNone/>
          <wp:docPr id="1" name="Picture 1" descr="Logo Reff&amp;Asociatii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ff&amp;Asociatii neg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5443"/>
    <w:multiLevelType w:val="hybridMultilevel"/>
    <w:tmpl w:val="58B6B330"/>
    <w:lvl w:ilvl="0" w:tplc="4C629B0A">
      <w:start w:val="5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3AD1"/>
    <w:multiLevelType w:val="hybridMultilevel"/>
    <w:tmpl w:val="AF388F16"/>
    <w:lvl w:ilvl="0" w:tplc="9DCC0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A7"/>
    <w:rsid w:val="00075FC2"/>
    <w:rsid w:val="000A7ACD"/>
    <w:rsid w:val="000E65D0"/>
    <w:rsid w:val="001B62CA"/>
    <w:rsid w:val="002613DA"/>
    <w:rsid w:val="00274CA0"/>
    <w:rsid w:val="002D53DC"/>
    <w:rsid w:val="002F2611"/>
    <w:rsid w:val="00322DBF"/>
    <w:rsid w:val="00332E0B"/>
    <w:rsid w:val="003603B1"/>
    <w:rsid w:val="003803B0"/>
    <w:rsid w:val="004C2275"/>
    <w:rsid w:val="006D18D5"/>
    <w:rsid w:val="006D1FCE"/>
    <w:rsid w:val="006F1B8E"/>
    <w:rsid w:val="0076364D"/>
    <w:rsid w:val="00784EBF"/>
    <w:rsid w:val="007A2ABB"/>
    <w:rsid w:val="00846CD8"/>
    <w:rsid w:val="008C0AC9"/>
    <w:rsid w:val="008C7084"/>
    <w:rsid w:val="00957DCA"/>
    <w:rsid w:val="00970C78"/>
    <w:rsid w:val="009A65EB"/>
    <w:rsid w:val="009D3CA1"/>
    <w:rsid w:val="00A441C2"/>
    <w:rsid w:val="00AC74EA"/>
    <w:rsid w:val="00B10408"/>
    <w:rsid w:val="00B901D6"/>
    <w:rsid w:val="00BF38C7"/>
    <w:rsid w:val="00D07ABD"/>
    <w:rsid w:val="00DD3AA7"/>
    <w:rsid w:val="00E23458"/>
    <w:rsid w:val="00E62906"/>
    <w:rsid w:val="00F33B5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6DDB7"/>
  <w15:chartTrackingRefBased/>
  <w15:docId w15:val="{79A50500-6FAC-4727-B736-3BFE3B8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A7"/>
  </w:style>
  <w:style w:type="paragraph" w:styleId="ListParagraph">
    <w:name w:val="List Paragraph"/>
    <w:basedOn w:val="Normal"/>
    <w:uiPriority w:val="34"/>
    <w:qFormat/>
    <w:rsid w:val="00DD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A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A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0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CD"/>
  </w:style>
  <w:style w:type="character" w:styleId="FollowedHyperlink">
    <w:name w:val="FollowedHyperlink"/>
    <w:basedOn w:val="DefaultParagraphFont"/>
    <w:uiPriority w:val="99"/>
    <w:semiHidden/>
    <w:unhideWhenUsed/>
    <w:rsid w:val="000A7AC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7DC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ONSIL:ST_6087_2021_INIT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CDD2-E5C9-41E8-B284-C63E44A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4</cp:revision>
  <dcterms:created xsi:type="dcterms:W3CDTF">2022-02-08T16:59:00Z</dcterms:created>
  <dcterms:modified xsi:type="dcterms:W3CDTF">2022-02-10T08:45:00Z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2022-02-04T14:08:42Z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7e305d40-952c-4aaa-ab39-46db6528f1ca</vt:lpwstr>
  </property>
  <property fmtid="{D5CDD505-2E9C-101B-9397-08002B2CF9AE}" pid="8" name="MSIP_Label_ea60d57e-af5b-4752-ac57-3e4f28ca11dc_ContentBits">
    <vt:lpwstr>0</vt:lpwstr>
  </property>
</Properties>
</file>