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C3D5" w14:textId="03DE0394" w:rsidR="00B03039" w:rsidRPr="00F4280D" w:rsidRDefault="00B03039" w:rsidP="003169EF">
      <w:pPr>
        <w:spacing w:after="120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Pactul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Verde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European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–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="00F34B72">
        <w:rPr>
          <w:rFonts w:ascii="Calibri Light" w:hAnsi="Calibri Light" w:cs="Calibri Light"/>
          <w:b/>
          <w:bCs/>
          <w:sz w:val="24"/>
          <w:szCs w:val="24"/>
          <w:lang w:val="ro-RO"/>
        </w:rPr>
        <w:t>oportunități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="00F34B72">
        <w:rPr>
          <w:rFonts w:ascii="Calibri Light" w:hAnsi="Calibri Light" w:cs="Calibri Light"/>
          <w:b/>
          <w:bCs/>
          <w:sz w:val="24"/>
          <w:szCs w:val="24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="00F34B72">
        <w:rPr>
          <w:rFonts w:ascii="Calibri Light" w:hAnsi="Calibri Light" w:cs="Calibri Light"/>
          <w:b/>
          <w:bCs/>
          <w:sz w:val="24"/>
          <w:szCs w:val="24"/>
          <w:lang w:val="ro-RO"/>
        </w:rPr>
        <w:t>investiții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pentru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industria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auto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din</w:t>
      </w:r>
      <w:r w:rsidR="00DF710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F4280D">
        <w:rPr>
          <w:rFonts w:ascii="Calibri Light" w:hAnsi="Calibri Light" w:cs="Calibri Light"/>
          <w:b/>
          <w:bCs/>
          <w:sz w:val="24"/>
          <w:szCs w:val="24"/>
          <w:lang w:val="ro-RO"/>
        </w:rPr>
        <w:t>România</w:t>
      </w:r>
    </w:p>
    <w:p w14:paraId="1A881DEC" w14:textId="77777777" w:rsidR="00711B68" w:rsidRDefault="00711B68" w:rsidP="003169EF">
      <w:pPr>
        <w:spacing w:after="120"/>
        <w:jc w:val="both"/>
        <w:rPr>
          <w:rFonts w:ascii="Calibri Light" w:hAnsi="Calibri Light" w:cs="Calibri Light"/>
          <w:i/>
          <w:iCs/>
          <w:sz w:val="20"/>
          <w:szCs w:val="20"/>
          <w:lang w:val="ro-RO"/>
        </w:rPr>
      </w:pPr>
    </w:p>
    <w:p w14:paraId="00FFAC7B" w14:textId="047F246B" w:rsidR="00B03039" w:rsidRDefault="00B03039" w:rsidP="003169EF">
      <w:pPr>
        <w:spacing w:after="120"/>
        <w:jc w:val="both"/>
        <w:rPr>
          <w:rFonts w:ascii="Calibri Light" w:hAnsi="Calibri Light" w:cs="Calibri Light"/>
          <w:i/>
          <w:iCs/>
          <w:sz w:val="20"/>
          <w:szCs w:val="20"/>
          <w:lang w:val="ro-RO"/>
        </w:rPr>
      </w:pP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Material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opinie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Gabriel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Pătru,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Manager,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Paul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Evi,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Consultant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="00711B68"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Senior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Impozitare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Directă,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Deloitte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Pr="00F4280D">
        <w:rPr>
          <w:rFonts w:ascii="Calibri Light" w:hAnsi="Calibri Light" w:cs="Calibri Light"/>
          <w:i/>
          <w:iCs/>
          <w:sz w:val="20"/>
          <w:szCs w:val="20"/>
          <w:lang w:val="ro-RO"/>
        </w:rPr>
        <w:t>România</w:t>
      </w:r>
      <w:r w:rsidR="00DF710C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</w:p>
    <w:p w14:paraId="031FA6E0" w14:textId="77777777" w:rsidR="00711B68" w:rsidRDefault="00711B68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51E3E1DE" w14:textId="118B72FB" w:rsidR="00553490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Odată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adoptarea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Pactului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Verde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European,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statele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membre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Uniunii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Europene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50FE8">
        <w:rPr>
          <w:rFonts w:ascii="Calibri Light" w:hAnsi="Calibri Light" w:cs="Calibri Light"/>
          <w:sz w:val="20"/>
          <w:szCs w:val="20"/>
          <w:lang w:val="ro-RO"/>
        </w:rPr>
        <w:t>(UE)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și-au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asumat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mod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unanim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implementarea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politici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domeni</w:t>
      </w:r>
      <w:r w:rsidR="002211D1">
        <w:rPr>
          <w:rFonts w:ascii="Calibri Light" w:hAnsi="Calibri Light" w:cs="Calibri Light"/>
          <w:sz w:val="20"/>
          <w:szCs w:val="20"/>
          <w:lang w:val="ro-RO"/>
        </w:rPr>
        <w:t>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211D1">
        <w:rPr>
          <w:rFonts w:ascii="Calibri Light" w:hAnsi="Calibri Light" w:cs="Calibri Light"/>
          <w:sz w:val="20"/>
          <w:szCs w:val="20"/>
          <w:lang w:val="ro-RO"/>
        </w:rPr>
        <w:t>precum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clim</w:t>
      </w:r>
      <w:r w:rsidR="00F34B72">
        <w:rPr>
          <w:rFonts w:ascii="Calibri Light" w:hAnsi="Calibri Light" w:cs="Calibri Light"/>
          <w:sz w:val="20"/>
          <w:szCs w:val="20"/>
          <w:lang w:val="ro-RO"/>
        </w:rPr>
        <w:t>ă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energie,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transporturi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fiscalit</w:t>
      </w:r>
      <w:r w:rsidR="00F34B72">
        <w:rPr>
          <w:rFonts w:ascii="Calibri Light" w:hAnsi="Calibri Light" w:cs="Calibri Light"/>
          <w:sz w:val="20"/>
          <w:szCs w:val="20"/>
          <w:lang w:val="ro-RO"/>
        </w:rPr>
        <w:t>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scopul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reduce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până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2030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emisiile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nete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gaze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efect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seră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cel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puțin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55%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față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nivelu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1990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elimina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totalitate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aceste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emisii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până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211D1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2050.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Deși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orizontul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timp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propus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poate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părea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îndepărtat,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această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inițiativă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prezintă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implicații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semnificative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asupra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tuturor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sectoarelor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activitate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europene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naționale,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inclusiv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industria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auto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3B30"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România,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fost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puternic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afectată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atât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criza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sanitară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generată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pandemia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COVID-19,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cât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6372F">
        <w:rPr>
          <w:rFonts w:ascii="Calibri Light" w:hAnsi="Calibri Light" w:cs="Calibri Light"/>
          <w:sz w:val="20"/>
          <w:szCs w:val="20"/>
          <w:lang w:val="ro-RO"/>
        </w:rPr>
        <w:t>dificultățile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6372F">
        <w:rPr>
          <w:rFonts w:ascii="Calibri Light" w:hAnsi="Calibri Light" w:cs="Calibri Light"/>
          <w:sz w:val="20"/>
          <w:szCs w:val="20"/>
          <w:lang w:val="ro-RO"/>
        </w:rPr>
        <w:t>legate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6372F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6372F">
        <w:rPr>
          <w:rFonts w:ascii="Calibri Light" w:hAnsi="Calibri Light" w:cs="Calibri Light"/>
          <w:sz w:val="20"/>
          <w:szCs w:val="20"/>
          <w:lang w:val="ro-RO"/>
        </w:rPr>
        <w:t>asigurarea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materiilor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prime.</w:t>
      </w:r>
    </w:p>
    <w:p w14:paraId="3B0F103C" w14:textId="3B2CA784" w:rsidR="00B03039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mod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evident,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ca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urmare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90309">
        <w:rPr>
          <w:rFonts w:ascii="Calibri Light" w:hAnsi="Calibri Light" w:cs="Calibri Light"/>
          <w:sz w:val="20"/>
          <w:szCs w:val="20"/>
          <w:lang w:val="ro-RO"/>
        </w:rPr>
        <w:t>necesității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9030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90309">
        <w:rPr>
          <w:rFonts w:ascii="Calibri Light" w:hAnsi="Calibri Light" w:cs="Calibri Light"/>
          <w:sz w:val="20"/>
          <w:szCs w:val="20"/>
          <w:lang w:val="ro-RO"/>
        </w:rPr>
        <w:t>adaptare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90309"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90309">
        <w:rPr>
          <w:rFonts w:ascii="Calibri Light" w:hAnsi="Calibri Light" w:cs="Calibri Light"/>
          <w:sz w:val="20"/>
          <w:szCs w:val="20"/>
          <w:lang w:val="ro-RO"/>
        </w:rPr>
        <w:t>noile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90309">
        <w:rPr>
          <w:rFonts w:ascii="Calibri Light" w:hAnsi="Calibri Light" w:cs="Calibri Light"/>
          <w:sz w:val="20"/>
          <w:szCs w:val="20"/>
          <w:lang w:val="ro-RO"/>
        </w:rPr>
        <w:t>condiții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companiile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domeniu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se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vor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confrunta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creștere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costurilor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asociate,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parte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intensificarea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activităților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cercetare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necesare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dezvolt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ării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noi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tehnologii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compatibile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obiectivele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Pactului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Verde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European,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altă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parte,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D24D4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modernizarea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linii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producție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vederea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implementării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2040">
        <w:rPr>
          <w:rFonts w:ascii="Calibri Light" w:hAnsi="Calibri Light" w:cs="Calibri Light"/>
          <w:sz w:val="20"/>
          <w:szCs w:val="20"/>
          <w:lang w:val="ro-RO"/>
        </w:rPr>
        <w:t>noilor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tehnologii,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într-un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mod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eficient.</w:t>
      </w:r>
    </w:p>
    <w:p w14:paraId="6420E623" w14:textId="4F592AAC" w:rsidR="002211D1" w:rsidRDefault="002211D1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reduce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presiunea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acestor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costuri,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companiile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auto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România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dispoziție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serie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facilități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fiscale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surse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finanțare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pot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juca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rol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important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amortizarea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impactului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investițiilor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realizate.</w:t>
      </w:r>
    </w:p>
    <w:p w14:paraId="33CAA8A0" w14:textId="77777777" w:rsidR="00711B68" w:rsidRDefault="00711B68" w:rsidP="003169EF">
      <w:pPr>
        <w:spacing w:after="120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394728BD" w14:textId="43743511" w:rsidR="00FF3B30" w:rsidRPr="00231F94" w:rsidRDefault="00FF3B30" w:rsidP="003169EF">
      <w:pPr>
        <w:spacing w:after="120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Facilități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fiscale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aplicabile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="00F34B72">
        <w:rPr>
          <w:rFonts w:ascii="Calibri Light" w:hAnsi="Calibri Light" w:cs="Calibri Light"/>
          <w:b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cercetare-dezvoltare</w:t>
      </w:r>
    </w:p>
    <w:p w14:paraId="7B945458" w14:textId="72BAA3A4" w:rsidR="00B03039" w:rsidRDefault="002211D1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Printre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mai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importante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măsuri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sprijin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companiile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inovatoare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numără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f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acilitatea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fiscală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activități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cercetare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dezvoltare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Cs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presupune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acordarea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unor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deduceri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suplimentare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50%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cheltuielil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astfel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activităț</w:t>
      </w:r>
      <w:r>
        <w:rPr>
          <w:rFonts w:ascii="Calibri Light" w:hAnsi="Calibri Light" w:cs="Calibri Light"/>
          <w:sz w:val="20"/>
          <w:szCs w:val="20"/>
          <w:lang w:val="ro-RO"/>
        </w:rPr>
        <w:t>i,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posibilitatea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aplicării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amortiz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ării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fiscal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accelerat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cazul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utilajelor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echipamentelor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utilizate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cercetare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-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dezvoltare,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precum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scutir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impozit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profit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primii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zece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ani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activitate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contribuabilii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desfășoară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exclusiv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activități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cercetare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-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dezvoltare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Scutirea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b/>
          <w:bCs/>
          <w:sz w:val="20"/>
          <w:szCs w:val="20"/>
          <w:lang w:val="ro-RO"/>
        </w:rPr>
        <w:t>impozit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b/>
          <w:bCs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profitul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B03039" w:rsidRPr="001356B2">
        <w:rPr>
          <w:rFonts w:ascii="Calibri Light" w:hAnsi="Calibri Light" w:cs="Calibri Light"/>
          <w:b/>
          <w:bCs/>
          <w:sz w:val="20"/>
          <w:szCs w:val="20"/>
          <w:lang w:val="ro-RO"/>
        </w:rPr>
        <w:t>reinvestit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se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B7B30">
        <w:rPr>
          <w:rFonts w:ascii="Calibri Light" w:hAnsi="Calibri Light" w:cs="Calibri Light"/>
          <w:sz w:val="20"/>
          <w:szCs w:val="20"/>
          <w:lang w:val="ro-RO"/>
        </w:rPr>
        <w:t>aplică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partea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profit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utilizată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achiziția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echipamente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tehnologice,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programe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informatice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licențe,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respectarea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anumitor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condiții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prevăzute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Legea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79D">
        <w:rPr>
          <w:rFonts w:ascii="Calibri Light" w:hAnsi="Calibri Light" w:cs="Calibri Light"/>
          <w:sz w:val="20"/>
          <w:szCs w:val="20"/>
          <w:lang w:val="ro-RO"/>
        </w:rPr>
        <w:t>nr.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227/2015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privind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Codul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fiscal,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modificările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completările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>
        <w:rPr>
          <w:rFonts w:ascii="Calibri Light" w:hAnsi="Calibri Light" w:cs="Calibri Light"/>
          <w:sz w:val="20"/>
          <w:szCs w:val="20"/>
          <w:lang w:val="ro-RO"/>
        </w:rPr>
        <w:t>ulterioare.</w:t>
      </w:r>
    </w:p>
    <w:p w14:paraId="0474B958" w14:textId="4E22CA50" w:rsidR="00B03039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asemenea,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contribuabilii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industria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auto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pot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interesați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diferitele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metode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amortizare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fiscală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disponibile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noile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linii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producție,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speță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amortizarea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fiscală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accelerată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degresivă,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ambele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metode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jucând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rol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considerabil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92CCE">
        <w:rPr>
          <w:rFonts w:ascii="Calibri Light" w:hAnsi="Calibri Light" w:cs="Calibri Light"/>
          <w:sz w:val="20"/>
          <w:szCs w:val="20"/>
          <w:lang w:val="ro-RO"/>
        </w:rPr>
        <w:t>atenuarea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impactului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investițiilor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efectuate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perioadă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mai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lungă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timp,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reducând</w:t>
      </w:r>
      <w:r w:rsidR="00711B68">
        <w:rPr>
          <w:rFonts w:ascii="Calibri Light" w:hAnsi="Calibri Light" w:cs="Calibri Light"/>
          <w:b/>
          <w:bCs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astfel,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presiunea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asupra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fluxurilor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numerar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b/>
          <w:bCs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momentul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investiției</w:t>
      </w:r>
      <w:r>
        <w:rPr>
          <w:rFonts w:ascii="Calibri Light" w:hAnsi="Calibri Light" w:cs="Calibri Light"/>
          <w:sz w:val="20"/>
          <w:szCs w:val="20"/>
          <w:lang w:val="ro-RO"/>
        </w:rPr>
        <w:t>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0CF724BC" w14:textId="5715377B" w:rsidR="00B03039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Nu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ultimul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rând,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este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important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menționat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faptul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că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odată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adoptarea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Pactului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Verde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European,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Uniunea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Europeană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pune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bătaie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un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arsenal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instrumente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financiare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menite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să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211D1">
        <w:rPr>
          <w:rFonts w:ascii="Calibri Light" w:hAnsi="Calibri Light" w:cs="Calibri Light"/>
          <w:sz w:val="20"/>
          <w:szCs w:val="20"/>
          <w:lang w:val="ro-RO"/>
        </w:rPr>
        <w:t>contribuie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211D1"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atingerea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acestor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obiective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ambițioase</w:t>
      </w:r>
      <w:r>
        <w:rPr>
          <w:rFonts w:ascii="Calibri Light" w:hAnsi="Calibri Light" w:cs="Calibri Light"/>
          <w:sz w:val="20"/>
          <w:szCs w:val="20"/>
          <w:lang w:val="ro-RO"/>
        </w:rPr>
        <w:t>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B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ugetul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multianual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UE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perioada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2021-2027,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împreună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instrumentul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Next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Generation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EU,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finanțează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planurile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redresare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reziliență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statelor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membre,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însum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ează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puțin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peste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2</w:t>
      </w:r>
      <w:r w:rsidR="00157FF7">
        <w:rPr>
          <w:rFonts w:ascii="Calibri Light" w:hAnsi="Calibri Light" w:cs="Calibri Light"/>
          <w:b/>
          <w:bCs/>
          <w:sz w:val="20"/>
          <w:szCs w:val="20"/>
          <w:lang w:val="ro-RO"/>
        </w:rPr>
        <w:t>.000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b/>
          <w:bCs/>
          <w:sz w:val="20"/>
          <w:szCs w:val="20"/>
          <w:lang w:val="ro-RO"/>
        </w:rPr>
        <w:t>miliarde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euro,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iar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3A2CA0">
        <w:rPr>
          <w:rFonts w:ascii="Calibri Light" w:hAnsi="Calibri Light" w:cs="Calibri Light"/>
          <w:b/>
          <w:bCs/>
          <w:sz w:val="20"/>
          <w:szCs w:val="20"/>
          <w:lang w:val="ro-RO"/>
        </w:rPr>
        <w:t>30%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această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sumă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b/>
          <w:bCs/>
          <w:sz w:val="20"/>
          <w:szCs w:val="20"/>
          <w:lang w:val="ro-RO"/>
        </w:rPr>
        <w:t>vizează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investițiil</w:t>
      </w:r>
      <w:r w:rsidR="00157FF7">
        <w:rPr>
          <w:rFonts w:ascii="Calibri Light" w:hAnsi="Calibri Light" w:cs="Calibri Light"/>
          <w:b/>
          <w:bCs/>
          <w:sz w:val="20"/>
          <w:szCs w:val="20"/>
          <w:lang w:val="ro-RO"/>
        </w:rPr>
        <w:t>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sustenabile,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ca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parte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b/>
          <w:bCs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hyperlink r:id="rId7" w:history="1">
        <w:r w:rsidRPr="000172E9">
          <w:rPr>
            <w:rStyle w:val="Hyperlink"/>
            <w:rFonts w:ascii="Calibri Light" w:hAnsi="Calibri Light" w:cs="Calibri Light"/>
            <w:bCs/>
            <w:sz w:val="20"/>
            <w:szCs w:val="20"/>
            <w:lang w:val="ro-RO"/>
          </w:rPr>
          <w:t>Pactului</w:t>
        </w:r>
        <w:r w:rsidR="00DF710C">
          <w:rPr>
            <w:rStyle w:val="Hyperlink"/>
            <w:rFonts w:ascii="Calibri Light" w:hAnsi="Calibri Light" w:cs="Calibri Light"/>
            <w:bCs/>
            <w:sz w:val="20"/>
            <w:szCs w:val="20"/>
            <w:lang w:val="ro-RO"/>
          </w:rPr>
          <w:t xml:space="preserve"> </w:t>
        </w:r>
        <w:r w:rsidRPr="000172E9">
          <w:rPr>
            <w:rStyle w:val="Hyperlink"/>
            <w:rFonts w:ascii="Calibri Light" w:hAnsi="Calibri Light" w:cs="Calibri Light"/>
            <w:bCs/>
            <w:sz w:val="20"/>
            <w:szCs w:val="20"/>
            <w:lang w:val="ro-RO"/>
          </w:rPr>
          <w:t>Verde</w:t>
        </w:r>
        <w:r w:rsidR="00DF710C">
          <w:rPr>
            <w:rStyle w:val="Hyperlink"/>
            <w:rFonts w:ascii="Calibri Light" w:hAnsi="Calibri Light" w:cs="Calibri Light"/>
            <w:bCs/>
            <w:sz w:val="20"/>
            <w:szCs w:val="20"/>
            <w:lang w:val="ro-RO"/>
          </w:rPr>
          <w:t xml:space="preserve"> </w:t>
        </w:r>
        <w:r w:rsidRPr="000172E9">
          <w:rPr>
            <w:rStyle w:val="Hyperlink"/>
            <w:rFonts w:ascii="Calibri Light" w:hAnsi="Calibri Light" w:cs="Calibri Light"/>
            <w:bCs/>
            <w:sz w:val="20"/>
            <w:szCs w:val="20"/>
            <w:lang w:val="ro-RO"/>
          </w:rPr>
          <w:t>European</w:t>
        </w:r>
      </w:hyperlink>
      <w:r w:rsidRPr="006A5021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4C512970" w14:textId="77777777" w:rsidR="00711B68" w:rsidRDefault="00711B68" w:rsidP="003169EF">
      <w:pPr>
        <w:spacing w:after="120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</w:p>
    <w:p w14:paraId="67E3CB98" w14:textId="7C3108A8" w:rsidR="00FF3B30" w:rsidRPr="00231F94" w:rsidRDefault="00FF3B30" w:rsidP="003169EF">
      <w:pPr>
        <w:spacing w:after="120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Posibile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surse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finanțare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tranziția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către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economia</w:t>
      </w:r>
      <w:r w:rsidR="00DF710C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sz w:val="20"/>
          <w:szCs w:val="20"/>
          <w:lang w:val="ro-RO"/>
        </w:rPr>
        <w:t>verde</w:t>
      </w:r>
    </w:p>
    <w:p w14:paraId="004909E1" w14:textId="0CE6E82C" w:rsidR="00B03039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A5021">
        <w:rPr>
          <w:rFonts w:ascii="Calibri Light" w:hAnsi="Calibri Light" w:cs="Calibri Light"/>
          <w:sz w:val="20"/>
          <w:szCs w:val="20"/>
          <w:lang w:val="ro-RO"/>
        </w:rPr>
        <w:t>Programele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România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va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derula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perioada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2021-2027,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fie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vorbim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p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rogramele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57FF7">
        <w:rPr>
          <w:rFonts w:ascii="Calibri Light" w:hAnsi="Calibri Light" w:cs="Calibri Light"/>
          <w:sz w:val="20"/>
          <w:szCs w:val="20"/>
          <w:lang w:val="ro-RO"/>
        </w:rPr>
        <w:t>o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peraționale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curs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elaborare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sau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investițiile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programate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prin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Planul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Național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Redresare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1B68" w:rsidRPr="006A5021">
        <w:rPr>
          <w:rFonts w:ascii="Calibri Light" w:hAnsi="Calibri Light" w:cs="Calibri Light"/>
          <w:sz w:val="20"/>
          <w:szCs w:val="20"/>
          <w:lang w:val="ro-RO"/>
        </w:rPr>
        <w:t>Rezilienț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sunt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construite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pilonul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sustenabilitate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tranziție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verde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pun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accent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componenta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cercetare-dezvoltare-inovare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dezvoltarea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noilor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tehnologii,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materiale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A5021">
        <w:rPr>
          <w:rFonts w:ascii="Calibri Light" w:hAnsi="Calibri Light" w:cs="Calibri Light"/>
          <w:sz w:val="20"/>
          <w:szCs w:val="20"/>
          <w:lang w:val="ro-RO"/>
        </w:rPr>
        <w:t>procese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necesare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atingerea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acestor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A28F7">
        <w:rPr>
          <w:rFonts w:ascii="Calibri Light" w:hAnsi="Calibri Light" w:cs="Calibri Light"/>
          <w:sz w:val="20"/>
          <w:szCs w:val="20"/>
          <w:lang w:val="ro-RO"/>
        </w:rPr>
        <w:t>obiective.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572F28A9" w14:textId="7D12A52F" w:rsidR="00B03039" w:rsidRPr="00231F94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Așadar,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2AB0">
        <w:rPr>
          <w:rFonts w:ascii="Calibri Light" w:hAnsi="Calibri Light" w:cs="Calibri Light"/>
          <w:sz w:val="20"/>
          <w:szCs w:val="20"/>
          <w:lang w:val="ro-RO"/>
        </w:rPr>
        <w:t>jucătorii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industria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auto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România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vor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avea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acces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multiple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opțiuni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finanțare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activități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precum: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712AB0">
        <w:rPr>
          <w:rFonts w:ascii="Calibri Light" w:hAnsi="Calibri Light" w:cs="Calibri Light"/>
          <w:b/>
          <w:bCs/>
          <w:sz w:val="20"/>
          <w:szCs w:val="20"/>
          <w:lang w:val="ro-RO"/>
        </w:rPr>
        <w:t>d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ezvoltarea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capacităților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proprii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cercetare-dezvoltare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sau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inițierea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parteneriate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colaborări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actori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domeniul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cercetării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prin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intermediul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2AB0" w:rsidRPr="00231F94">
        <w:rPr>
          <w:rFonts w:ascii="Calibri Light" w:hAnsi="Calibri Light" w:cs="Calibri Light"/>
          <w:sz w:val="20"/>
          <w:szCs w:val="20"/>
          <w:lang w:val="ro-RO"/>
        </w:rPr>
        <w:t>p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rogramelor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2AB0" w:rsidRPr="00231F94">
        <w:rPr>
          <w:rFonts w:ascii="Calibri Light" w:hAnsi="Calibri Light" w:cs="Calibri Light"/>
          <w:sz w:val="20"/>
          <w:szCs w:val="20"/>
          <w:lang w:val="ro-RO"/>
        </w:rPr>
        <w:t>o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peraționale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2AB0" w:rsidRPr="00231F94">
        <w:rPr>
          <w:rFonts w:ascii="Calibri Light" w:hAnsi="Calibri Light" w:cs="Calibri Light"/>
          <w:sz w:val="20"/>
          <w:szCs w:val="20"/>
          <w:lang w:val="ro-RO"/>
        </w:rPr>
        <w:t>r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egionale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Programului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Operațional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Creștere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Inteligentă,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Digitalizare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Instrumente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Financiare;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712AB0">
        <w:rPr>
          <w:rFonts w:ascii="Calibri Light" w:hAnsi="Calibri Light" w:cs="Calibri Light"/>
          <w:b/>
          <w:bCs/>
          <w:sz w:val="20"/>
          <w:szCs w:val="20"/>
          <w:lang w:val="ro-RO"/>
        </w:rPr>
        <w:t>e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ficientizarea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energetică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producția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sau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utilizarea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energie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b/>
          <w:bCs/>
          <w:sz w:val="20"/>
          <w:szCs w:val="20"/>
          <w:lang w:val="ro-RO"/>
        </w:rPr>
        <w:t>regenerabilă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prin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Programul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Operațional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Dezvoltare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Durabilă,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lanul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Național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Redresare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Reziliență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sau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Fondul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1F94">
        <w:rPr>
          <w:rFonts w:ascii="Calibri Light" w:hAnsi="Calibri Light" w:cs="Calibri Light"/>
          <w:sz w:val="20"/>
          <w:szCs w:val="20"/>
          <w:lang w:val="ro-RO"/>
        </w:rPr>
        <w:t>Modernizare</w:t>
      </w:r>
      <w:r w:rsidR="00712AB0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3B435958" w14:textId="48B8EA0C" w:rsidR="00B03039" w:rsidRPr="00366A3C" w:rsidRDefault="00B03039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lastRenderedPageBreak/>
        <w:t>Mai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mult,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completarea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variantelor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finanțare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oferite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U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E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companiile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din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sectorul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auto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continuare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dispoziție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surse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finanțare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tradiție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domeniu,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respectiv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s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chemele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ajutor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stat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derulate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Ministerul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EF0DE7">
        <w:rPr>
          <w:rFonts w:ascii="Calibri Light" w:hAnsi="Calibri Light" w:cs="Calibri Light"/>
          <w:sz w:val="20"/>
          <w:szCs w:val="20"/>
          <w:lang w:val="ro-RO"/>
        </w:rPr>
        <w:t>Finanțe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lor.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Una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dintre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este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b/>
          <w:bCs/>
          <w:sz w:val="20"/>
          <w:szCs w:val="20"/>
          <w:lang w:val="ro-RO"/>
        </w:rPr>
        <w:t>s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chema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ajutor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stat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instituită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baza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H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otărârii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G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uvernului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017532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nr.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807/2014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scopul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sprijinirii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investițiilor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impact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major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economie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finanț</w:t>
      </w:r>
      <w:r>
        <w:rPr>
          <w:rFonts w:ascii="Calibri Light" w:hAnsi="Calibri Light" w:cs="Calibri Light"/>
          <w:sz w:val="20"/>
          <w:szCs w:val="20"/>
          <w:lang w:val="ro-RO"/>
        </w:rPr>
        <w:t>ează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construcți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achiziția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echipamente,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linii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tehnologice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active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necorporale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asociate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înființării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unei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noi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unități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producție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sau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extinderii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capacității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uneia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existente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.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asemenea,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există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60986">
        <w:rPr>
          <w:rFonts w:ascii="Calibri Light" w:hAnsi="Calibri Light" w:cs="Calibri Light"/>
          <w:b/>
          <w:bCs/>
          <w:sz w:val="20"/>
          <w:szCs w:val="20"/>
          <w:lang w:val="ro-RO"/>
        </w:rPr>
        <w:t>s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chema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ajutor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stat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instituită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baza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Hotărârii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Guvernului</w:t>
      </w:r>
      <w:r w:rsidR="00DF710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</w:t>
      </w:r>
      <w:r w:rsidR="00017532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nr. </w:t>
      </w:r>
      <w:r w:rsidRPr="00366A3C">
        <w:rPr>
          <w:rFonts w:ascii="Calibri Light" w:hAnsi="Calibri Light" w:cs="Calibri Light"/>
          <w:b/>
          <w:bCs/>
          <w:sz w:val="20"/>
          <w:szCs w:val="20"/>
          <w:lang w:val="ro-RO"/>
        </w:rPr>
        <w:t>332/2014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promovează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1B68" w:rsidRPr="00366A3C">
        <w:rPr>
          <w:rFonts w:ascii="Calibri Light" w:hAnsi="Calibri Light" w:cs="Calibri Light"/>
          <w:sz w:val="20"/>
          <w:szCs w:val="20"/>
          <w:lang w:val="ro-RO"/>
        </w:rPr>
        <w:t>dezvolt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1B68" w:rsidRPr="00366A3C">
        <w:rPr>
          <w:rFonts w:ascii="Calibri Light" w:hAnsi="Calibri Light" w:cs="Calibri Light"/>
          <w:sz w:val="20"/>
          <w:szCs w:val="20"/>
          <w:lang w:val="ro-RO"/>
        </w:rPr>
        <w:t>regional</w:t>
      </w:r>
      <w:r w:rsidR="00711B68">
        <w:rPr>
          <w:rFonts w:ascii="Calibri Light" w:hAnsi="Calibri Light" w:cs="Calibri Light"/>
          <w:sz w:val="20"/>
          <w:szCs w:val="20"/>
          <w:lang w:val="ro-RO"/>
        </w:rPr>
        <w:t>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prin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crearea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locuri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muncă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finanț</w:t>
      </w:r>
      <w:r>
        <w:rPr>
          <w:rFonts w:ascii="Calibri Light" w:hAnsi="Calibri Light" w:cs="Calibri Light"/>
          <w:sz w:val="20"/>
          <w:szCs w:val="20"/>
          <w:lang w:val="ro-RO"/>
        </w:rPr>
        <w:t>ează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costuri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salariale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perioadă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24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luni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la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crearea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fiecărui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post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individual,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acele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investiții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care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generează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cel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2CA0">
        <w:rPr>
          <w:rFonts w:ascii="Calibri Light" w:hAnsi="Calibri Light" w:cs="Calibri Light"/>
          <w:sz w:val="20"/>
          <w:szCs w:val="20"/>
          <w:lang w:val="ro-RO"/>
        </w:rPr>
        <w:t>puțin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100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noi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locuri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muncă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per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366A3C">
        <w:rPr>
          <w:rFonts w:ascii="Calibri Light" w:hAnsi="Calibri Light" w:cs="Calibri Light"/>
          <w:sz w:val="20"/>
          <w:szCs w:val="20"/>
          <w:lang w:val="ro-RO"/>
        </w:rPr>
        <w:t>locație</w:t>
      </w:r>
      <w:r w:rsidR="00B60986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21C758D1" w14:textId="7D8381D9" w:rsidR="00B03039" w:rsidRPr="00366A3C" w:rsidRDefault="00B60986" w:rsidP="003169EF">
      <w:pPr>
        <w:spacing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plus,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Ministerul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Finanțe</w:t>
      </w:r>
      <w:r w:rsidR="00712AB0">
        <w:rPr>
          <w:rFonts w:ascii="Calibri Light" w:hAnsi="Calibri Light" w:cs="Calibri Light"/>
          <w:sz w:val="20"/>
          <w:szCs w:val="20"/>
          <w:lang w:val="ro-RO"/>
        </w:rPr>
        <w:t>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pregătire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o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treia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schemă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ajutor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stat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50F5">
        <w:rPr>
          <w:rFonts w:ascii="Calibri Light" w:hAnsi="Calibri Light" w:cs="Calibri Light"/>
          <w:sz w:val="20"/>
          <w:szCs w:val="20"/>
          <w:lang w:val="ro-RO"/>
        </w:rPr>
        <w:t>luat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50F5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50F5">
        <w:rPr>
          <w:rFonts w:ascii="Calibri Light" w:hAnsi="Calibri Light" w:cs="Calibri Light"/>
          <w:sz w:val="20"/>
          <w:szCs w:val="20"/>
          <w:lang w:val="ro-RO"/>
        </w:rPr>
        <w:t>calcul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scopul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stimulării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investițiilor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strategice</w:t>
      </w:r>
      <w:r w:rsidR="00A450F5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cu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valoare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mai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mare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500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2AB0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milioane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12AB0">
        <w:rPr>
          <w:rFonts w:ascii="Calibri Light" w:hAnsi="Calibri Light" w:cs="Calibri Light"/>
          <w:sz w:val="20"/>
          <w:szCs w:val="20"/>
          <w:lang w:val="ro-RO"/>
        </w:rPr>
        <w:t>de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lei</w:t>
      </w:r>
      <w:r w:rsidR="00A450F5">
        <w:rPr>
          <w:rFonts w:ascii="Calibri Light" w:hAnsi="Calibri Light" w:cs="Calibri Light"/>
          <w:sz w:val="20"/>
          <w:szCs w:val="20"/>
          <w:lang w:val="ro-RO"/>
        </w:rPr>
        <w:t>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în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câteva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domenii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cheie,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inclusiv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industria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auto,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aerospațială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și</w:t>
      </w:r>
      <w:r w:rsidR="00DF710C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03039" w:rsidRPr="00366A3C">
        <w:rPr>
          <w:rFonts w:ascii="Calibri Light" w:hAnsi="Calibri Light" w:cs="Calibri Light"/>
          <w:sz w:val="20"/>
          <w:szCs w:val="20"/>
          <w:lang w:val="ro-RO"/>
        </w:rPr>
        <w:t>farmaceutică.</w:t>
      </w:r>
    </w:p>
    <w:p w14:paraId="77A70737" w14:textId="283FA298" w:rsidR="00B03039" w:rsidRPr="00231F94" w:rsidRDefault="00A450F5" w:rsidP="003169EF">
      <w:pPr>
        <w:spacing w:after="120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Totodată,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ste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important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reținut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faptul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că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începând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cu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1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ianuarie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2022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intrat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vigoare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noua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hartă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ajutoarelor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regionale,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care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stabilește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intensitatea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acestora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aplicabilă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fiecare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județ.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Astfel,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ajutorul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stat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care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pot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beneficia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solicitanții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variază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între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30%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din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valoarea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investiției</w:t>
      </w:r>
      <w:r w:rsidRPr="00231F94">
        <w:rPr>
          <w:rStyle w:val="CommentReference"/>
          <w:rFonts w:asciiTheme="majorHAnsi" w:hAnsiTheme="majorHAnsi" w:cstheme="majorHAnsi"/>
          <w:sz w:val="20"/>
          <w:szCs w:val="20"/>
          <w:lang w:val="ro-RO"/>
        </w:rPr>
        <w:t>,</w:t>
      </w:r>
      <w:r w:rsidR="00DF710C">
        <w:rPr>
          <w:rStyle w:val="CommentReference"/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Style w:val="CommentReference"/>
          <w:rFonts w:asciiTheme="majorHAnsi" w:hAnsiTheme="majorHAnsi" w:cstheme="majorHAnsi"/>
          <w:sz w:val="20"/>
          <w:szCs w:val="20"/>
          <w:lang w:val="ro-RO"/>
        </w:rPr>
        <w:t>î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județele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fanion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din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regiunea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Vest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maxim</w:t>
      </w:r>
      <w:r w:rsidR="00711B68">
        <w:rPr>
          <w:rFonts w:asciiTheme="majorHAnsi" w:hAnsiTheme="majorHAnsi" w:cstheme="majorHAnsi"/>
          <w:sz w:val="20"/>
          <w:szCs w:val="20"/>
          <w:lang w:val="ro-RO"/>
        </w:rPr>
        <w:t>um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60%</w:t>
      </w:r>
      <w:r w:rsidR="00711B68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majoritatea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județelor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din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Muntenia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Moldova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M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unicipiul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București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este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exclus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la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finanțare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având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vedere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că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ajutoarele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stat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se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direcționează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către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regiunile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mai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puțin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dezvoltate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ale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țării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(cu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un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12AB0" w:rsidRPr="00231F94">
        <w:rPr>
          <w:rFonts w:asciiTheme="majorHAnsi" w:hAnsiTheme="majorHAnsi" w:cstheme="majorHAnsi"/>
          <w:sz w:val="20"/>
          <w:szCs w:val="20"/>
          <w:lang w:val="ro-RO"/>
        </w:rPr>
        <w:t>PIB/locuitor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sub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75%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din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media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67DC6" w:rsidRPr="00231F94">
        <w:rPr>
          <w:rFonts w:asciiTheme="majorHAnsi" w:hAnsiTheme="majorHAnsi" w:cstheme="majorHAnsi"/>
          <w:sz w:val="20"/>
          <w:szCs w:val="20"/>
          <w:lang w:val="ro-RO"/>
        </w:rPr>
        <w:t>UE)</w:t>
      </w:r>
      <w:r w:rsidR="00B03039" w:rsidRPr="00231F94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89E46E2" w14:textId="5C636B28" w:rsidR="00EF0DE7" w:rsidRPr="00B03039" w:rsidRDefault="00D834EC" w:rsidP="003169EF">
      <w:pPr>
        <w:spacing w:after="120"/>
        <w:rPr>
          <w:lang w:val="ro-RO"/>
        </w:rPr>
      </w:pPr>
      <w:r w:rsidRPr="00231F94">
        <w:rPr>
          <w:rFonts w:asciiTheme="majorHAnsi" w:hAnsiTheme="majorHAnsi" w:cstheme="majorHAnsi"/>
          <w:sz w:val="20"/>
          <w:szCs w:val="20"/>
          <w:lang w:val="ro-RO"/>
        </w:rPr>
        <w:t>Așadar,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companiile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din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domeniul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auto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care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activează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România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se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confruntă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cu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numeroase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provocări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această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perioadă,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dar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au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la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dispoziție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facilități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fiscale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scheme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231F94">
        <w:rPr>
          <w:rFonts w:asciiTheme="majorHAnsi" w:hAnsiTheme="majorHAnsi" w:cstheme="majorHAnsi"/>
          <w:sz w:val="20"/>
          <w:szCs w:val="20"/>
          <w:lang w:val="ro-RO"/>
        </w:rPr>
        <w:t>finanțare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450F5">
        <w:rPr>
          <w:rFonts w:asciiTheme="majorHAnsi" w:hAnsiTheme="majorHAnsi" w:cstheme="majorHAnsi"/>
          <w:sz w:val="20"/>
          <w:szCs w:val="20"/>
          <w:lang w:val="ro-RO"/>
        </w:rPr>
        <w:t>c</w:t>
      </w:r>
      <w:r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pot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ajuta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să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le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depășească,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cu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condiția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să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aplice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corect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la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timp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pentru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accesarea</w:t>
      </w:r>
      <w:r w:rsidR="00DF710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acestora.</w:t>
      </w:r>
    </w:p>
    <w:sectPr w:rsidR="00EF0DE7" w:rsidRPr="00B03039" w:rsidSect="007D0E79">
      <w:headerReference w:type="default" r:id="rId8"/>
      <w:headerReference w:type="first" r:id="rId9"/>
      <w:footerReference w:type="first" r:id="rId10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0904" w14:textId="77777777" w:rsidR="0078118E" w:rsidRDefault="0078118E" w:rsidP="00366A3C">
      <w:pPr>
        <w:spacing w:after="0" w:line="240" w:lineRule="auto"/>
      </w:pPr>
      <w:r>
        <w:separator/>
      </w:r>
    </w:p>
  </w:endnote>
  <w:endnote w:type="continuationSeparator" w:id="0">
    <w:p w14:paraId="30A8ABC7" w14:textId="77777777" w:rsidR="0078118E" w:rsidRDefault="0078118E" w:rsidP="0036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0D8D" w14:textId="77777777" w:rsidR="001615F5" w:rsidRPr="001615F5" w:rsidRDefault="0078118E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A4A5" w14:textId="77777777" w:rsidR="0078118E" w:rsidRDefault="0078118E" w:rsidP="00366A3C">
      <w:pPr>
        <w:spacing w:after="0" w:line="240" w:lineRule="auto"/>
      </w:pPr>
      <w:r>
        <w:separator/>
      </w:r>
    </w:p>
  </w:footnote>
  <w:footnote w:type="continuationSeparator" w:id="0">
    <w:p w14:paraId="5BCC06F9" w14:textId="77777777" w:rsidR="0078118E" w:rsidRDefault="0078118E" w:rsidP="0036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004" w14:textId="77777777" w:rsidR="003A0D61" w:rsidRDefault="00DE64BC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68226A" wp14:editId="46FD25DB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B9E9" w14:textId="77777777" w:rsidR="006A0423" w:rsidRDefault="00DE64BC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8A22B3B" wp14:editId="00616D20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3F7FD" w14:textId="77777777" w:rsidR="006A0423" w:rsidRDefault="0078118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6BD5E4E" w14:textId="77777777" w:rsidR="006A0423" w:rsidRDefault="0078118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39D7B56C" w14:textId="77777777" w:rsidR="005443B3" w:rsidRPr="001615F5" w:rsidRDefault="00DE64BC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34A40D50" wp14:editId="149F81BF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BD80" w14:textId="77777777" w:rsidR="006679A3" w:rsidRPr="00E57B68" w:rsidRDefault="0078118E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40D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11E7BD80" w14:textId="77777777" w:rsidR="006679A3" w:rsidRPr="00E57B68" w:rsidRDefault="00306E11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542"/>
    <w:multiLevelType w:val="hybridMultilevel"/>
    <w:tmpl w:val="644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24F73"/>
    <w:multiLevelType w:val="hybridMultilevel"/>
    <w:tmpl w:val="479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7EBB"/>
    <w:multiLevelType w:val="hybridMultilevel"/>
    <w:tmpl w:val="5E02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E0"/>
    <w:rsid w:val="000172E9"/>
    <w:rsid w:val="00017532"/>
    <w:rsid w:val="00032764"/>
    <w:rsid w:val="00085D53"/>
    <w:rsid w:val="000B087F"/>
    <w:rsid w:val="000D0CE1"/>
    <w:rsid w:val="000D24D4"/>
    <w:rsid w:val="001356B2"/>
    <w:rsid w:val="00154FEA"/>
    <w:rsid w:val="00157FF7"/>
    <w:rsid w:val="00167DC6"/>
    <w:rsid w:val="001D2D32"/>
    <w:rsid w:val="002211D1"/>
    <w:rsid w:val="00231F94"/>
    <w:rsid w:val="00251518"/>
    <w:rsid w:val="0026372F"/>
    <w:rsid w:val="0027567D"/>
    <w:rsid w:val="002A28F7"/>
    <w:rsid w:val="00301425"/>
    <w:rsid w:val="00306E11"/>
    <w:rsid w:val="003169EF"/>
    <w:rsid w:val="003247FB"/>
    <w:rsid w:val="00366A3C"/>
    <w:rsid w:val="003A2CA0"/>
    <w:rsid w:val="003B7B30"/>
    <w:rsid w:val="004230AD"/>
    <w:rsid w:val="00492BF8"/>
    <w:rsid w:val="004B20EC"/>
    <w:rsid w:val="00553490"/>
    <w:rsid w:val="005E300F"/>
    <w:rsid w:val="00624CA5"/>
    <w:rsid w:val="0064741A"/>
    <w:rsid w:val="006A5021"/>
    <w:rsid w:val="006D2DE0"/>
    <w:rsid w:val="00711B68"/>
    <w:rsid w:val="00712AB0"/>
    <w:rsid w:val="00767D56"/>
    <w:rsid w:val="00771628"/>
    <w:rsid w:val="0078118E"/>
    <w:rsid w:val="00847F5D"/>
    <w:rsid w:val="00872040"/>
    <w:rsid w:val="00877354"/>
    <w:rsid w:val="00902AA3"/>
    <w:rsid w:val="0092277B"/>
    <w:rsid w:val="0094355D"/>
    <w:rsid w:val="00990309"/>
    <w:rsid w:val="009F5027"/>
    <w:rsid w:val="00A334E3"/>
    <w:rsid w:val="00A450F5"/>
    <w:rsid w:val="00A753CA"/>
    <w:rsid w:val="00AF67D4"/>
    <w:rsid w:val="00B03039"/>
    <w:rsid w:val="00B0379D"/>
    <w:rsid w:val="00B20659"/>
    <w:rsid w:val="00B60986"/>
    <w:rsid w:val="00BA3568"/>
    <w:rsid w:val="00C108DC"/>
    <w:rsid w:val="00C363FB"/>
    <w:rsid w:val="00CC400E"/>
    <w:rsid w:val="00D36EA2"/>
    <w:rsid w:val="00D834EC"/>
    <w:rsid w:val="00D84636"/>
    <w:rsid w:val="00DB15E3"/>
    <w:rsid w:val="00DC32E1"/>
    <w:rsid w:val="00DE64BC"/>
    <w:rsid w:val="00DF710C"/>
    <w:rsid w:val="00E50FE8"/>
    <w:rsid w:val="00EF0DE7"/>
    <w:rsid w:val="00F34B72"/>
    <w:rsid w:val="00F4280D"/>
    <w:rsid w:val="00F92CCE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3F683"/>
  <w15:chartTrackingRefBased/>
  <w15:docId w15:val="{B98DF216-FB7D-48F4-9AAA-45849A2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63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039"/>
  </w:style>
  <w:style w:type="paragraph" w:styleId="Header">
    <w:name w:val="header"/>
    <w:basedOn w:val="Normal"/>
    <w:link w:val="HeaderChar"/>
    <w:uiPriority w:val="99"/>
    <w:semiHidden/>
    <w:unhideWhenUsed/>
    <w:rsid w:val="00B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039"/>
  </w:style>
  <w:style w:type="paragraph" w:customStyle="1" w:styleId="Legalentity">
    <w:name w:val="Legal entity"/>
    <w:basedOn w:val="Normal"/>
    <w:rsid w:val="00B03039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2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ro/pages/about-deloitte/events/industria-auto-sens-unic-spre-adaptabilitate-fiscala.html?nc=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Romania</dc:creator>
  <cp:keywords/>
  <dc:description/>
  <cp:lastModifiedBy>Codrina Apostol</cp:lastModifiedBy>
  <cp:revision>41</cp:revision>
  <dcterms:created xsi:type="dcterms:W3CDTF">2022-02-17T07:58:00Z</dcterms:created>
  <dcterms:modified xsi:type="dcterms:W3CDTF">2022-02-17T09:37:00Z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2022-02-13T20:16:00Z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cf1ff73d-e1de-40a9-8e8a-940d6fc81f35</vt:lpwstr>
  </property>
  <property fmtid="{D5CDD505-2E9C-101B-9397-08002B2CF9AE}" pid="8" name="MSIP_Label_ea60d57e-af5b-4752-ac57-3e4f28ca11dc_ContentBits">
    <vt:lpwstr>0</vt:lpwstr>
  </property>
</Properties>
</file>