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AB76" w14:textId="6D5C17D2" w:rsidR="00B8226C" w:rsidRPr="001E4938" w:rsidRDefault="00B8226C" w:rsidP="006A3CE3">
      <w:pPr>
        <w:pStyle w:val="NormalWeb"/>
        <w:shd w:val="clear" w:color="auto" w:fill="FFFFFF"/>
        <w:spacing w:before="0" w:beforeAutospacing="0" w:after="0" w:afterAutospacing="0" w:line="360" w:lineRule="auto"/>
        <w:jc w:val="both"/>
        <w:rPr>
          <w:rStyle w:val="Strong"/>
          <w:rFonts w:ascii="Arial" w:hAnsi="Arial" w:cs="Arial"/>
          <w:b w:val="0"/>
          <w:bCs w:val="0"/>
          <w:sz w:val="22"/>
          <w:szCs w:val="22"/>
          <w:bdr w:val="none" w:sz="0" w:space="0" w:color="auto" w:frame="1"/>
          <w:lang w:val="ro-RO"/>
        </w:rPr>
      </w:pPr>
    </w:p>
    <w:tbl>
      <w:tblPr>
        <w:tblpPr w:vertAnchor="page" w:horzAnchor="margin" w:tblpY="2836"/>
        <w:tblW w:w="9271" w:type="dxa"/>
        <w:tblLook w:val="01E0" w:firstRow="1" w:lastRow="1" w:firstColumn="1" w:lastColumn="1" w:noHBand="0" w:noVBand="0"/>
      </w:tblPr>
      <w:tblGrid>
        <w:gridCol w:w="1701"/>
        <w:gridCol w:w="7570"/>
      </w:tblGrid>
      <w:tr w:rsidR="0018390F" w:rsidRPr="001E4938" w14:paraId="13E0493F" w14:textId="77777777" w:rsidTr="00E21C89">
        <w:trPr>
          <w:trHeight w:val="373"/>
        </w:trPr>
        <w:tc>
          <w:tcPr>
            <w:tcW w:w="9271" w:type="dxa"/>
            <w:gridSpan w:val="2"/>
            <w:shd w:val="clear" w:color="auto" w:fill="auto"/>
            <w:tcMar>
              <w:top w:w="0" w:type="dxa"/>
              <w:left w:w="0" w:type="dxa"/>
              <w:bottom w:w="0" w:type="dxa"/>
              <w:right w:w="0" w:type="dxa"/>
            </w:tcMar>
            <w:hideMark/>
          </w:tcPr>
          <w:p w14:paraId="234576F4" w14:textId="77777777" w:rsidR="001454E9" w:rsidRPr="001E4938" w:rsidRDefault="001454E9" w:rsidP="00E21C89">
            <w:pPr>
              <w:pStyle w:val="EYDocumentpromptsbold"/>
              <w:rPr>
                <w:rFonts w:ascii="Arial" w:hAnsi="Arial" w:cs="Arial"/>
                <w:b w:val="0"/>
                <w:sz w:val="22"/>
                <w:szCs w:val="22"/>
              </w:rPr>
            </w:pPr>
          </w:p>
          <w:p w14:paraId="3AF138F8" w14:textId="77777777" w:rsidR="001454E9" w:rsidRPr="005E1F79" w:rsidRDefault="001454E9" w:rsidP="00E21C89">
            <w:pPr>
              <w:pStyle w:val="EYDocumentpromptsbold"/>
              <w:rPr>
                <w:rFonts w:ascii="Arial" w:hAnsi="Arial" w:cs="Arial"/>
                <w:b w:val="0"/>
                <w:sz w:val="32"/>
                <w:szCs w:val="32"/>
              </w:rPr>
            </w:pPr>
          </w:p>
          <w:p w14:paraId="53236320" w14:textId="4727C99E" w:rsidR="001454E9" w:rsidRPr="005E1F79" w:rsidRDefault="001454E9" w:rsidP="00E21C89">
            <w:pPr>
              <w:pStyle w:val="EYDocumentpromptsbold"/>
              <w:rPr>
                <w:rFonts w:ascii="Arial" w:hAnsi="Arial" w:cs="Arial"/>
                <w:b w:val="0"/>
                <w:sz w:val="32"/>
                <w:szCs w:val="32"/>
              </w:rPr>
            </w:pPr>
            <w:r w:rsidRPr="005E1F79">
              <w:rPr>
                <w:rFonts w:ascii="Arial" w:hAnsi="Arial" w:cs="Arial"/>
                <w:b w:val="0"/>
                <w:sz w:val="32"/>
                <w:szCs w:val="32"/>
              </w:rPr>
              <w:t>Punct de vedere</w:t>
            </w:r>
          </w:p>
          <w:p w14:paraId="542FE407" w14:textId="77777777" w:rsidR="001454E9" w:rsidRPr="005E1F79" w:rsidRDefault="001454E9" w:rsidP="00E21C89">
            <w:pPr>
              <w:pStyle w:val="EYDocumentpromptsbold"/>
              <w:rPr>
                <w:rFonts w:ascii="Arial" w:hAnsi="Arial" w:cs="Arial"/>
                <w:bCs/>
                <w:sz w:val="22"/>
                <w:szCs w:val="22"/>
              </w:rPr>
            </w:pPr>
          </w:p>
          <w:p w14:paraId="4C4BD2BC" w14:textId="0E40EE80" w:rsidR="001454E9" w:rsidRPr="005E1F79" w:rsidRDefault="005E1F79" w:rsidP="00296658">
            <w:pPr>
              <w:pStyle w:val="EYDocumentpromptsbold"/>
              <w:rPr>
                <w:rFonts w:ascii="Arial" w:hAnsi="Arial" w:cs="Arial"/>
                <w:b w:val="0"/>
                <w:szCs w:val="20"/>
                <w:highlight w:val="yellow"/>
              </w:rPr>
            </w:pPr>
            <w:r w:rsidRPr="005E1F79">
              <w:rPr>
                <w:rFonts w:ascii="Arial" w:hAnsi="Arial" w:cs="Arial"/>
                <w:bCs/>
                <w:szCs w:val="20"/>
              </w:rPr>
              <w:t>9 febr</w:t>
            </w:r>
            <w:r w:rsidR="00B67292" w:rsidRPr="005E1F79">
              <w:rPr>
                <w:rFonts w:ascii="Arial" w:hAnsi="Arial" w:cs="Arial"/>
                <w:bCs/>
                <w:szCs w:val="20"/>
              </w:rPr>
              <w:t>uari</w:t>
            </w:r>
            <w:r w:rsidR="001A525D" w:rsidRPr="005E1F79">
              <w:rPr>
                <w:rFonts w:ascii="Arial" w:hAnsi="Arial" w:cs="Arial"/>
                <w:bCs/>
                <w:szCs w:val="20"/>
              </w:rPr>
              <w:t xml:space="preserve">e </w:t>
            </w:r>
            <w:r w:rsidR="001454E9" w:rsidRPr="005E1F79">
              <w:rPr>
                <w:rFonts w:ascii="Arial" w:hAnsi="Arial" w:cs="Arial"/>
                <w:bCs/>
                <w:szCs w:val="20"/>
              </w:rPr>
              <w:t>202</w:t>
            </w:r>
            <w:r w:rsidR="00B67292" w:rsidRPr="005E1F79">
              <w:rPr>
                <w:rFonts w:ascii="Arial" w:hAnsi="Arial" w:cs="Arial"/>
                <w:bCs/>
                <w:szCs w:val="20"/>
              </w:rPr>
              <w:t>2</w:t>
            </w:r>
          </w:p>
        </w:tc>
      </w:tr>
      <w:tr w:rsidR="008A2557" w:rsidRPr="001E4938" w14:paraId="513F02F9" w14:textId="77777777" w:rsidTr="00573AA5">
        <w:trPr>
          <w:trHeight w:val="20"/>
        </w:trPr>
        <w:tc>
          <w:tcPr>
            <w:tcW w:w="1701" w:type="dxa"/>
            <w:tcMar>
              <w:top w:w="0" w:type="dxa"/>
              <w:left w:w="0" w:type="dxa"/>
              <w:bottom w:w="0" w:type="dxa"/>
              <w:right w:w="0" w:type="dxa"/>
            </w:tcMar>
            <w:hideMark/>
          </w:tcPr>
          <w:p w14:paraId="200FA5B9" w14:textId="77777777" w:rsidR="008A2557" w:rsidRPr="005E1F79" w:rsidRDefault="008A2557" w:rsidP="00573AA5">
            <w:pPr>
              <w:pStyle w:val="EYDocumentprompts"/>
              <w:rPr>
                <w:rFonts w:cs="Arial"/>
                <w:szCs w:val="20"/>
              </w:rPr>
            </w:pPr>
            <w:r w:rsidRPr="005E1F79">
              <w:rPr>
                <w:rFonts w:cs="Arial"/>
                <w:szCs w:val="20"/>
              </w:rPr>
              <w:t>Contact:</w:t>
            </w:r>
          </w:p>
        </w:tc>
        <w:tc>
          <w:tcPr>
            <w:tcW w:w="7570" w:type="dxa"/>
            <w:tcMar>
              <w:top w:w="0" w:type="dxa"/>
              <w:left w:w="0" w:type="dxa"/>
              <w:bottom w:w="0" w:type="dxa"/>
              <w:right w:w="0" w:type="dxa"/>
            </w:tcMar>
            <w:hideMark/>
          </w:tcPr>
          <w:p w14:paraId="13557A3C" w14:textId="77777777" w:rsidR="008A2557" w:rsidRPr="005E1F79" w:rsidRDefault="008A2557" w:rsidP="00573AA5">
            <w:pPr>
              <w:pStyle w:val="EYDocumentprompts"/>
              <w:rPr>
                <w:rFonts w:cs="Arial"/>
                <w:szCs w:val="20"/>
              </w:rPr>
            </w:pPr>
            <w:r w:rsidRPr="005E1F79">
              <w:rPr>
                <w:rFonts w:cs="Arial"/>
                <w:szCs w:val="20"/>
              </w:rPr>
              <w:t>Anda Huțanu</w:t>
            </w:r>
          </w:p>
        </w:tc>
      </w:tr>
      <w:tr w:rsidR="008A2557" w:rsidRPr="001E4938" w14:paraId="1477BB3C" w14:textId="77777777" w:rsidTr="00573AA5">
        <w:trPr>
          <w:trHeight w:val="20"/>
        </w:trPr>
        <w:tc>
          <w:tcPr>
            <w:tcW w:w="1701" w:type="dxa"/>
            <w:tcMar>
              <w:top w:w="0" w:type="dxa"/>
              <w:left w:w="0" w:type="dxa"/>
              <w:bottom w:w="0" w:type="dxa"/>
              <w:right w:w="0" w:type="dxa"/>
            </w:tcMar>
            <w:hideMark/>
          </w:tcPr>
          <w:p w14:paraId="7961E69E" w14:textId="77777777" w:rsidR="008A2557" w:rsidRPr="005E1F79" w:rsidRDefault="008A2557" w:rsidP="00573AA5">
            <w:pPr>
              <w:pStyle w:val="EYDocumentprompts"/>
              <w:rPr>
                <w:rFonts w:cs="Arial"/>
                <w:szCs w:val="20"/>
              </w:rPr>
            </w:pPr>
            <w:r w:rsidRPr="005E1F79">
              <w:rPr>
                <w:rFonts w:cs="Arial"/>
                <w:szCs w:val="20"/>
              </w:rPr>
              <w:t>Company:</w:t>
            </w:r>
          </w:p>
        </w:tc>
        <w:tc>
          <w:tcPr>
            <w:tcW w:w="7570" w:type="dxa"/>
            <w:tcMar>
              <w:top w:w="0" w:type="dxa"/>
              <w:left w:w="0" w:type="dxa"/>
              <w:bottom w:w="0" w:type="dxa"/>
              <w:right w:w="0" w:type="dxa"/>
            </w:tcMar>
            <w:hideMark/>
          </w:tcPr>
          <w:p w14:paraId="3BD92546" w14:textId="77777777" w:rsidR="008A2557" w:rsidRPr="005E1F79" w:rsidRDefault="008A2557" w:rsidP="00573AA5">
            <w:pPr>
              <w:pStyle w:val="EYDocumentprompts"/>
              <w:rPr>
                <w:rFonts w:cs="Arial"/>
                <w:szCs w:val="20"/>
              </w:rPr>
            </w:pPr>
            <w:r w:rsidRPr="005E1F79">
              <w:rPr>
                <w:rFonts w:cs="Arial"/>
                <w:szCs w:val="20"/>
              </w:rPr>
              <w:t>EY Romania</w:t>
            </w:r>
          </w:p>
        </w:tc>
      </w:tr>
      <w:tr w:rsidR="008A2557" w:rsidRPr="001E4938" w14:paraId="5FFA89AA" w14:textId="77777777" w:rsidTr="00573AA5">
        <w:trPr>
          <w:trHeight w:val="20"/>
        </w:trPr>
        <w:tc>
          <w:tcPr>
            <w:tcW w:w="1701" w:type="dxa"/>
            <w:tcMar>
              <w:top w:w="0" w:type="dxa"/>
              <w:left w:w="0" w:type="dxa"/>
              <w:bottom w:w="0" w:type="dxa"/>
              <w:right w:w="0" w:type="dxa"/>
            </w:tcMar>
            <w:hideMark/>
          </w:tcPr>
          <w:p w14:paraId="5056A73E" w14:textId="77777777" w:rsidR="008A2557" w:rsidRPr="005E1F79" w:rsidRDefault="008A2557" w:rsidP="00573AA5">
            <w:pPr>
              <w:pStyle w:val="EYDocumentprompts"/>
              <w:rPr>
                <w:rFonts w:cs="Arial"/>
                <w:szCs w:val="20"/>
              </w:rPr>
            </w:pPr>
            <w:r w:rsidRPr="005E1F79">
              <w:rPr>
                <w:rFonts w:cs="Arial"/>
                <w:szCs w:val="20"/>
              </w:rPr>
              <w:t>Tel.:</w:t>
            </w:r>
          </w:p>
        </w:tc>
        <w:tc>
          <w:tcPr>
            <w:tcW w:w="7570" w:type="dxa"/>
            <w:tcMar>
              <w:top w:w="0" w:type="dxa"/>
              <w:left w:w="0" w:type="dxa"/>
              <w:bottom w:w="0" w:type="dxa"/>
              <w:right w:w="0" w:type="dxa"/>
            </w:tcMar>
            <w:hideMark/>
          </w:tcPr>
          <w:p w14:paraId="275AC313" w14:textId="77777777" w:rsidR="008A2557" w:rsidRPr="005E1F79" w:rsidRDefault="008A2557" w:rsidP="00573AA5">
            <w:pPr>
              <w:pStyle w:val="EYDocumentprompts"/>
              <w:rPr>
                <w:rFonts w:cs="Arial"/>
                <w:szCs w:val="20"/>
              </w:rPr>
            </w:pPr>
            <w:r w:rsidRPr="005E1F79">
              <w:rPr>
                <w:rFonts w:cs="Arial"/>
                <w:szCs w:val="20"/>
              </w:rPr>
              <w:t>+40 21 402 4000</w:t>
            </w:r>
          </w:p>
        </w:tc>
      </w:tr>
      <w:tr w:rsidR="008A2557" w:rsidRPr="001E4938" w14:paraId="5DFC0C1B" w14:textId="77777777" w:rsidTr="00573AA5">
        <w:trPr>
          <w:trHeight w:val="80"/>
        </w:trPr>
        <w:tc>
          <w:tcPr>
            <w:tcW w:w="1701" w:type="dxa"/>
            <w:tcMar>
              <w:top w:w="0" w:type="dxa"/>
              <w:left w:w="0" w:type="dxa"/>
              <w:bottom w:w="0" w:type="dxa"/>
              <w:right w:w="0" w:type="dxa"/>
            </w:tcMar>
            <w:hideMark/>
          </w:tcPr>
          <w:p w14:paraId="29802FD4" w14:textId="77777777" w:rsidR="008A2557" w:rsidRPr="005E1F79" w:rsidRDefault="008A2557" w:rsidP="00573AA5">
            <w:pPr>
              <w:pStyle w:val="EYDocumentprompts"/>
              <w:rPr>
                <w:rFonts w:cs="Arial"/>
                <w:szCs w:val="20"/>
              </w:rPr>
            </w:pPr>
            <w:r w:rsidRPr="005E1F79">
              <w:rPr>
                <w:rFonts w:cs="Arial"/>
                <w:szCs w:val="20"/>
              </w:rPr>
              <w:t>Email:</w:t>
            </w:r>
          </w:p>
        </w:tc>
        <w:tc>
          <w:tcPr>
            <w:tcW w:w="7570" w:type="dxa"/>
            <w:tcMar>
              <w:top w:w="0" w:type="dxa"/>
              <w:left w:w="0" w:type="dxa"/>
              <w:bottom w:w="0" w:type="dxa"/>
              <w:right w:w="0" w:type="dxa"/>
            </w:tcMar>
            <w:hideMark/>
          </w:tcPr>
          <w:p w14:paraId="35B78F2A" w14:textId="77777777" w:rsidR="008A2557" w:rsidRPr="005E1F79" w:rsidRDefault="002804CC" w:rsidP="00573AA5">
            <w:pPr>
              <w:pStyle w:val="EYDocumentprompts"/>
              <w:rPr>
                <w:rFonts w:cs="Arial"/>
                <w:color w:val="0000FF"/>
                <w:szCs w:val="20"/>
                <w:u w:val="single"/>
              </w:rPr>
            </w:pPr>
            <w:hyperlink r:id="rId11" w:history="1">
              <w:r w:rsidR="008A2557" w:rsidRPr="005E1F79">
                <w:rPr>
                  <w:rStyle w:val="Hyperlink"/>
                  <w:rFonts w:cs="Arial"/>
                  <w:szCs w:val="20"/>
                </w:rPr>
                <w:t>anda.hutanu@ro.ey.com</w:t>
              </w:r>
            </w:hyperlink>
          </w:p>
        </w:tc>
      </w:tr>
    </w:tbl>
    <w:p w14:paraId="29695D73" w14:textId="77777777" w:rsidR="008A2557" w:rsidRPr="001E4938" w:rsidRDefault="008A2557" w:rsidP="008A2557">
      <w:pPr>
        <w:pStyle w:val="NormalWeb"/>
        <w:shd w:val="clear" w:color="auto" w:fill="FFFFFF"/>
        <w:spacing w:before="0" w:beforeAutospacing="0" w:after="0" w:afterAutospacing="0"/>
        <w:jc w:val="both"/>
        <w:rPr>
          <w:rStyle w:val="Strong"/>
          <w:rFonts w:ascii="Arial" w:hAnsi="Arial" w:cs="Arial"/>
          <w:b w:val="0"/>
          <w:bCs w:val="0"/>
          <w:sz w:val="22"/>
          <w:szCs w:val="22"/>
          <w:bdr w:val="none" w:sz="0" w:space="0" w:color="auto" w:frame="1"/>
          <w:lang w:val="ro-RO"/>
        </w:rPr>
      </w:pPr>
    </w:p>
    <w:p w14:paraId="44B0747E" w14:textId="77777777" w:rsidR="00CD746A" w:rsidRPr="00D12494" w:rsidRDefault="00CD746A" w:rsidP="001454E9">
      <w:pPr>
        <w:pStyle w:val="NormalWeb"/>
        <w:shd w:val="clear" w:color="auto" w:fill="FFFFFF"/>
        <w:spacing w:before="0" w:beforeAutospacing="0" w:after="0" w:afterAutospacing="0"/>
        <w:jc w:val="both"/>
        <w:rPr>
          <w:rFonts w:ascii="Arial" w:hAnsi="Arial" w:cs="Arial"/>
          <w:b/>
          <w:bCs/>
          <w:sz w:val="28"/>
          <w:szCs w:val="28"/>
          <w:lang w:val="ro-RO"/>
        </w:rPr>
      </w:pPr>
    </w:p>
    <w:p w14:paraId="669E5101" w14:textId="7D8532F8" w:rsidR="00323FD4" w:rsidRDefault="005E1F79" w:rsidP="004E0D49">
      <w:pPr>
        <w:pStyle w:val="NormalWeb"/>
        <w:shd w:val="clear" w:color="auto" w:fill="FFFFFF"/>
        <w:spacing w:before="0" w:beforeAutospacing="0" w:after="0" w:afterAutospacing="0"/>
        <w:rPr>
          <w:rFonts w:ascii="Arial" w:hAnsi="Arial" w:cs="Arial"/>
          <w:b/>
          <w:bCs/>
          <w:sz w:val="28"/>
          <w:szCs w:val="28"/>
          <w:lang w:val="ro-RO"/>
        </w:rPr>
      </w:pPr>
      <w:r w:rsidRPr="005E1F79">
        <w:rPr>
          <w:rFonts w:ascii="Arial" w:hAnsi="Arial" w:cs="Arial"/>
          <w:b/>
          <w:bCs/>
          <w:sz w:val="28"/>
          <w:szCs w:val="28"/>
          <w:lang w:val="ro-RO"/>
        </w:rPr>
        <w:t>Ce bani sunt disponibili prin ajutoare de stat și alte fonduri nerambursabile. Scurt ghid pentru investitori</w:t>
      </w:r>
    </w:p>
    <w:p w14:paraId="7A015112" w14:textId="77777777" w:rsidR="005E1F79" w:rsidRPr="003C2FD4" w:rsidRDefault="005E1F79" w:rsidP="004E0D49">
      <w:pPr>
        <w:pStyle w:val="NormalWeb"/>
        <w:shd w:val="clear" w:color="auto" w:fill="FFFFFF"/>
        <w:spacing w:before="0" w:beforeAutospacing="0" w:after="0" w:afterAutospacing="0"/>
        <w:rPr>
          <w:rStyle w:val="Strong"/>
          <w:rFonts w:ascii="Arial" w:hAnsi="Arial" w:cs="Arial"/>
          <w:b w:val="0"/>
          <w:bCs w:val="0"/>
          <w:sz w:val="22"/>
          <w:szCs w:val="22"/>
          <w:bdr w:val="none" w:sz="0" w:space="0" w:color="auto" w:frame="1"/>
          <w:lang w:val="ro-RO"/>
        </w:rPr>
      </w:pPr>
    </w:p>
    <w:p w14:paraId="577C091F" w14:textId="4A0D8D6A" w:rsidR="008D0A6A" w:rsidRDefault="001454E9" w:rsidP="00877579">
      <w:pPr>
        <w:spacing w:after="0" w:line="240" w:lineRule="auto"/>
        <w:jc w:val="both"/>
        <w:rPr>
          <w:rFonts w:ascii="Arial" w:hAnsi="Arial" w:cs="Arial"/>
          <w:i/>
          <w:iCs/>
        </w:rPr>
      </w:pPr>
      <w:r w:rsidRPr="003C2FD4">
        <w:rPr>
          <w:rStyle w:val="Strong"/>
          <w:rFonts w:ascii="Arial" w:hAnsi="Arial" w:cs="Arial"/>
          <w:b w:val="0"/>
          <w:bCs w:val="0"/>
          <w:i/>
          <w:iCs/>
          <w:bdr w:val="none" w:sz="0" w:space="0" w:color="auto" w:frame="1"/>
        </w:rPr>
        <w:t>Autor</w:t>
      </w:r>
      <w:r w:rsidR="0089146C">
        <w:rPr>
          <w:rStyle w:val="Strong"/>
          <w:rFonts w:ascii="Arial" w:hAnsi="Arial" w:cs="Arial"/>
          <w:b w:val="0"/>
          <w:bCs w:val="0"/>
          <w:i/>
          <w:iCs/>
          <w:bdr w:val="none" w:sz="0" w:space="0" w:color="auto" w:frame="1"/>
        </w:rPr>
        <w:t>i</w:t>
      </w:r>
      <w:r w:rsidR="00965D56" w:rsidRPr="003C2FD4">
        <w:rPr>
          <w:rStyle w:val="Strong"/>
          <w:rFonts w:ascii="Arial" w:hAnsi="Arial" w:cs="Arial"/>
          <w:b w:val="0"/>
          <w:bCs w:val="0"/>
          <w:i/>
          <w:iCs/>
          <w:bdr w:val="none" w:sz="0" w:space="0" w:color="auto" w:frame="1"/>
        </w:rPr>
        <w:t xml:space="preserve">: </w:t>
      </w:r>
      <w:r w:rsidR="0089146C">
        <w:rPr>
          <w:rFonts w:ascii="Arial" w:hAnsi="Arial" w:cs="Arial"/>
          <w:i/>
          <w:iCs/>
        </w:rPr>
        <w:t>Ileana Gu</w:t>
      </w:r>
      <w:r w:rsidR="008D0A6A">
        <w:rPr>
          <w:rFonts w:ascii="Arial" w:hAnsi="Arial" w:cs="Arial"/>
          <w:i/>
          <w:iCs/>
        </w:rPr>
        <w:t>ţ</w:t>
      </w:r>
      <w:r w:rsidR="0089146C">
        <w:rPr>
          <w:rFonts w:ascii="Arial" w:hAnsi="Arial" w:cs="Arial"/>
          <w:i/>
          <w:iCs/>
        </w:rPr>
        <w:t>u</w:t>
      </w:r>
      <w:r w:rsidR="008C382C" w:rsidRPr="003C2FD4">
        <w:rPr>
          <w:rFonts w:ascii="Arial" w:hAnsi="Arial" w:cs="Arial"/>
          <w:i/>
          <w:iCs/>
        </w:rPr>
        <w:t>, Partener</w:t>
      </w:r>
      <w:r w:rsidR="0089146C">
        <w:rPr>
          <w:rFonts w:ascii="Arial" w:hAnsi="Arial" w:cs="Arial"/>
          <w:i/>
          <w:iCs/>
        </w:rPr>
        <w:t xml:space="preserve"> Asociat</w:t>
      </w:r>
      <w:r w:rsidR="008D0A6A">
        <w:rPr>
          <w:rFonts w:ascii="Arial" w:hAnsi="Arial" w:cs="Arial"/>
          <w:i/>
          <w:iCs/>
        </w:rPr>
        <w:t xml:space="preserve"> </w:t>
      </w:r>
      <w:r w:rsidR="008D0A6A" w:rsidRPr="008D0A6A">
        <w:rPr>
          <w:rFonts w:ascii="Arial" w:hAnsi="Arial" w:cs="Arial"/>
          <w:i/>
          <w:iCs/>
        </w:rPr>
        <w:t>și Coordonator al departamentului de Evaluare, modelare financiară și analize economice</w:t>
      </w:r>
      <w:r w:rsidR="00B83A45" w:rsidRPr="003C2FD4">
        <w:rPr>
          <w:rFonts w:ascii="Arial" w:hAnsi="Arial" w:cs="Arial"/>
          <w:i/>
          <w:iCs/>
        </w:rPr>
        <w:t>, EY România</w:t>
      </w:r>
    </w:p>
    <w:p w14:paraId="04F6F843" w14:textId="5B85E4AC" w:rsidR="003B08AF" w:rsidRDefault="003B08AF" w:rsidP="00877579">
      <w:pPr>
        <w:spacing w:after="0" w:line="240" w:lineRule="auto"/>
        <w:jc w:val="both"/>
        <w:rPr>
          <w:rFonts w:ascii="Arial" w:hAnsi="Arial" w:cs="Arial"/>
          <w:i/>
          <w:iCs/>
        </w:rPr>
      </w:pPr>
      <w:r>
        <w:rPr>
          <w:rFonts w:ascii="Arial" w:hAnsi="Arial" w:cs="Arial"/>
          <w:i/>
          <w:iCs/>
        </w:rPr>
        <w:t xml:space="preserve">Iulia Alexe, Manager, </w:t>
      </w:r>
      <w:r w:rsidRPr="008D0A6A">
        <w:rPr>
          <w:rFonts w:ascii="Arial" w:hAnsi="Arial" w:cs="Arial"/>
          <w:i/>
          <w:iCs/>
        </w:rPr>
        <w:t>Evaluare, modelare financiară și analize economice</w:t>
      </w:r>
      <w:r w:rsidRPr="003C2FD4">
        <w:rPr>
          <w:rFonts w:ascii="Arial" w:hAnsi="Arial" w:cs="Arial"/>
          <w:i/>
          <w:iCs/>
        </w:rPr>
        <w:t>, EY România</w:t>
      </w:r>
    </w:p>
    <w:p w14:paraId="3AA293F2" w14:textId="340BFF9D" w:rsidR="003B08AF" w:rsidRPr="003C2FD4" w:rsidRDefault="00A936C6" w:rsidP="00877579">
      <w:pPr>
        <w:spacing w:after="0" w:line="240" w:lineRule="auto"/>
        <w:jc w:val="both"/>
        <w:rPr>
          <w:rFonts w:ascii="Arial" w:hAnsi="Arial" w:cs="Arial"/>
          <w:i/>
          <w:iCs/>
        </w:rPr>
      </w:pPr>
      <w:r>
        <w:rPr>
          <w:rFonts w:ascii="Arial" w:hAnsi="Arial" w:cs="Arial"/>
          <w:i/>
          <w:iCs/>
        </w:rPr>
        <w:t xml:space="preserve">Nicoleta Zaharia, </w:t>
      </w:r>
      <w:r w:rsidR="003A22E4">
        <w:rPr>
          <w:rFonts w:ascii="Arial" w:hAnsi="Arial" w:cs="Arial"/>
          <w:i/>
          <w:iCs/>
        </w:rPr>
        <w:t xml:space="preserve">Senior Manager, </w:t>
      </w:r>
      <w:r w:rsidRPr="008D0A6A">
        <w:rPr>
          <w:rFonts w:ascii="Arial" w:hAnsi="Arial" w:cs="Arial"/>
          <w:i/>
          <w:iCs/>
        </w:rPr>
        <w:t>Evaluare, modelare financiară și analize economice</w:t>
      </w:r>
      <w:r w:rsidRPr="003C2FD4">
        <w:rPr>
          <w:rFonts w:ascii="Arial" w:hAnsi="Arial" w:cs="Arial"/>
          <w:i/>
          <w:iCs/>
        </w:rPr>
        <w:t>, EY România</w:t>
      </w:r>
    </w:p>
    <w:p w14:paraId="5E191FEF" w14:textId="04EB0EEF" w:rsidR="00756176" w:rsidRPr="003C2FD4" w:rsidRDefault="00756176" w:rsidP="00877579">
      <w:pPr>
        <w:spacing w:after="0" w:line="240" w:lineRule="auto"/>
        <w:jc w:val="both"/>
        <w:rPr>
          <w:rFonts w:ascii="Arial" w:hAnsi="Arial" w:cs="Arial"/>
        </w:rPr>
      </w:pPr>
    </w:p>
    <w:p w14:paraId="259BA49E" w14:textId="61E41FF3" w:rsidR="004C580C" w:rsidRPr="004C580C" w:rsidRDefault="004C580C" w:rsidP="004C580C">
      <w:pPr>
        <w:rPr>
          <w:rFonts w:ascii="Arial" w:hAnsi="Arial" w:cs="Arial"/>
        </w:rPr>
      </w:pPr>
      <w:r w:rsidRPr="004C580C">
        <w:rPr>
          <w:rFonts w:ascii="Arial" w:hAnsi="Arial" w:cs="Arial"/>
        </w:rPr>
        <w:t>Peste 6 miliarde de euro vor fi disponibil</w:t>
      </w:r>
      <w:r w:rsidR="00D0786D">
        <w:rPr>
          <w:rFonts w:ascii="Arial" w:hAnsi="Arial" w:cs="Arial"/>
        </w:rPr>
        <w:t>i</w:t>
      </w:r>
      <w:r w:rsidRPr="004C580C">
        <w:rPr>
          <w:rFonts w:ascii="Arial" w:hAnsi="Arial" w:cs="Arial"/>
        </w:rPr>
        <w:t xml:space="preserve"> doar anul acesta prin Planul Național de Redresare și Reziliență, finanțare oferită prin Mecanismul de redresare și reziliență, ce va sprijini implementarea până în 2026 a unor reforme și investiții cruciale în domenii cheie (cum ar fi energie verde, infrastructură, sănătate, administrație publică, digitalizare). Datorită naturii sale excepționale, implementarea mecanismului va urma proceduri speciale, iar fondurile vor fi plătite direct României pe baza progreselor înregistrate în aplicarea PNRR-ului. Și statul va sprijini și încuraja investițiile, îndeosebi cele cu efect multiplicator ridicat în economie – 88,8 miliarde de lei în acest an. Dar</w:t>
      </w:r>
      <w:r w:rsidR="00D0786D">
        <w:rPr>
          <w:rFonts w:ascii="Arial" w:hAnsi="Arial" w:cs="Arial"/>
        </w:rPr>
        <w:t>,</w:t>
      </w:r>
      <w:r w:rsidRPr="004C580C">
        <w:rPr>
          <w:rFonts w:ascii="Arial" w:hAnsi="Arial" w:cs="Arial"/>
        </w:rPr>
        <w:t xml:space="preserve"> să vedem care sunt principalele programe și mecanisme și cum pot fi ele accesate.  </w:t>
      </w:r>
    </w:p>
    <w:p w14:paraId="5F07091A" w14:textId="77777777" w:rsidR="004C580C" w:rsidRPr="004C580C" w:rsidRDefault="004C580C" w:rsidP="004C580C">
      <w:pPr>
        <w:rPr>
          <w:rFonts w:ascii="Arial" w:hAnsi="Arial" w:cs="Arial"/>
        </w:rPr>
      </w:pPr>
      <w:r w:rsidRPr="004C580C">
        <w:rPr>
          <w:rFonts w:ascii="Arial" w:hAnsi="Arial" w:cs="Arial"/>
        </w:rPr>
        <w:t>Agenții economici pot accesa fonduri disponibile prin programe operaționale finanțate de Uniunea Europeană și implementate la nivel național (aferente perioadei de programare a Uniunii Europene 2021-2027), ajutoare de stat și, nu în ultimul rând, parte din finanțările aferente Planului Național de Reziliență și Redresare (PNRR). Reformele și proiectele vizate de aceste programe includ componente de investiții în energie verde, sănătate, educație, infrastructură, dar și în dezvoltare și adoptare de tehnologii noi, reprezentând oportunități de atragere de fonduri pentru mediul de afaceri.</w:t>
      </w:r>
    </w:p>
    <w:p w14:paraId="2BF52421" w14:textId="07AA88FE" w:rsidR="004C580C" w:rsidRPr="004C580C" w:rsidRDefault="00B20C37" w:rsidP="004C580C">
      <w:pPr>
        <w:rPr>
          <w:rFonts w:ascii="Arial" w:hAnsi="Arial" w:cs="Arial"/>
        </w:rPr>
      </w:pPr>
      <w:r w:rsidRPr="00B20C37">
        <w:rPr>
          <w:rFonts w:ascii="Arial" w:hAnsi="Arial" w:cs="Arial"/>
          <w:b/>
          <w:bCs/>
        </w:rPr>
        <w:t>Ce bani pot fi accesați prin PNRR.</w:t>
      </w:r>
      <w:r w:rsidRPr="004C580C">
        <w:rPr>
          <w:rFonts w:ascii="Arial" w:hAnsi="Arial" w:cs="Arial"/>
        </w:rPr>
        <w:t xml:space="preserve"> </w:t>
      </w:r>
      <w:r w:rsidR="004C580C" w:rsidRPr="004C580C">
        <w:rPr>
          <w:rFonts w:ascii="Arial" w:hAnsi="Arial" w:cs="Arial"/>
        </w:rPr>
        <w:t xml:space="preserve">Cu o alocare inițială ce totalizează 29,2 miliarde euro, Planul Național de Redresare și Reziliență ar urma să contribuie la redresarea economică și socială pe termen lung a țării, prin finanțarea atât a unor proiecte de interes public, cât și a unor </w:t>
      </w:r>
      <w:r w:rsidR="004C580C" w:rsidRPr="004C580C">
        <w:rPr>
          <w:rFonts w:ascii="Arial" w:hAnsi="Arial" w:cs="Arial"/>
        </w:rPr>
        <w:lastRenderedPageBreak/>
        <w:t>investiții din mediul privat. În prezent</w:t>
      </w:r>
      <w:r w:rsidR="00D0786D">
        <w:rPr>
          <w:rFonts w:ascii="Arial" w:hAnsi="Arial" w:cs="Arial"/>
        </w:rPr>
        <w:t>,</w:t>
      </w:r>
      <w:r w:rsidR="004C580C" w:rsidRPr="004C580C">
        <w:rPr>
          <w:rFonts w:ascii="Arial" w:hAnsi="Arial" w:cs="Arial"/>
        </w:rPr>
        <w:t xml:space="preserve"> sunt în curs de elaborare o serie de scheme de ajutor de stat, din care o parte vor fi adresate fie IMM-urilor, fie companiilor mari. Prin acestea vor fi finanțate investiții în digitalizare sau în capacități de producție </w:t>
      </w:r>
      <w:r w:rsidR="00D0786D">
        <w:rPr>
          <w:rFonts w:ascii="Arial" w:hAnsi="Arial" w:cs="Arial"/>
        </w:rPr>
        <w:t xml:space="preserve">de </w:t>
      </w:r>
      <w:r w:rsidR="004C580C" w:rsidRPr="004C580C">
        <w:rPr>
          <w:rFonts w:ascii="Arial" w:hAnsi="Arial" w:cs="Arial"/>
        </w:rPr>
        <w:t>energie regenerabilă.</w:t>
      </w:r>
    </w:p>
    <w:p w14:paraId="7677DF3A" w14:textId="6ABC20B1" w:rsidR="004C580C" w:rsidRPr="004C580C" w:rsidRDefault="004C580C" w:rsidP="004C580C">
      <w:pPr>
        <w:rPr>
          <w:rFonts w:ascii="Arial" w:hAnsi="Arial" w:cs="Arial"/>
        </w:rPr>
      </w:pPr>
      <w:r w:rsidRPr="004C580C">
        <w:rPr>
          <w:rFonts w:ascii="Arial" w:hAnsi="Arial" w:cs="Arial"/>
        </w:rPr>
        <w:t>Investițiile în modernizarea sistemelor energetice, îmbunătățirea eficienței energetice (inclusiv în construcții și transporturi) și tranziția spre neutralitate climatică vor fi susținute și prin Fondul de modernizare. Astfel, în perioada 2021</w:t>
      </w:r>
      <w:r w:rsidR="00D0786D">
        <w:rPr>
          <w:rFonts w:ascii="Arial" w:hAnsi="Arial" w:cs="Arial"/>
        </w:rPr>
        <w:t>-</w:t>
      </w:r>
      <w:r w:rsidRPr="004C580C">
        <w:rPr>
          <w:rFonts w:ascii="Arial" w:hAnsi="Arial" w:cs="Arial"/>
        </w:rPr>
        <w:t>2030, România va putea alege proiecte relevante, atât din zona publică, cât și privată, pe care să le propună spre finanțare Băncii Europene de Investiții și Comisiei Europene. Fondul de modernizare oferă statelor beneficiare posibilitatea de a decide asupra mecanismului de sprijin ales: grant-uri, împrumuturi, instrumente de garantare sau injecții de capital.</w:t>
      </w:r>
    </w:p>
    <w:p w14:paraId="6FBB9AB8" w14:textId="4E3F2441" w:rsidR="004C580C" w:rsidRPr="004C580C" w:rsidRDefault="004C580C" w:rsidP="004C580C">
      <w:pPr>
        <w:rPr>
          <w:rFonts w:ascii="Arial" w:hAnsi="Arial" w:cs="Arial"/>
        </w:rPr>
      </w:pPr>
      <w:r w:rsidRPr="004C580C">
        <w:rPr>
          <w:rFonts w:ascii="Arial" w:hAnsi="Arial" w:cs="Arial"/>
        </w:rPr>
        <w:t>Aproximativ 20% din bugetul UE pentru perioada 2021</w:t>
      </w:r>
      <w:r w:rsidR="00D0786D">
        <w:rPr>
          <w:rFonts w:ascii="Arial" w:hAnsi="Arial" w:cs="Arial"/>
        </w:rPr>
        <w:t>-</w:t>
      </w:r>
      <w:r w:rsidRPr="004C580C">
        <w:rPr>
          <w:rFonts w:ascii="Arial" w:hAnsi="Arial" w:cs="Arial"/>
        </w:rPr>
        <w:t>2027 va fi alocat prin programe și fonduri gestionate direct de Comisia Europeană. Prin intermediul departamentelor Comisiei sau a agențiilor executive ale UE sunt lansate cereri de propuneri pentru proiecte de investiții în diverse domenii de activitate. Tot în cadrul Comisiei sunt realizate evaluarea propunerile depuse, acordarea grant-urilor și monitorizarea implementării proiectelor.</w:t>
      </w:r>
    </w:p>
    <w:p w14:paraId="0B2B7F5B" w14:textId="77777777" w:rsidR="004C580C" w:rsidRPr="004C580C" w:rsidRDefault="004C580C" w:rsidP="004C580C">
      <w:pPr>
        <w:rPr>
          <w:rFonts w:ascii="Arial" w:hAnsi="Arial" w:cs="Arial"/>
        </w:rPr>
      </w:pPr>
      <w:r w:rsidRPr="004C580C">
        <w:rPr>
          <w:rFonts w:ascii="Arial" w:hAnsi="Arial" w:cs="Arial"/>
        </w:rPr>
        <w:t xml:space="preserve">Peste jumătate din finanțarea UE se acordă prin cinci fonduri structurale gestionate în comun de Comisia Europeană și România. Suma alocată României este disponibilă prin Programe Operaționale, iar versiunile de lucru aferente perioadei 2021-2027 au fost publicate de Ministerul Investițiilor și Proiectelor Europene spre consultare publică. În schimb, la acest moment nu este încă disponibil calendarul apelurilor de proiecte pentru fiecare în parte. Criteriile de eligibilitate ale proiectelor și beneficiarilor, cheltuielile eligibile, precum și finanțarea maximă pe care proiectele o pot accesa în cadrul fiecărui Program vor fi publicate în cadrul apelurilor de proiecte. </w:t>
      </w:r>
    </w:p>
    <w:p w14:paraId="1EC178F0" w14:textId="77777777" w:rsidR="004C580C" w:rsidRPr="004C580C" w:rsidRDefault="004C580C" w:rsidP="004C580C">
      <w:pPr>
        <w:rPr>
          <w:rFonts w:ascii="Arial" w:hAnsi="Arial" w:cs="Arial"/>
        </w:rPr>
      </w:pPr>
      <w:r w:rsidRPr="004C580C">
        <w:rPr>
          <w:rFonts w:ascii="Arial" w:hAnsi="Arial" w:cs="Arial"/>
        </w:rPr>
        <w:t xml:space="preserve">Programele operaționale includ: Programul Operațional Tranziție Justă (POTJ), Programul Operațional Dezvoltare Durabilă (PODD), Programul Operațional Transport (POT), Programul Operațional Creștere Inteligentă, Digitalizare și Instrumente Financiare (POCIDIF), Programul Operațional Sănătate (POS), dar și Programe Operaționale Regionale (POR). </w:t>
      </w:r>
    </w:p>
    <w:p w14:paraId="7F494F79" w14:textId="77777777" w:rsidR="004C580C" w:rsidRPr="004C580C" w:rsidRDefault="004C580C" w:rsidP="004C580C">
      <w:pPr>
        <w:rPr>
          <w:rFonts w:ascii="Arial" w:hAnsi="Arial" w:cs="Arial"/>
        </w:rPr>
      </w:pPr>
      <w:r w:rsidRPr="004C580C">
        <w:rPr>
          <w:rFonts w:ascii="Arial" w:hAnsi="Arial" w:cs="Arial"/>
        </w:rPr>
        <w:t xml:space="preserve">Programul Operațional Tranziție Justă vizează creșterea eficienței energetice și se adresează investițiilor privind energia din surse regenerabile, transportul verde, infrastructuri de încărcare a autovehiculelor electrice, dar și a celor ce susțin tranziția de la cărbune la gaz în 6 județe (Hunedoara, Gorj, Dolj, Galați, Prahova, Mureș). Beneficiarii sunt în principal autoritățile, însă fondurile pot fi accesate și de către IMM-uri și întreprinderi mari. </w:t>
      </w:r>
    </w:p>
    <w:p w14:paraId="3A7ACF51" w14:textId="4ABE1F48" w:rsidR="004C580C" w:rsidRPr="004C580C" w:rsidRDefault="004C580C" w:rsidP="004C580C">
      <w:pPr>
        <w:rPr>
          <w:rFonts w:ascii="Arial" w:hAnsi="Arial" w:cs="Arial"/>
        </w:rPr>
      </w:pPr>
      <w:r w:rsidRPr="004C580C">
        <w:rPr>
          <w:rFonts w:ascii="Arial" w:hAnsi="Arial" w:cs="Arial"/>
        </w:rPr>
        <w:t>Programul Operațional Dezvoltare Durabilă își propune, pe lângă protecția mediului și dezvoltarea infrastructurii de apă și apă uzată</w:t>
      </w:r>
      <w:r w:rsidR="003269DA">
        <w:rPr>
          <w:rFonts w:ascii="Arial" w:hAnsi="Arial" w:cs="Arial"/>
        </w:rPr>
        <w:t>,</w:t>
      </w:r>
      <w:r w:rsidRPr="004C580C">
        <w:rPr>
          <w:rFonts w:ascii="Arial" w:hAnsi="Arial" w:cs="Arial"/>
        </w:rPr>
        <w:t xml:space="preserve"> și tranziția către o economie circulară. Și în </w:t>
      </w:r>
      <w:r w:rsidR="003269DA">
        <w:rPr>
          <w:rFonts w:ascii="Arial" w:hAnsi="Arial" w:cs="Arial"/>
        </w:rPr>
        <w:t xml:space="preserve">acest </w:t>
      </w:r>
      <w:r w:rsidRPr="004C580C">
        <w:rPr>
          <w:rFonts w:ascii="Arial" w:hAnsi="Arial" w:cs="Arial"/>
        </w:rPr>
        <w:t xml:space="preserve">caz, autoritățile sunt principalii beneficiari, alături de entități private, întreprinderi mari și IMM-uri. </w:t>
      </w:r>
    </w:p>
    <w:p w14:paraId="147021BB" w14:textId="675EB86A" w:rsidR="004C580C" w:rsidRPr="004C580C" w:rsidRDefault="004C580C" w:rsidP="004C580C">
      <w:pPr>
        <w:rPr>
          <w:rFonts w:ascii="Arial" w:hAnsi="Arial" w:cs="Arial"/>
        </w:rPr>
      </w:pPr>
      <w:r w:rsidRPr="004C580C">
        <w:rPr>
          <w:rFonts w:ascii="Arial" w:hAnsi="Arial" w:cs="Arial"/>
        </w:rPr>
        <w:t xml:space="preserve">Programul Operațional Transport este destinat dezvoltării infrastructurii de transport și a serviciilor de mobilitate a persoanelor și mărfurilor. Beneficiarul principal este statul, prin Companiile Naționale sau Autoritățile cu atribuții în zona transporturilor. Din totalul alocărilor POT, estimate la peste 8 miliarde euro, aproape 2 miliarde sunt dedicate infrastructurilor rutiere TEN-T. Proiecte importante finanțate prin POT sunt și investițiile în dezvoltarea transportului feroviar la nivel național și regional, infrastructura de metrou, investițiile în infrastructura </w:t>
      </w:r>
      <w:r w:rsidRPr="004C580C">
        <w:rPr>
          <w:rFonts w:ascii="Arial" w:hAnsi="Arial" w:cs="Arial"/>
        </w:rPr>
        <w:lastRenderedPageBreak/>
        <w:t xml:space="preserve">terminalelor inter-modale, a instalațiilor și echipamentelor aferente, proiecte în sectorul naval - intervenții în portul Constanța și porturi dunărene, precum și proiectele de îmbunătățire a siguranței circulației rutiere. </w:t>
      </w:r>
    </w:p>
    <w:p w14:paraId="2CCACB77" w14:textId="77777777" w:rsidR="004C580C" w:rsidRPr="004C580C" w:rsidRDefault="004C580C" w:rsidP="004C580C">
      <w:pPr>
        <w:rPr>
          <w:rFonts w:ascii="Arial" w:hAnsi="Arial" w:cs="Arial"/>
        </w:rPr>
      </w:pPr>
      <w:r w:rsidRPr="004C580C">
        <w:rPr>
          <w:rFonts w:ascii="Arial" w:hAnsi="Arial" w:cs="Arial"/>
        </w:rPr>
        <w:t>Promovarea tehnologiilor digitale pentru a crea noi oportunități de dezvoltare atât pentru sistemul public, cât și pentru mediul de afaceri este principalul obiectiv al Programului Operațional Creștere Inteligentă, Digitalizare și Instrumente Financiare. Proiectele aparținând IMM-urilor, companiilor mari sau instituțiilor publice care vizează dezvoltarea, dar și adoptarea de tehnologii pot fi finanțate în cadrul programului.</w:t>
      </w:r>
    </w:p>
    <w:p w14:paraId="7AEC6779" w14:textId="77777777" w:rsidR="004C580C" w:rsidRPr="004C580C" w:rsidRDefault="004C580C" w:rsidP="004C580C">
      <w:pPr>
        <w:rPr>
          <w:rFonts w:ascii="Arial" w:hAnsi="Arial" w:cs="Arial"/>
        </w:rPr>
      </w:pPr>
      <w:r w:rsidRPr="004C580C">
        <w:rPr>
          <w:rFonts w:ascii="Arial" w:hAnsi="Arial" w:cs="Arial"/>
        </w:rPr>
        <w:t xml:space="preserve">Un alt program care poate atrage interesul companiilor de construcții este Programul Operațional Sănătate, care își dorește să îmbunătățească accesibilitatea, eficiența și reziliența sistemului de sănătate. Între principalele obiective pot fi amintite investițiile pentru construirea spitalelor regionale și a infrastructurii spitalicești noi. </w:t>
      </w:r>
    </w:p>
    <w:p w14:paraId="5A4A8597" w14:textId="77777777" w:rsidR="004C580C" w:rsidRPr="004C580C" w:rsidRDefault="004C580C" w:rsidP="004C580C">
      <w:pPr>
        <w:rPr>
          <w:rFonts w:ascii="Arial" w:hAnsi="Arial" w:cs="Arial"/>
        </w:rPr>
      </w:pPr>
      <w:r w:rsidRPr="004C580C">
        <w:rPr>
          <w:rFonts w:ascii="Arial" w:hAnsi="Arial" w:cs="Arial"/>
        </w:rPr>
        <w:t>Actorii privați (start-up-uri, IMM-uri, companii mari), dar și instituțiile de cercetare-dezvoltare și autoritățile din administrația publică pot beneficia de finanțare și prin Programe Operaționale Regionale. Disponibile la nivelul fiecărei regiuni de dezvoltare a României, fondurile pot fi accesate de proiecte care adresează competitivitatea regională, dezvoltarea urbană durabilă, reducerea emisiilor de carbon și infrastructura economică, socială și culturală la nivel regional și local.</w:t>
      </w:r>
    </w:p>
    <w:p w14:paraId="77F3DCC6" w14:textId="3F23F0A2" w:rsidR="004C580C" w:rsidRPr="004C580C" w:rsidRDefault="00A62413" w:rsidP="004C580C">
      <w:pPr>
        <w:rPr>
          <w:rFonts w:ascii="Arial" w:hAnsi="Arial" w:cs="Arial"/>
        </w:rPr>
      </w:pPr>
      <w:r w:rsidRPr="00A62413">
        <w:rPr>
          <w:rFonts w:ascii="Arial" w:hAnsi="Arial" w:cs="Arial"/>
          <w:b/>
          <w:bCs/>
        </w:rPr>
        <w:t>Pot fi accesate și ajutoare de stat.</w:t>
      </w:r>
      <w:r w:rsidR="004C580C" w:rsidRPr="004C580C">
        <w:rPr>
          <w:rFonts w:ascii="Arial" w:hAnsi="Arial" w:cs="Arial"/>
        </w:rPr>
        <w:t xml:space="preserve"> De asemenea, companiile ar trebui să știe că sunt în continuare disponibile și două scheme de ajutor de stat pentru dezvoltare regională (deschise solicitanților până la 31 decembrie 2023), fonduri gestionate de Ministerul Finanțelor. </w:t>
      </w:r>
    </w:p>
    <w:p w14:paraId="61699FD9" w14:textId="77777777" w:rsidR="004C580C" w:rsidRPr="004C580C" w:rsidRDefault="004C580C" w:rsidP="004C580C">
      <w:pPr>
        <w:rPr>
          <w:rFonts w:ascii="Arial" w:hAnsi="Arial" w:cs="Arial"/>
        </w:rPr>
      </w:pPr>
      <w:r w:rsidRPr="004C580C">
        <w:rPr>
          <w:rFonts w:ascii="Arial" w:hAnsi="Arial" w:cs="Arial"/>
        </w:rPr>
        <w:t xml:space="preserve">În cazul schemelor de ajutor de stat, al căror buget total cumulat depășește 2 miliarde de euro, sunt eligibile investițiile în active (HG 807/2014) și cele care determină crearea a cel puțin 100 noi locuri de muncă (HG 332/2014). Începând cu august 2021, investițiile din domeniul construcțiilor au devenit eligibile. </w:t>
      </w:r>
    </w:p>
    <w:p w14:paraId="2C2634DB" w14:textId="37D59C71" w:rsidR="004C580C" w:rsidRPr="004C580C" w:rsidRDefault="004C580C" w:rsidP="004C580C">
      <w:pPr>
        <w:rPr>
          <w:rFonts w:ascii="Arial" w:hAnsi="Arial" w:cs="Arial"/>
        </w:rPr>
      </w:pPr>
      <w:r w:rsidRPr="004C580C">
        <w:rPr>
          <w:rFonts w:ascii="Arial" w:hAnsi="Arial" w:cs="Arial"/>
        </w:rPr>
        <w:t>Nivelul maxim al ajutorului de stat de care au putut beneficia companiile ale căror proiecte de investiții au primit acord de finanțare este de 37,5 mil. euro. În limita bugetului anual alocat fiecărei scheme, determinarea procentului care va fi acoperit prin ajutor de stat se va face respectând intensitățile maxime asociate hărții regionale autorizate de Comisia Europeană.</w:t>
      </w:r>
      <w:r w:rsidRPr="004C580C" w:rsidDel="000037DB">
        <w:rPr>
          <w:rFonts w:ascii="Arial" w:hAnsi="Arial" w:cs="Arial"/>
        </w:rPr>
        <w:t xml:space="preserve"> </w:t>
      </w:r>
    </w:p>
    <w:p w14:paraId="50C6740C" w14:textId="77777777" w:rsidR="004C580C" w:rsidRPr="004C580C" w:rsidRDefault="004C580C" w:rsidP="004C580C">
      <w:pPr>
        <w:rPr>
          <w:rFonts w:ascii="Arial" w:hAnsi="Arial" w:cs="Arial"/>
        </w:rPr>
      </w:pPr>
      <w:r w:rsidRPr="004C580C">
        <w:rPr>
          <w:rFonts w:ascii="Arial" w:hAnsi="Arial" w:cs="Arial"/>
        </w:rPr>
        <w:t>În concluzie, indiferent de mecanismul pentru care optează, pentru a finanța un proiect din surse nerambursabile, recomandăm investitorilor să identifice acele apeluri de proiecte care sunt relevante pentru domeniul în care funcționează și să respecte orientările punctuale ale fiecărui program privind depunerea dosarului, pentru că fiecare cerere de finanțare este unică. </w:t>
      </w:r>
    </w:p>
    <w:p w14:paraId="685EDCEE" w14:textId="77777777" w:rsidR="004C580C" w:rsidRDefault="004C580C" w:rsidP="004C580C">
      <w:pPr>
        <w:rPr>
          <w:rFonts w:ascii="Arial" w:hAnsi="Arial" w:cs="Arial"/>
          <w:sz w:val="20"/>
          <w:szCs w:val="20"/>
        </w:rPr>
      </w:pPr>
    </w:p>
    <w:p w14:paraId="7164B543" w14:textId="77777777" w:rsidR="004A4AB4" w:rsidRPr="001E4938" w:rsidRDefault="004A4AB4" w:rsidP="008C382C">
      <w:pPr>
        <w:rPr>
          <w:rFonts w:ascii="Arial" w:hAnsi="Arial" w:cs="Arial"/>
        </w:rPr>
      </w:pPr>
    </w:p>
    <w:p w14:paraId="250FC64A" w14:textId="5027031C" w:rsidR="00D5580B" w:rsidRPr="00FF1FAE" w:rsidRDefault="00D5580B" w:rsidP="00FC362E">
      <w:pPr>
        <w:spacing w:after="0" w:line="240" w:lineRule="auto"/>
        <w:rPr>
          <w:rFonts w:ascii="Arial" w:hAnsi="Arial" w:cs="Arial"/>
          <w:color w:val="242424"/>
          <w:sz w:val="18"/>
          <w:szCs w:val="18"/>
          <w:shd w:val="clear" w:color="auto" w:fill="FFFFFF"/>
        </w:rPr>
      </w:pPr>
      <w:r w:rsidRPr="00FF1FAE">
        <w:rPr>
          <w:rFonts w:ascii="Arial" w:hAnsi="Arial" w:cs="Arial"/>
          <w:color w:val="242424"/>
          <w:sz w:val="18"/>
          <w:szCs w:val="18"/>
          <w:shd w:val="clear" w:color="auto" w:fill="FFFFFF"/>
        </w:rPr>
        <w:t>***</w:t>
      </w:r>
    </w:p>
    <w:p w14:paraId="63E7A13E" w14:textId="77777777" w:rsidR="001454E9" w:rsidRPr="00FF1FAE" w:rsidRDefault="001454E9" w:rsidP="00FC362E">
      <w:pPr>
        <w:pStyle w:val="EYNormal"/>
        <w:rPr>
          <w:rFonts w:eastAsiaTheme="minorHAnsi" w:cs="Arial"/>
          <w:b/>
          <w:bCs/>
          <w:sz w:val="18"/>
          <w:szCs w:val="18"/>
        </w:rPr>
      </w:pPr>
      <w:r w:rsidRPr="00FF1FAE">
        <w:rPr>
          <w:rFonts w:eastAsiaTheme="minorHAnsi" w:cs="Arial"/>
          <w:b/>
          <w:bCs/>
          <w:sz w:val="18"/>
          <w:szCs w:val="18"/>
        </w:rPr>
        <w:t>Despre EY România</w:t>
      </w:r>
    </w:p>
    <w:p w14:paraId="4821C4BA" w14:textId="3E333022" w:rsidR="001454E9" w:rsidRDefault="001454E9" w:rsidP="00FC362E">
      <w:pPr>
        <w:pStyle w:val="EYNormal"/>
        <w:rPr>
          <w:rFonts w:eastAsiaTheme="minorHAnsi" w:cs="Arial"/>
          <w:sz w:val="18"/>
          <w:szCs w:val="18"/>
          <w:u w:val="single"/>
        </w:rPr>
      </w:pPr>
      <w:r w:rsidRPr="00FF1FAE">
        <w:rPr>
          <w:rFonts w:eastAsiaTheme="minorHAnsi" w:cs="Arial"/>
          <w:sz w:val="18"/>
          <w:szCs w:val="18"/>
        </w:rPr>
        <w:t xml:space="preserve">EY este una dintre cele mai mari firme de servicii profesionale la nivel global, cu 312.250 de angajați în peste 700 de birouri în 150 de țări și venituri de aproximativ 40 miliarde de USD în anul fiscal încheiat la 30 iunie 2021. Rețeaua </w:t>
      </w:r>
      <w:r w:rsidR="00730A3C" w:rsidRPr="00FF1FAE">
        <w:rPr>
          <w:rFonts w:eastAsiaTheme="minorHAnsi" w:cs="Arial"/>
          <w:sz w:val="18"/>
          <w:szCs w:val="18"/>
        </w:rPr>
        <w:t>lor</w:t>
      </w:r>
      <w:r w:rsidRPr="00FF1FAE">
        <w:rPr>
          <w:rFonts w:eastAsiaTheme="minorHAnsi" w:cs="Arial"/>
          <w:sz w:val="18"/>
          <w:szCs w:val="18"/>
        </w:rPr>
        <w:t xml:space="preserve"> </w:t>
      </w:r>
      <w:r w:rsidRPr="00FF1FAE">
        <w:rPr>
          <w:rFonts w:eastAsiaTheme="minorHAnsi" w:cs="Arial"/>
          <w:sz w:val="18"/>
          <w:szCs w:val="18"/>
        </w:rPr>
        <w:lastRenderedPageBreak/>
        <w:t xml:space="preserve">este cea mai integrată la nivel global, iar resursele din cadrul acesteia </w:t>
      </w:r>
      <w:r w:rsidR="00730A3C" w:rsidRPr="00FF1FAE">
        <w:rPr>
          <w:rFonts w:eastAsiaTheme="minorHAnsi" w:cs="Arial"/>
          <w:sz w:val="18"/>
          <w:szCs w:val="18"/>
        </w:rPr>
        <w:t>îi</w:t>
      </w:r>
      <w:r w:rsidRPr="00FF1FAE">
        <w:rPr>
          <w:rFonts w:eastAsiaTheme="minorHAnsi" w:cs="Arial"/>
          <w:sz w:val="18"/>
          <w:szCs w:val="18"/>
        </w:rPr>
        <w:t xml:space="preserve"> ajută să le ofer</w:t>
      </w:r>
      <w:r w:rsidR="00730A3C" w:rsidRPr="00FF1FAE">
        <w:rPr>
          <w:rFonts w:eastAsiaTheme="minorHAnsi" w:cs="Arial"/>
          <w:sz w:val="18"/>
          <w:szCs w:val="18"/>
        </w:rPr>
        <w:t>e</w:t>
      </w:r>
      <w:r w:rsidRPr="00FF1FAE">
        <w:rPr>
          <w:rFonts w:eastAsiaTheme="minorHAnsi" w:cs="Arial"/>
          <w:sz w:val="18"/>
          <w:szCs w:val="18"/>
        </w:rPr>
        <w:t xml:space="preserve"> clienților servicii prin care să beneficieze de oportunitățile din întreaga lume.</w:t>
      </w:r>
      <w:r w:rsidRPr="00FF1FAE">
        <w:rPr>
          <w:rFonts w:eastAsiaTheme="minorHAnsi" w:cs="Arial"/>
          <w:sz w:val="18"/>
          <w:szCs w:val="18"/>
        </w:rPr>
        <w:br/>
        <w:t>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w:t>
      </w:r>
      <w:r w:rsidR="002D3375" w:rsidRPr="00FF1FAE">
        <w:rPr>
          <w:rFonts w:eastAsiaTheme="minorHAnsi" w:cs="Arial"/>
          <w:sz w:val="18"/>
          <w:szCs w:val="18"/>
        </w:rPr>
        <w:t>u</w:t>
      </w:r>
      <w:r w:rsidRPr="00FF1FAE">
        <w:rPr>
          <w:rFonts w:eastAsiaTheme="minorHAnsi" w:cs="Arial"/>
          <w:sz w:val="18"/>
          <w:szCs w:val="18"/>
        </w:rPr>
        <w:t xml:space="preserve">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w:t>
      </w:r>
      <w:r w:rsidR="002D3375" w:rsidRPr="00FF1FAE">
        <w:rPr>
          <w:rFonts w:eastAsiaTheme="minorHAnsi" w:cs="Arial"/>
          <w:sz w:val="18"/>
          <w:szCs w:val="18"/>
        </w:rPr>
        <w:t>.</w:t>
      </w:r>
      <w:r w:rsidR="002D3375" w:rsidRPr="00FF1FAE">
        <w:rPr>
          <w:rFonts w:eastAsiaTheme="minorHAnsi" w:cs="Arial"/>
          <w:sz w:val="18"/>
          <w:szCs w:val="18"/>
          <w:u w:val="single"/>
        </w:rPr>
        <w:t xml:space="preserve"> </w:t>
      </w:r>
    </w:p>
    <w:p w14:paraId="4CCA5647" w14:textId="095CB80A" w:rsidR="00F05556" w:rsidRDefault="00F05556" w:rsidP="00FC362E">
      <w:pPr>
        <w:pStyle w:val="EYNormal"/>
        <w:rPr>
          <w:rFonts w:eastAsiaTheme="minorHAnsi" w:cs="Arial"/>
          <w:sz w:val="18"/>
          <w:szCs w:val="18"/>
          <w:u w:val="single"/>
        </w:rPr>
      </w:pPr>
    </w:p>
    <w:p w14:paraId="3B412BA9" w14:textId="77777777" w:rsidR="00F05556" w:rsidRPr="00F05556" w:rsidRDefault="00F05556" w:rsidP="00F05556">
      <w:pPr>
        <w:pStyle w:val="EYNormal"/>
        <w:rPr>
          <w:rFonts w:eastAsiaTheme="minorHAnsi" w:cs="Arial"/>
          <w:sz w:val="18"/>
          <w:szCs w:val="18"/>
          <w:u w:val="single"/>
        </w:rPr>
      </w:pPr>
    </w:p>
    <w:p w14:paraId="4E34BD9F" w14:textId="77777777" w:rsidR="00F05556" w:rsidRPr="00F05556" w:rsidRDefault="00F05556" w:rsidP="00F05556">
      <w:pPr>
        <w:pStyle w:val="EYNormal"/>
        <w:rPr>
          <w:rFonts w:eastAsiaTheme="minorHAnsi" w:cs="Arial"/>
          <w:b/>
          <w:bCs/>
          <w:sz w:val="18"/>
          <w:szCs w:val="18"/>
        </w:rPr>
      </w:pPr>
      <w:r w:rsidRPr="00F05556">
        <w:rPr>
          <w:rFonts w:eastAsiaTheme="minorHAnsi" w:cs="Arial"/>
          <w:b/>
          <w:bCs/>
          <w:sz w:val="18"/>
          <w:szCs w:val="18"/>
        </w:rPr>
        <w:t xml:space="preserve">Despre Departamentul de Strategie și Tranzacții </w:t>
      </w:r>
    </w:p>
    <w:p w14:paraId="450D0DBB" w14:textId="021F3B1D" w:rsidR="00F05556" w:rsidRPr="00F05556" w:rsidRDefault="00F05556" w:rsidP="00F05556">
      <w:pPr>
        <w:pStyle w:val="EYNormal"/>
        <w:rPr>
          <w:rFonts w:eastAsiaTheme="minorHAnsi" w:cs="Arial"/>
          <w:sz w:val="18"/>
          <w:szCs w:val="18"/>
        </w:rPr>
      </w:pPr>
      <w:r w:rsidRPr="00F05556">
        <w:rPr>
          <w:rFonts w:eastAsiaTheme="minorHAnsi" w:cs="Arial"/>
          <w:sz w:val="18"/>
          <w:szCs w:val="18"/>
        </w:rPr>
        <w:t>Răspunzând nevoilor din piață, prin serviciile EY de strategie și tranzacții, se acordă sprijin companiilor pentru dezvoltarea și convertirea viziunii strategice ale acestora în planuri concrete. Datele de ultimă oră, soluțiile tehnologice și accesul la o bază largă de investitori și soluții de finanțare, corelate cu informațiile strategice furnizate de echipele EY, vor sprijini companiile să abordeze aspecte complexe, ajutându-le să își redefinească ecosistemele, să își remodeleze portofoliile și să se reinventeze pentru un viitor mai bun</w:t>
      </w:r>
      <w:r w:rsidR="00F353B8">
        <w:rPr>
          <w:rFonts w:eastAsiaTheme="minorHAnsi" w:cs="Arial"/>
          <w:sz w:val="18"/>
          <w:szCs w:val="18"/>
        </w:rPr>
        <w:t>.</w:t>
      </w:r>
    </w:p>
    <w:p w14:paraId="0C3B8EF2" w14:textId="77777777" w:rsidR="001454E9" w:rsidRPr="00FF1FAE" w:rsidRDefault="001454E9" w:rsidP="00FC362E">
      <w:pPr>
        <w:pStyle w:val="NormalWeb"/>
        <w:shd w:val="clear" w:color="auto" w:fill="FFFFFF"/>
        <w:spacing w:before="0" w:beforeAutospacing="0" w:after="0" w:afterAutospacing="0"/>
        <w:rPr>
          <w:rFonts w:ascii="Arial" w:hAnsi="Arial" w:cs="Arial"/>
          <w:sz w:val="18"/>
          <w:szCs w:val="18"/>
          <w:lang w:val="ro-RO"/>
        </w:rPr>
      </w:pPr>
    </w:p>
    <w:p w14:paraId="07CA51B0" w14:textId="77777777" w:rsidR="009C0341" w:rsidRPr="001E4938" w:rsidRDefault="009C0341" w:rsidP="00FC362E">
      <w:pPr>
        <w:pStyle w:val="NormalWeb"/>
        <w:shd w:val="clear" w:color="auto" w:fill="FFFFFF"/>
        <w:spacing w:before="0" w:beforeAutospacing="0" w:after="0" w:afterAutospacing="0"/>
        <w:rPr>
          <w:rFonts w:ascii="Arial" w:hAnsi="Arial" w:cs="Arial"/>
          <w:sz w:val="22"/>
          <w:szCs w:val="22"/>
          <w:lang w:val="ro-RO"/>
        </w:rPr>
      </w:pPr>
    </w:p>
    <w:p w14:paraId="00AE37EB" w14:textId="5DA0F3B2" w:rsidR="00205FE1" w:rsidRPr="001E4938" w:rsidRDefault="00205FE1" w:rsidP="00FC362E">
      <w:pPr>
        <w:spacing w:after="0" w:line="240" w:lineRule="auto"/>
        <w:rPr>
          <w:rFonts w:ascii="Arial" w:hAnsi="Arial" w:cs="Arial"/>
        </w:rPr>
      </w:pPr>
    </w:p>
    <w:sectPr w:rsidR="00205FE1" w:rsidRPr="001E4938" w:rsidSect="000A468F">
      <w:headerReference w:type="default" r:id="rId12"/>
      <w:footerReference w:type="default" r:id="rId13"/>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63DC6" w14:textId="77777777" w:rsidR="002804CC" w:rsidRDefault="002804CC" w:rsidP="00B8226C">
      <w:pPr>
        <w:spacing w:after="0" w:line="240" w:lineRule="auto"/>
      </w:pPr>
      <w:r>
        <w:separator/>
      </w:r>
    </w:p>
  </w:endnote>
  <w:endnote w:type="continuationSeparator" w:id="0">
    <w:p w14:paraId="012645CC" w14:textId="77777777" w:rsidR="002804CC" w:rsidRDefault="002804CC" w:rsidP="00B8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92076"/>
      <w:docPartObj>
        <w:docPartGallery w:val="Page Numbers (Bottom of Page)"/>
        <w:docPartUnique/>
      </w:docPartObj>
    </w:sdtPr>
    <w:sdtEndPr>
      <w:rPr>
        <w:noProof/>
      </w:rPr>
    </w:sdtEndPr>
    <w:sdtContent>
      <w:p w14:paraId="14DB3943" w14:textId="127DCFEE" w:rsidR="009B4452" w:rsidRDefault="009B4452">
        <w:pPr>
          <w:pStyle w:val="Footer"/>
          <w:jc w:val="right"/>
        </w:pPr>
        <w:r>
          <w:fldChar w:fldCharType="begin"/>
        </w:r>
        <w:r>
          <w:instrText xml:space="preserve"> PAGE   \* MERGEFORMAT </w:instrText>
        </w:r>
        <w:r>
          <w:fldChar w:fldCharType="separate"/>
        </w:r>
        <w:r w:rsidR="00D92DC7">
          <w:rPr>
            <w:noProof/>
          </w:rPr>
          <w:t>3</w:t>
        </w:r>
        <w:r>
          <w:rPr>
            <w:noProof/>
          </w:rPr>
          <w:fldChar w:fldCharType="end"/>
        </w:r>
      </w:p>
    </w:sdtContent>
  </w:sdt>
  <w:p w14:paraId="25FA75F3" w14:textId="77777777" w:rsidR="009B4452" w:rsidRDefault="009B4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6D174" w14:textId="77777777" w:rsidR="002804CC" w:rsidRDefault="002804CC" w:rsidP="00B8226C">
      <w:pPr>
        <w:spacing w:after="0" w:line="240" w:lineRule="auto"/>
      </w:pPr>
      <w:r>
        <w:separator/>
      </w:r>
    </w:p>
  </w:footnote>
  <w:footnote w:type="continuationSeparator" w:id="0">
    <w:p w14:paraId="7814E43B" w14:textId="77777777" w:rsidR="002804CC" w:rsidRDefault="002804CC" w:rsidP="00B82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C677" w14:textId="5C233488" w:rsidR="00B8226C" w:rsidRDefault="00B8226C">
    <w:pPr>
      <w:pStyle w:val="Header"/>
    </w:pPr>
    <w:r>
      <w:rPr>
        <w:noProof/>
        <w:lang w:val="en-US"/>
      </w:rPr>
      <w:drawing>
        <wp:inline distT="0" distB="0" distL="0" distR="0" wp14:anchorId="4DA3380C" wp14:editId="09A9FAC1">
          <wp:extent cx="847725" cy="996950"/>
          <wp:effectExtent l="0" t="0" r="9525" b="0"/>
          <wp:docPr id="2" name="Picture 2"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BBB"/>
    <w:multiLevelType w:val="hybridMultilevel"/>
    <w:tmpl w:val="D0A61DBC"/>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3351E25"/>
    <w:multiLevelType w:val="hybridMultilevel"/>
    <w:tmpl w:val="59C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C1339"/>
    <w:multiLevelType w:val="hybridMultilevel"/>
    <w:tmpl w:val="2D1865D2"/>
    <w:lvl w:ilvl="0" w:tplc="F72AB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F51A5"/>
    <w:multiLevelType w:val="hybridMultilevel"/>
    <w:tmpl w:val="B98003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C3404E2"/>
    <w:multiLevelType w:val="hybridMultilevel"/>
    <w:tmpl w:val="D1843B32"/>
    <w:lvl w:ilvl="0" w:tplc="59AC9B28">
      <w:numFmt w:val="bullet"/>
      <w:lvlText w:val="-"/>
      <w:lvlJc w:val="left"/>
      <w:pPr>
        <w:ind w:left="720" w:hanging="360"/>
      </w:pPr>
      <w:rPr>
        <w:rFonts w:ascii="Arial" w:eastAsiaTheme="minorHAnsi" w:hAnsi="Arial" w:cs="Arial" w:hint="default"/>
        <w:color w:val="2424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C912D08"/>
    <w:multiLevelType w:val="hybridMultilevel"/>
    <w:tmpl w:val="70CA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E3"/>
    <w:rsid w:val="00001F0C"/>
    <w:rsid w:val="00010933"/>
    <w:rsid w:val="00023A0B"/>
    <w:rsid w:val="000272BC"/>
    <w:rsid w:val="00027376"/>
    <w:rsid w:val="00033325"/>
    <w:rsid w:val="0003689D"/>
    <w:rsid w:val="00037E06"/>
    <w:rsid w:val="00045BAF"/>
    <w:rsid w:val="00053D09"/>
    <w:rsid w:val="00055F45"/>
    <w:rsid w:val="000578B9"/>
    <w:rsid w:val="00057ED5"/>
    <w:rsid w:val="00062951"/>
    <w:rsid w:val="00063081"/>
    <w:rsid w:val="0006450C"/>
    <w:rsid w:val="00072845"/>
    <w:rsid w:val="00076D9F"/>
    <w:rsid w:val="00084FEC"/>
    <w:rsid w:val="000A13B2"/>
    <w:rsid w:val="000A14B7"/>
    <w:rsid w:val="000A227C"/>
    <w:rsid w:val="000A405B"/>
    <w:rsid w:val="000A468F"/>
    <w:rsid w:val="000A4694"/>
    <w:rsid w:val="000A52E0"/>
    <w:rsid w:val="000A7A8B"/>
    <w:rsid w:val="000B16F7"/>
    <w:rsid w:val="000B2B1F"/>
    <w:rsid w:val="000C483E"/>
    <w:rsid w:val="000C4CBE"/>
    <w:rsid w:val="000C5BDB"/>
    <w:rsid w:val="000C5DFB"/>
    <w:rsid w:val="000C6EB2"/>
    <w:rsid w:val="000D118E"/>
    <w:rsid w:val="000D216E"/>
    <w:rsid w:val="000D5B33"/>
    <w:rsid w:val="000E2FC4"/>
    <w:rsid w:val="000E7C3D"/>
    <w:rsid w:val="000E7FF2"/>
    <w:rsid w:val="000F511E"/>
    <w:rsid w:val="000F6B10"/>
    <w:rsid w:val="00102824"/>
    <w:rsid w:val="00103D43"/>
    <w:rsid w:val="001043E5"/>
    <w:rsid w:val="00110A7F"/>
    <w:rsid w:val="001125CB"/>
    <w:rsid w:val="00115463"/>
    <w:rsid w:val="00116E53"/>
    <w:rsid w:val="00123CBF"/>
    <w:rsid w:val="00124C6A"/>
    <w:rsid w:val="00130170"/>
    <w:rsid w:val="001305E7"/>
    <w:rsid w:val="0013585C"/>
    <w:rsid w:val="00137A85"/>
    <w:rsid w:val="001402EF"/>
    <w:rsid w:val="001454E9"/>
    <w:rsid w:val="00145739"/>
    <w:rsid w:val="0015682F"/>
    <w:rsid w:val="0016586E"/>
    <w:rsid w:val="0016595D"/>
    <w:rsid w:val="00165E14"/>
    <w:rsid w:val="00167B21"/>
    <w:rsid w:val="00172791"/>
    <w:rsid w:val="001756D9"/>
    <w:rsid w:val="001774EB"/>
    <w:rsid w:val="00180676"/>
    <w:rsid w:val="001807DE"/>
    <w:rsid w:val="00182DBF"/>
    <w:rsid w:val="0018390F"/>
    <w:rsid w:val="00191BC8"/>
    <w:rsid w:val="00194C9A"/>
    <w:rsid w:val="00196BDA"/>
    <w:rsid w:val="001A2423"/>
    <w:rsid w:val="001A2DA7"/>
    <w:rsid w:val="001A3B2E"/>
    <w:rsid w:val="001A525D"/>
    <w:rsid w:val="001A5E5E"/>
    <w:rsid w:val="001A793F"/>
    <w:rsid w:val="001B0440"/>
    <w:rsid w:val="001B20FC"/>
    <w:rsid w:val="001B3258"/>
    <w:rsid w:val="001B3F8C"/>
    <w:rsid w:val="001B6120"/>
    <w:rsid w:val="001D25D1"/>
    <w:rsid w:val="001D4D20"/>
    <w:rsid w:val="001D7192"/>
    <w:rsid w:val="001E4938"/>
    <w:rsid w:val="001E75F8"/>
    <w:rsid w:val="001F63BD"/>
    <w:rsid w:val="00200099"/>
    <w:rsid w:val="00201C15"/>
    <w:rsid w:val="00204A02"/>
    <w:rsid w:val="00205FE1"/>
    <w:rsid w:val="0021526E"/>
    <w:rsid w:val="002162CF"/>
    <w:rsid w:val="00217212"/>
    <w:rsid w:val="00217AF9"/>
    <w:rsid w:val="00217FF5"/>
    <w:rsid w:val="00220637"/>
    <w:rsid w:val="002275E2"/>
    <w:rsid w:val="00240BF3"/>
    <w:rsid w:val="00243927"/>
    <w:rsid w:val="0024430E"/>
    <w:rsid w:val="00247BD7"/>
    <w:rsid w:val="00250C64"/>
    <w:rsid w:val="00251293"/>
    <w:rsid w:val="0026670E"/>
    <w:rsid w:val="00266710"/>
    <w:rsid w:val="0027040B"/>
    <w:rsid w:val="00272036"/>
    <w:rsid w:val="002804CC"/>
    <w:rsid w:val="00281BA5"/>
    <w:rsid w:val="002827C5"/>
    <w:rsid w:val="00284AD0"/>
    <w:rsid w:val="002878C0"/>
    <w:rsid w:val="0029352F"/>
    <w:rsid w:val="00294B83"/>
    <w:rsid w:val="00296658"/>
    <w:rsid w:val="00297A37"/>
    <w:rsid w:val="002A3864"/>
    <w:rsid w:val="002A6702"/>
    <w:rsid w:val="002A7DDE"/>
    <w:rsid w:val="002B3604"/>
    <w:rsid w:val="002C20CB"/>
    <w:rsid w:val="002C2168"/>
    <w:rsid w:val="002C27F3"/>
    <w:rsid w:val="002C4BBB"/>
    <w:rsid w:val="002D0BBE"/>
    <w:rsid w:val="002D2A42"/>
    <w:rsid w:val="002D3375"/>
    <w:rsid w:val="002D639D"/>
    <w:rsid w:val="002D6815"/>
    <w:rsid w:val="002E002B"/>
    <w:rsid w:val="002E204F"/>
    <w:rsid w:val="002E250F"/>
    <w:rsid w:val="002F3801"/>
    <w:rsid w:val="002F51B4"/>
    <w:rsid w:val="002F780C"/>
    <w:rsid w:val="00301A6D"/>
    <w:rsid w:val="00302CFE"/>
    <w:rsid w:val="00305CBB"/>
    <w:rsid w:val="00305EFE"/>
    <w:rsid w:val="003138E5"/>
    <w:rsid w:val="00317549"/>
    <w:rsid w:val="0032391D"/>
    <w:rsid w:val="00323B40"/>
    <w:rsid w:val="00323FD4"/>
    <w:rsid w:val="00325C0B"/>
    <w:rsid w:val="003269DA"/>
    <w:rsid w:val="00326C9F"/>
    <w:rsid w:val="0033122E"/>
    <w:rsid w:val="00337DA9"/>
    <w:rsid w:val="0034482A"/>
    <w:rsid w:val="0034635D"/>
    <w:rsid w:val="00351CF1"/>
    <w:rsid w:val="00353445"/>
    <w:rsid w:val="00355DDD"/>
    <w:rsid w:val="003610B6"/>
    <w:rsid w:val="0036460E"/>
    <w:rsid w:val="0037268C"/>
    <w:rsid w:val="003730FF"/>
    <w:rsid w:val="00373E97"/>
    <w:rsid w:val="00374A04"/>
    <w:rsid w:val="00381F81"/>
    <w:rsid w:val="00394700"/>
    <w:rsid w:val="003A22E4"/>
    <w:rsid w:val="003A2CE6"/>
    <w:rsid w:val="003A2FF9"/>
    <w:rsid w:val="003A4BDA"/>
    <w:rsid w:val="003A6E46"/>
    <w:rsid w:val="003A7C84"/>
    <w:rsid w:val="003B0856"/>
    <w:rsid w:val="003B08AF"/>
    <w:rsid w:val="003B1AC2"/>
    <w:rsid w:val="003B1B11"/>
    <w:rsid w:val="003B25CE"/>
    <w:rsid w:val="003B7B3B"/>
    <w:rsid w:val="003C0AF9"/>
    <w:rsid w:val="003C2FD4"/>
    <w:rsid w:val="003D4282"/>
    <w:rsid w:val="003E0497"/>
    <w:rsid w:val="003E3573"/>
    <w:rsid w:val="003F0C74"/>
    <w:rsid w:val="003F24E2"/>
    <w:rsid w:val="003F2E0E"/>
    <w:rsid w:val="003F3E4C"/>
    <w:rsid w:val="003F45B4"/>
    <w:rsid w:val="003F7ACC"/>
    <w:rsid w:val="00400E6C"/>
    <w:rsid w:val="00402E72"/>
    <w:rsid w:val="00412BE9"/>
    <w:rsid w:val="004134E1"/>
    <w:rsid w:val="00432D75"/>
    <w:rsid w:val="0043541D"/>
    <w:rsid w:val="004373A3"/>
    <w:rsid w:val="004379B1"/>
    <w:rsid w:val="00445096"/>
    <w:rsid w:val="00445F8D"/>
    <w:rsid w:val="00447140"/>
    <w:rsid w:val="004530CB"/>
    <w:rsid w:val="00457394"/>
    <w:rsid w:val="0046146A"/>
    <w:rsid w:val="0046375E"/>
    <w:rsid w:val="00466016"/>
    <w:rsid w:val="00471DB7"/>
    <w:rsid w:val="00472541"/>
    <w:rsid w:val="004807BA"/>
    <w:rsid w:val="0048150C"/>
    <w:rsid w:val="00483495"/>
    <w:rsid w:val="00484A3D"/>
    <w:rsid w:val="0048507B"/>
    <w:rsid w:val="0048734B"/>
    <w:rsid w:val="00487B80"/>
    <w:rsid w:val="00487F99"/>
    <w:rsid w:val="004901BC"/>
    <w:rsid w:val="0049152B"/>
    <w:rsid w:val="00494E59"/>
    <w:rsid w:val="004A4AB4"/>
    <w:rsid w:val="004A4F53"/>
    <w:rsid w:val="004A539E"/>
    <w:rsid w:val="004A54EC"/>
    <w:rsid w:val="004B41A7"/>
    <w:rsid w:val="004B4EF4"/>
    <w:rsid w:val="004B7912"/>
    <w:rsid w:val="004C17AA"/>
    <w:rsid w:val="004C2A89"/>
    <w:rsid w:val="004C3480"/>
    <w:rsid w:val="004C580C"/>
    <w:rsid w:val="004D1866"/>
    <w:rsid w:val="004D4590"/>
    <w:rsid w:val="004D60AA"/>
    <w:rsid w:val="004E076F"/>
    <w:rsid w:val="004E0D49"/>
    <w:rsid w:val="004E1B75"/>
    <w:rsid w:val="004E6748"/>
    <w:rsid w:val="004F0A8F"/>
    <w:rsid w:val="004F3D70"/>
    <w:rsid w:val="004F627C"/>
    <w:rsid w:val="004F647C"/>
    <w:rsid w:val="004F6BF2"/>
    <w:rsid w:val="00502417"/>
    <w:rsid w:val="005063CC"/>
    <w:rsid w:val="0051077A"/>
    <w:rsid w:val="0051081D"/>
    <w:rsid w:val="00510827"/>
    <w:rsid w:val="0051263A"/>
    <w:rsid w:val="00517C27"/>
    <w:rsid w:val="00523017"/>
    <w:rsid w:val="00525D05"/>
    <w:rsid w:val="0052649E"/>
    <w:rsid w:val="00535012"/>
    <w:rsid w:val="00541A28"/>
    <w:rsid w:val="00543DE7"/>
    <w:rsid w:val="00546FBE"/>
    <w:rsid w:val="00552DC0"/>
    <w:rsid w:val="00561A11"/>
    <w:rsid w:val="00563D86"/>
    <w:rsid w:val="00564434"/>
    <w:rsid w:val="005752E2"/>
    <w:rsid w:val="00581410"/>
    <w:rsid w:val="00581ADA"/>
    <w:rsid w:val="005944DA"/>
    <w:rsid w:val="0059582D"/>
    <w:rsid w:val="00595DE0"/>
    <w:rsid w:val="00596ABD"/>
    <w:rsid w:val="005A1F4F"/>
    <w:rsid w:val="005A2578"/>
    <w:rsid w:val="005A4D44"/>
    <w:rsid w:val="005A5448"/>
    <w:rsid w:val="005B367C"/>
    <w:rsid w:val="005B65F6"/>
    <w:rsid w:val="005C0984"/>
    <w:rsid w:val="005C31EA"/>
    <w:rsid w:val="005C4254"/>
    <w:rsid w:val="005C430F"/>
    <w:rsid w:val="005D598A"/>
    <w:rsid w:val="005D5CAD"/>
    <w:rsid w:val="005D5CBC"/>
    <w:rsid w:val="005D74DA"/>
    <w:rsid w:val="005E103B"/>
    <w:rsid w:val="005E1F79"/>
    <w:rsid w:val="005E4125"/>
    <w:rsid w:val="005E70B1"/>
    <w:rsid w:val="005E77AB"/>
    <w:rsid w:val="005F022A"/>
    <w:rsid w:val="005F2FD7"/>
    <w:rsid w:val="005F6862"/>
    <w:rsid w:val="0061078F"/>
    <w:rsid w:val="00614DAB"/>
    <w:rsid w:val="00615C15"/>
    <w:rsid w:val="00616DD2"/>
    <w:rsid w:val="00616F07"/>
    <w:rsid w:val="006213F5"/>
    <w:rsid w:val="00624337"/>
    <w:rsid w:val="00626AA3"/>
    <w:rsid w:val="00632C07"/>
    <w:rsid w:val="00633DD1"/>
    <w:rsid w:val="00635451"/>
    <w:rsid w:val="006371C7"/>
    <w:rsid w:val="00640ABB"/>
    <w:rsid w:val="006410E6"/>
    <w:rsid w:val="00642B86"/>
    <w:rsid w:val="00646C60"/>
    <w:rsid w:val="00657073"/>
    <w:rsid w:val="006601DA"/>
    <w:rsid w:val="006623A5"/>
    <w:rsid w:val="00662EEE"/>
    <w:rsid w:val="0066412F"/>
    <w:rsid w:val="006645CE"/>
    <w:rsid w:val="0066462F"/>
    <w:rsid w:val="00666322"/>
    <w:rsid w:val="006777B6"/>
    <w:rsid w:val="00682C7C"/>
    <w:rsid w:val="006835AD"/>
    <w:rsid w:val="00691D95"/>
    <w:rsid w:val="006A3CE3"/>
    <w:rsid w:val="006A5602"/>
    <w:rsid w:val="006B1E0C"/>
    <w:rsid w:val="006B5EE3"/>
    <w:rsid w:val="006B6CF8"/>
    <w:rsid w:val="006B73A2"/>
    <w:rsid w:val="006C2C1E"/>
    <w:rsid w:val="006C40A1"/>
    <w:rsid w:val="006C414C"/>
    <w:rsid w:val="006C45CC"/>
    <w:rsid w:val="006C5D77"/>
    <w:rsid w:val="006D0486"/>
    <w:rsid w:val="006D0C65"/>
    <w:rsid w:val="006D174B"/>
    <w:rsid w:val="006D2C99"/>
    <w:rsid w:val="006D3E75"/>
    <w:rsid w:val="006D55DD"/>
    <w:rsid w:val="006E0AF3"/>
    <w:rsid w:val="006E156A"/>
    <w:rsid w:val="006E1BF8"/>
    <w:rsid w:val="006E283C"/>
    <w:rsid w:val="006E4851"/>
    <w:rsid w:val="006E609E"/>
    <w:rsid w:val="006E70C5"/>
    <w:rsid w:val="006F0076"/>
    <w:rsid w:val="006F1272"/>
    <w:rsid w:val="006F2B98"/>
    <w:rsid w:val="006F4A8C"/>
    <w:rsid w:val="006F54EA"/>
    <w:rsid w:val="007036CA"/>
    <w:rsid w:val="00703A02"/>
    <w:rsid w:val="00703D32"/>
    <w:rsid w:val="00705023"/>
    <w:rsid w:val="00707F7A"/>
    <w:rsid w:val="007140EF"/>
    <w:rsid w:val="0072143C"/>
    <w:rsid w:val="007214B8"/>
    <w:rsid w:val="007215CA"/>
    <w:rsid w:val="00721A43"/>
    <w:rsid w:val="00721CEE"/>
    <w:rsid w:val="00721E07"/>
    <w:rsid w:val="00727854"/>
    <w:rsid w:val="00727879"/>
    <w:rsid w:val="00730A3C"/>
    <w:rsid w:val="00730E6B"/>
    <w:rsid w:val="007321D1"/>
    <w:rsid w:val="007325B5"/>
    <w:rsid w:val="007409AE"/>
    <w:rsid w:val="007413E7"/>
    <w:rsid w:val="0074331D"/>
    <w:rsid w:val="00746369"/>
    <w:rsid w:val="00752223"/>
    <w:rsid w:val="007530FA"/>
    <w:rsid w:val="00753988"/>
    <w:rsid w:val="00756176"/>
    <w:rsid w:val="00757B23"/>
    <w:rsid w:val="00761F36"/>
    <w:rsid w:val="00766C8E"/>
    <w:rsid w:val="00771E7A"/>
    <w:rsid w:val="00775778"/>
    <w:rsid w:val="00780122"/>
    <w:rsid w:val="00781430"/>
    <w:rsid w:val="00783A89"/>
    <w:rsid w:val="007842C0"/>
    <w:rsid w:val="007878A1"/>
    <w:rsid w:val="0079037D"/>
    <w:rsid w:val="00792F43"/>
    <w:rsid w:val="00793C74"/>
    <w:rsid w:val="00794447"/>
    <w:rsid w:val="00797CA6"/>
    <w:rsid w:val="007A0BE7"/>
    <w:rsid w:val="007A1DE3"/>
    <w:rsid w:val="007A406B"/>
    <w:rsid w:val="007A551A"/>
    <w:rsid w:val="007A6529"/>
    <w:rsid w:val="007A6A6B"/>
    <w:rsid w:val="007B1DF7"/>
    <w:rsid w:val="007B3777"/>
    <w:rsid w:val="007B3A97"/>
    <w:rsid w:val="007B6A69"/>
    <w:rsid w:val="007C1C47"/>
    <w:rsid w:val="007C4AD7"/>
    <w:rsid w:val="007C550F"/>
    <w:rsid w:val="007C7BC4"/>
    <w:rsid w:val="007D24EF"/>
    <w:rsid w:val="007D4A41"/>
    <w:rsid w:val="007D6F89"/>
    <w:rsid w:val="007E0BCB"/>
    <w:rsid w:val="007E0F28"/>
    <w:rsid w:val="007E1287"/>
    <w:rsid w:val="007E1F77"/>
    <w:rsid w:val="007E4518"/>
    <w:rsid w:val="00802744"/>
    <w:rsid w:val="00805138"/>
    <w:rsid w:val="00807E6B"/>
    <w:rsid w:val="0081612E"/>
    <w:rsid w:val="00823FD0"/>
    <w:rsid w:val="0082432F"/>
    <w:rsid w:val="00825DA0"/>
    <w:rsid w:val="0082781C"/>
    <w:rsid w:val="00827B09"/>
    <w:rsid w:val="008364BF"/>
    <w:rsid w:val="00842F10"/>
    <w:rsid w:val="00845C53"/>
    <w:rsid w:val="008469FC"/>
    <w:rsid w:val="0085094D"/>
    <w:rsid w:val="00855C51"/>
    <w:rsid w:val="008566D0"/>
    <w:rsid w:val="0085682A"/>
    <w:rsid w:val="00865D2B"/>
    <w:rsid w:val="0086619D"/>
    <w:rsid w:val="00867770"/>
    <w:rsid w:val="00873ED9"/>
    <w:rsid w:val="00874EF9"/>
    <w:rsid w:val="0087537C"/>
    <w:rsid w:val="00877579"/>
    <w:rsid w:val="0089146C"/>
    <w:rsid w:val="00891C1F"/>
    <w:rsid w:val="00893A33"/>
    <w:rsid w:val="00896378"/>
    <w:rsid w:val="00897112"/>
    <w:rsid w:val="008A2557"/>
    <w:rsid w:val="008A2B6A"/>
    <w:rsid w:val="008B4277"/>
    <w:rsid w:val="008B4B39"/>
    <w:rsid w:val="008B74DA"/>
    <w:rsid w:val="008C10CA"/>
    <w:rsid w:val="008C175F"/>
    <w:rsid w:val="008C382C"/>
    <w:rsid w:val="008D0A6A"/>
    <w:rsid w:val="008D206C"/>
    <w:rsid w:val="008D3305"/>
    <w:rsid w:val="008D43C2"/>
    <w:rsid w:val="008D5777"/>
    <w:rsid w:val="008D61CB"/>
    <w:rsid w:val="008E5362"/>
    <w:rsid w:val="008E7739"/>
    <w:rsid w:val="008F11C6"/>
    <w:rsid w:val="008F136B"/>
    <w:rsid w:val="008F2D5E"/>
    <w:rsid w:val="008F2F02"/>
    <w:rsid w:val="008F5F5A"/>
    <w:rsid w:val="0090042A"/>
    <w:rsid w:val="00904ED8"/>
    <w:rsid w:val="00916533"/>
    <w:rsid w:val="009200C7"/>
    <w:rsid w:val="00926905"/>
    <w:rsid w:val="00931AD5"/>
    <w:rsid w:val="009325D7"/>
    <w:rsid w:val="009342F5"/>
    <w:rsid w:val="009359CE"/>
    <w:rsid w:val="009423C6"/>
    <w:rsid w:val="0094276F"/>
    <w:rsid w:val="009462D0"/>
    <w:rsid w:val="00953F7D"/>
    <w:rsid w:val="009574AD"/>
    <w:rsid w:val="009579A7"/>
    <w:rsid w:val="00964101"/>
    <w:rsid w:val="0096547C"/>
    <w:rsid w:val="00965D56"/>
    <w:rsid w:val="00976D47"/>
    <w:rsid w:val="009802D7"/>
    <w:rsid w:val="00981FB6"/>
    <w:rsid w:val="00982CAE"/>
    <w:rsid w:val="00985F5E"/>
    <w:rsid w:val="00993AA0"/>
    <w:rsid w:val="00996866"/>
    <w:rsid w:val="009A4230"/>
    <w:rsid w:val="009A79AA"/>
    <w:rsid w:val="009B4452"/>
    <w:rsid w:val="009B687B"/>
    <w:rsid w:val="009C0341"/>
    <w:rsid w:val="009C2213"/>
    <w:rsid w:val="009C5539"/>
    <w:rsid w:val="009D12E3"/>
    <w:rsid w:val="009D1BE7"/>
    <w:rsid w:val="009D514B"/>
    <w:rsid w:val="009D647B"/>
    <w:rsid w:val="009D7258"/>
    <w:rsid w:val="009E4AA3"/>
    <w:rsid w:val="009F19CC"/>
    <w:rsid w:val="009F20E1"/>
    <w:rsid w:val="009F3462"/>
    <w:rsid w:val="00A002FF"/>
    <w:rsid w:val="00A01AFC"/>
    <w:rsid w:val="00A03CDF"/>
    <w:rsid w:val="00A07710"/>
    <w:rsid w:val="00A20636"/>
    <w:rsid w:val="00A20BA8"/>
    <w:rsid w:val="00A224A6"/>
    <w:rsid w:val="00A226A3"/>
    <w:rsid w:val="00A22B1D"/>
    <w:rsid w:val="00A233C2"/>
    <w:rsid w:val="00A2490B"/>
    <w:rsid w:val="00A27BFF"/>
    <w:rsid w:val="00A31A4B"/>
    <w:rsid w:val="00A3247E"/>
    <w:rsid w:val="00A33C56"/>
    <w:rsid w:val="00A41208"/>
    <w:rsid w:val="00A45E5F"/>
    <w:rsid w:val="00A500AA"/>
    <w:rsid w:val="00A53338"/>
    <w:rsid w:val="00A5378C"/>
    <w:rsid w:val="00A53E4F"/>
    <w:rsid w:val="00A5658C"/>
    <w:rsid w:val="00A62413"/>
    <w:rsid w:val="00A635A3"/>
    <w:rsid w:val="00A662BC"/>
    <w:rsid w:val="00A66BE7"/>
    <w:rsid w:val="00A76417"/>
    <w:rsid w:val="00A90D17"/>
    <w:rsid w:val="00A91616"/>
    <w:rsid w:val="00A936C6"/>
    <w:rsid w:val="00AA2F36"/>
    <w:rsid w:val="00AB08F3"/>
    <w:rsid w:val="00AB4BB6"/>
    <w:rsid w:val="00AB6A26"/>
    <w:rsid w:val="00AC229A"/>
    <w:rsid w:val="00AC275C"/>
    <w:rsid w:val="00AC57D0"/>
    <w:rsid w:val="00AD01F6"/>
    <w:rsid w:val="00AD0DE1"/>
    <w:rsid w:val="00AD0E40"/>
    <w:rsid w:val="00AD7CBD"/>
    <w:rsid w:val="00AE18A8"/>
    <w:rsid w:val="00AE26BC"/>
    <w:rsid w:val="00AE2D7D"/>
    <w:rsid w:val="00AE3FE1"/>
    <w:rsid w:val="00AF12D7"/>
    <w:rsid w:val="00AF3EF2"/>
    <w:rsid w:val="00AF444A"/>
    <w:rsid w:val="00AF608C"/>
    <w:rsid w:val="00AF6348"/>
    <w:rsid w:val="00AF67A8"/>
    <w:rsid w:val="00AF7C3F"/>
    <w:rsid w:val="00B02045"/>
    <w:rsid w:val="00B10264"/>
    <w:rsid w:val="00B1026D"/>
    <w:rsid w:val="00B106C8"/>
    <w:rsid w:val="00B1185D"/>
    <w:rsid w:val="00B13EC8"/>
    <w:rsid w:val="00B17450"/>
    <w:rsid w:val="00B20C37"/>
    <w:rsid w:val="00B25681"/>
    <w:rsid w:val="00B2703D"/>
    <w:rsid w:val="00B30747"/>
    <w:rsid w:val="00B41643"/>
    <w:rsid w:val="00B42EA5"/>
    <w:rsid w:val="00B468BF"/>
    <w:rsid w:val="00B47A0D"/>
    <w:rsid w:val="00B6537E"/>
    <w:rsid w:val="00B65AA3"/>
    <w:rsid w:val="00B6705D"/>
    <w:rsid w:val="00B67292"/>
    <w:rsid w:val="00B7110E"/>
    <w:rsid w:val="00B8226C"/>
    <w:rsid w:val="00B83A45"/>
    <w:rsid w:val="00B84551"/>
    <w:rsid w:val="00B852B8"/>
    <w:rsid w:val="00B8672E"/>
    <w:rsid w:val="00B86A08"/>
    <w:rsid w:val="00B86AC1"/>
    <w:rsid w:val="00B87E00"/>
    <w:rsid w:val="00B91759"/>
    <w:rsid w:val="00B92B1A"/>
    <w:rsid w:val="00B93C49"/>
    <w:rsid w:val="00B9455D"/>
    <w:rsid w:val="00B94ED3"/>
    <w:rsid w:val="00BA17BF"/>
    <w:rsid w:val="00BA650D"/>
    <w:rsid w:val="00BA6A55"/>
    <w:rsid w:val="00BA73DB"/>
    <w:rsid w:val="00BA7FEA"/>
    <w:rsid w:val="00BB05AA"/>
    <w:rsid w:val="00BB0F36"/>
    <w:rsid w:val="00BC2C31"/>
    <w:rsid w:val="00BC2F54"/>
    <w:rsid w:val="00BC34EE"/>
    <w:rsid w:val="00BE180A"/>
    <w:rsid w:val="00BE7513"/>
    <w:rsid w:val="00BF6DC9"/>
    <w:rsid w:val="00BF6FDF"/>
    <w:rsid w:val="00C05969"/>
    <w:rsid w:val="00C15C5E"/>
    <w:rsid w:val="00C24A2B"/>
    <w:rsid w:val="00C33582"/>
    <w:rsid w:val="00C3433F"/>
    <w:rsid w:val="00C34A10"/>
    <w:rsid w:val="00C435E4"/>
    <w:rsid w:val="00C43F04"/>
    <w:rsid w:val="00C52054"/>
    <w:rsid w:val="00C523E4"/>
    <w:rsid w:val="00C52EB1"/>
    <w:rsid w:val="00C54AC6"/>
    <w:rsid w:val="00C56425"/>
    <w:rsid w:val="00C61C48"/>
    <w:rsid w:val="00C75060"/>
    <w:rsid w:val="00C773B9"/>
    <w:rsid w:val="00C77481"/>
    <w:rsid w:val="00C80EA2"/>
    <w:rsid w:val="00C85A64"/>
    <w:rsid w:val="00C921E8"/>
    <w:rsid w:val="00CA3C6C"/>
    <w:rsid w:val="00CA4183"/>
    <w:rsid w:val="00CA5092"/>
    <w:rsid w:val="00CA5ABA"/>
    <w:rsid w:val="00CA7655"/>
    <w:rsid w:val="00CB1540"/>
    <w:rsid w:val="00CB258D"/>
    <w:rsid w:val="00CC067B"/>
    <w:rsid w:val="00CC312F"/>
    <w:rsid w:val="00CC5E4F"/>
    <w:rsid w:val="00CD6B1C"/>
    <w:rsid w:val="00CD746A"/>
    <w:rsid w:val="00CE0745"/>
    <w:rsid w:val="00CE512E"/>
    <w:rsid w:val="00CE6E4A"/>
    <w:rsid w:val="00CF0E6D"/>
    <w:rsid w:val="00CF291C"/>
    <w:rsid w:val="00CF2F05"/>
    <w:rsid w:val="00CF3803"/>
    <w:rsid w:val="00CF41BA"/>
    <w:rsid w:val="00D0412D"/>
    <w:rsid w:val="00D0786D"/>
    <w:rsid w:val="00D117E3"/>
    <w:rsid w:val="00D12494"/>
    <w:rsid w:val="00D140DF"/>
    <w:rsid w:val="00D22ED3"/>
    <w:rsid w:val="00D23492"/>
    <w:rsid w:val="00D27920"/>
    <w:rsid w:val="00D27BD8"/>
    <w:rsid w:val="00D31DB2"/>
    <w:rsid w:val="00D3337E"/>
    <w:rsid w:val="00D349F2"/>
    <w:rsid w:val="00D34B36"/>
    <w:rsid w:val="00D52B23"/>
    <w:rsid w:val="00D53097"/>
    <w:rsid w:val="00D54AA3"/>
    <w:rsid w:val="00D5580B"/>
    <w:rsid w:val="00D6333C"/>
    <w:rsid w:val="00D67D6E"/>
    <w:rsid w:val="00D713F0"/>
    <w:rsid w:val="00D74039"/>
    <w:rsid w:val="00D759E4"/>
    <w:rsid w:val="00D80822"/>
    <w:rsid w:val="00D82D3C"/>
    <w:rsid w:val="00D8734E"/>
    <w:rsid w:val="00D90310"/>
    <w:rsid w:val="00D92DC7"/>
    <w:rsid w:val="00DA02D3"/>
    <w:rsid w:val="00DA37B4"/>
    <w:rsid w:val="00DB0380"/>
    <w:rsid w:val="00DB1672"/>
    <w:rsid w:val="00DB30B7"/>
    <w:rsid w:val="00DB3937"/>
    <w:rsid w:val="00DB42BF"/>
    <w:rsid w:val="00DB43EA"/>
    <w:rsid w:val="00DB5616"/>
    <w:rsid w:val="00DC0B5A"/>
    <w:rsid w:val="00DC0E12"/>
    <w:rsid w:val="00DD2164"/>
    <w:rsid w:val="00DD4B77"/>
    <w:rsid w:val="00DD72D1"/>
    <w:rsid w:val="00DE7145"/>
    <w:rsid w:val="00DE7C60"/>
    <w:rsid w:val="00E027EE"/>
    <w:rsid w:val="00E056E6"/>
    <w:rsid w:val="00E125D7"/>
    <w:rsid w:val="00E133E3"/>
    <w:rsid w:val="00E23ACF"/>
    <w:rsid w:val="00E27F36"/>
    <w:rsid w:val="00E33B0A"/>
    <w:rsid w:val="00E34D16"/>
    <w:rsid w:val="00E34F2E"/>
    <w:rsid w:val="00E37A3C"/>
    <w:rsid w:val="00E41593"/>
    <w:rsid w:val="00E42EFF"/>
    <w:rsid w:val="00E55A7A"/>
    <w:rsid w:val="00E57600"/>
    <w:rsid w:val="00E57C8C"/>
    <w:rsid w:val="00E67E73"/>
    <w:rsid w:val="00E718EF"/>
    <w:rsid w:val="00E72674"/>
    <w:rsid w:val="00E85110"/>
    <w:rsid w:val="00E902B2"/>
    <w:rsid w:val="00E960E7"/>
    <w:rsid w:val="00E96B9E"/>
    <w:rsid w:val="00EA1489"/>
    <w:rsid w:val="00EA1BC3"/>
    <w:rsid w:val="00EA2569"/>
    <w:rsid w:val="00EA2EBB"/>
    <w:rsid w:val="00EB088F"/>
    <w:rsid w:val="00EB42A8"/>
    <w:rsid w:val="00EB52E7"/>
    <w:rsid w:val="00EB5479"/>
    <w:rsid w:val="00EB72D3"/>
    <w:rsid w:val="00EC1D8A"/>
    <w:rsid w:val="00EC2CCC"/>
    <w:rsid w:val="00ED148A"/>
    <w:rsid w:val="00ED1D52"/>
    <w:rsid w:val="00ED2F1F"/>
    <w:rsid w:val="00ED7DB6"/>
    <w:rsid w:val="00EE3827"/>
    <w:rsid w:val="00EE4080"/>
    <w:rsid w:val="00EE5126"/>
    <w:rsid w:val="00EE5F61"/>
    <w:rsid w:val="00EF3627"/>
    <w:rsid w:val="00EF6784"/>
    <w:rsid w:val="00EF781B"/>
    <w:rsid w:val="00F01D2C"/>
    <w:rsid w:val="00F0517D"/>
    <w:rsid w:val="00F05556"/>
    <w:rsid w:val="00F07ED4"/>
    <w:rsid w:val="00F1382F"/>
    <w:rsid w:val="00F145FF"/>
    <w:rsid w:val="00F17D12"/>
    <w:rsid w:val="00F2325F"/>
    <w:rsid w:val="00F23C0C"/>
    <w:rsid w:val="00F25A82"/>
    <w:rsid w:val="00F27EFA"/>
    <w:rsid w:val="00F33C19"/>
    <w:rsid w:val="00F34299"/>
    <w:rsid w:val="00F353B8"/>
    <w:rsid w:val="00F37C5F"/>
    <w:rsid w:val="00F4431C"/>
    <w:rsid w:val="00F44B03"/>
    <w:rsid w:val="00F44E7C"/>
    <w:rsid w:val="00F46EE2"/>
    <w:rsid w:val="00F550A3"/>
    <w:rsid w:val="00F5677C"/>
    <w:rsid w:val="00F570B7"/>
    <w:rsid w:val="00F5771D"/>
    <w:rsid w:val="00F67691"/>
    <w:rsid w:val="00F73361"/>
    <w:rsid w:val="00F8533F"/>
    <w:rsid w:val="00F854B2"/>
    <w:rsid w:val="00F86DA2"/>
    <w:rsid w:val="00F8705B"/>
    <w:rsid w:val="00F93EC9"/>
    <w:rsid w:val="00FA00A0"/>
    <w:rsid w:val="00FA0736"/>
    <w:rsid w:val="00FA1DC4"/>
    <w:rsid w:val="00FA50A2"/>
    <w:rsid w:val="00FA7D92"/>
    <w:rsid w:val="00FB053C"/>
    <w:rsid w:val="00FB1895"/>
    <w:rsid w:val="00FB2FBD"/>
    <w:rsid w:val="00FB3453"/>
    <w:rsid w:val="00FB7D6C"/>
    <w:rsid w:val="00FC362E"/>
    <w:rsid w:val="00FC4935"/>
    <w:rsid w:val="00FC4A6F"/>
    <w:rsid w:val="00FC6C80"/>
    <w:rsid w:val="00FD0A7A"/>
    <w:rsid w:val="00FD0C32"/>
    <w:rsid w:val="00FE1A85"/>
    <w:rsid w:val="00FE1DC9"/>
    <w:rsid w:val="00FF0136"/>
    <w:rsid w:val="00FF0736"/>
    <w:rsid w:val="00FF1FAE"/>
    <w:rsid w:val="00FF2294"/>
    <w:rsid w:val="00FF2649"/>
    <w:rsid w:val="00FF5B83"/>
    <w:rsid w:val="00FF75A5"/>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36EDC"/>
  <w15:chartTrackingRefBased/>
  <w15:docId w15:val="{19A46114-7F78-45A5-9556-EE46F95F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C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3CE3"/>
    <w:rPr>
      <w:b/>
      <w:bCs/>
    </w:rPr>
  </w:style>
  <w:style w:type="character" w:styleId="Hyperlink">
    <w:name w:val="Hyperlink"/>
    <w:basedOn w:val="DefaultParagraphFont"/>
    <w:uiPriority w:val="99"/>
    <w:unhideWhenUsed/>
    <w:rsid w:val="00AE18A8"/>
    <w:rPr>
      <w:color w:val="0563C1" w:themeColor="hyperlink"/>
      <w:u w:val="single"/>
    </w:rPr>
  </w:style>
  <w:style w:type="character" w:customStyle="1" w:styleId="MeniuneNerezolvat1">
    <w:name w:val="Mențiune Nerezolvat1"/>
    <w:basedOn w:val="DefaultParagraphFont"/>
    <w:uiPriority w:val="99"/>
    <w:semiHidden/>
    <w:unhideWhenUsed/>
    <w:rsid w:val="00AE18A8"/>
    <w:rPr>
      <w:color w:val="605E5C"/>
      <w:shd w:val="clear" w:color="auto" w:fill="E1DFDD"/>
    </w:rPr>
  </w:style>
  <w:style w:type="paragraph" w:styleId="BalloonText">
    <w:name w:val="Balloon Text"/>
    <w:basedOn w:val="Normal"/>
    <w:link w:val="BalloonTextChar"/>
    <w:uiPriority w:val="99"/>
    <w:semiHidden/>
    <w:unhideWhenUsed/>
    <w:rsid w:val="008D6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CB"/>
    <w:rPr>
      <w:rFonts w:ascii="Segoe UI" w:hAnsi="Segoe UI" w:cs="Segoe UI"/>
      <w:sz w:val="18"/>
      <w:szCs w:val="18"/>
      <w:lang w:val="ro-RO"/>
    </w:rPr>
  </w:style>
  <w:style w:type="paragraph" w:styleId="Header">
    <w:name w:val="header"/>
    <w:basedOn w:val="Normal"/>
    <w:link w:val="HeaderChar"/>
    <w:uiPriority w:val="99"/>
    <w:unhideWhenUsed/>
    <w:rsid w:val="00B82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6C"/>
    <w:rPr>
      <w:lang w:val="ro-RO"/>
    </w:rPr>
  </w:style>
  <w:style w:type="paragraph" w:styleId="Footer">
    <w:name w:val="footer"/>
    <w:basedOn w:val="Normal"/>
    <w:link w:val="FooterChar"/>
    <w:uiPriority w:val="99"/>
    <w:unhideWhenUsed/>
    <w:rsid w:val="00B82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6C"/>
    <w:rPr>
      <w:lang w:val="ro-RO"/>
    </w:rPr>
  </w:style>
  <w:style w:type="paragraph" w:customStyle="1" w:styleId="EYDocumentprompts">
    <w:name w:val="EY Document prompts"/>
    <w:basedOn w:val="Normal"/>
    <w:uiPriority w:val="99"/>
    <w:rsid w:val="001454E9"/>
    <w:pPr>
      <w:suppressAutoHyphens/>
      <w:spacing w:before="60" w:after="60" w:line="240" w:lineRule="atLeast"/>
    </w:pPr>
    <w:rPr>
      <w:rFonts w:ascii="Arial" w:eastAsia="Times New Roman" w:hAnsi="Arial" w:cs="Times New Roman"/>
      <w:kern w:val="12"/>
      <w:sz w:val="20"/>
      <w:szCs w:val="24"/>
    </w:rPr>
  </w:style>
  <w:style w:type="paragraph" w:customStyle="1" w:styleId="EYDocumentpromptsbold">
    <w:name w:val="EY Document prompts (bold)"/>
    <w:basedOn w:val="Normal"/>
    <w:uiPriority w:val="99"/>
    <w:rsid w:val="001454E9"/>
    <w:pPr>
      <w:suppressAutoHyphens/>
      <w:spacing w:after="0" w:line="260" w:lineRule="atLeast"/>
    </w:pPr>
    <w:rPr>
      <w:rFonts w:ascii="Arial Bold" w:eastAsia="Times New Roman" w:hAnsi="Arial Bold" w:cs="Times New Roman"/>
      <w:b/>
      <w:kern w:val="12"/>
      <w:sz w:val="20"/>
      <w:szCs w:val="24"/>
    </w:rPr>
  </w:style>
  <w:style w:type="paragraph" w:customStyle="1" w:styleId="EYNormal">
    <w:name w:val="EY Normal"/>
    <w:link w:val="EYNormalChar"/>
    <w:rsid w:val="001454E9"/>
    <w:pPr>
      <w:suppressAutoHyphens/>
      <w:spacing w:after="0" w:line="240" w:lineRule="auto"/>
    </w:pPr>
    <w:rPr>
      <w:rFonts w:ascii="Arial" w:eastAsia="Times New Roman" w:hAnsi="Arial" w:cs="Times New Roman"/>
      <w:kern w:val="12"/>
      <w:szCs w:val="24"/>
      <w:lang w:val="ro-RO"/>
    </w:rPr>
  </w:style>
  <w:style w:type="character" w:customStyle="1" w:styleId="EYNormalChar">
    <w:name w:val="EY Normal Char"/>
    <w:basedOn w:val="DefaultParagraphFont"/>
    <w:link w:val="EYNormal"/>
    <w:rsid w:val="001454E9"/>
    <w:rPr>
      <w:rFonts w:ascii="Arial" w:eastAsia="Times New Roman" w:hAnsi="Arial" w:cs="Times New Roman"/>
      <w:kern w:val="12"/>
      <w:szCs w:val="24"/>
      <w:lang w:val="ro-RO"/>
    </w:rPr>
  </w:style>
  <w:style w:type="character" w:styleId="CommentReference">
    <w:name w:val="annotation reference"/>
    <w:basedOn w:val="DefaultParagraphFont"/>
    <w:uiPriority w:val="99"/>
    <w:semiHidden/>
    <w:unhideWhenUsed/>
    <w:rsid w:val="00635451"/>
    <w:rPr>
      <w:sz w:val="16"/>
      <w:szCs w:val="16"/>
    </w:rPr>
  </w:style>
  <w:style w:type="paragraph" w:styleId="CommentText">
    <w:name w:val="annotation text"/>
    <w:basedOn w:val="Normal"/>
    <w:link w:val="CommentTextChar"/>
    <w:uiPriority w:val="99"/>
    <w:semiHidden/>
    <w:unhideWhenUsed/>
    <w:rsid w:val="00635451"/>
    <w:pPr>
      <w:spacing w:line="240" w:lineRule="auto"/>
    </w:pPr>
    <w:rPr>
      <w:sz w:val="20"/>
      <w:szCs w:val="20"/>
    </w:rPr>
  </w:style>
  <w:style w:type="character" w:customStyle="1" w:styleId="CommentTextChar">
    <w:name w:val="Comment Text Char"/>
    <w:basedOn w:val="DefaultParagraphFont"/>
    <w:link w:val="CommentText"/>
    <w:uiPriority w:val="99"/>
    <w:semiHidden/>
    <w:rsid w:val="00635451"/>
    <w:rPr>
      <w:sz w:val="20"/>
      <w:szCs w:val="20"/>
      <w:lang w:val="ro-RO"/>
    </w:rPr>
  </w:style>
  <w:style w:type="paragraph" w:styleId="CommentSubject">
    <w:name w:val="annotation subject"/>
    <w:basedOn w:val="CommentText"/>
    <w:next w:val="CommentText"/>
    <w:link w:val="CommentSubjectChar"/>
    <w:uiPriority w:val="99"/>
    <w:semiHidden/>
    <w:unhideWhenUsed/>
    <w:rsid w:val="00635451"/>
    <w:rPr>
      <w:b/>
      <w:bCs/>
    </w:rPr>
  </w:style>
  <w:style w:type="character" w:customStyle="1" w:styleId="CommentSubjectChar">
    <w:name w:val="Comment Subject Char"/>
    <w:basedOn w:val="CommentTextChar"/>
    <w:link w:val="CommentSubject"/>
    <w:uiPriority w:val="99"/>
    <w:semiHidden/>
    <w:rsid w:val="00635451"/>
    <w:rPr>
      <w:b/>
      <w:bCs/>
      <w:sz w:val="20"/>
      <w:szCs w:val="20"/>
      <w:lang w:val="ro-RO"/>
    </w:rPr>
  </w:style>
  <w:style w:type="paragraph" w:styleId="ListParagraph">
    <w:name w:val="List Paragraph"/>
    <w:basedOn w:val="Normal"/>
    <w:uiPriority w:val="34"/>
    <w:qFormat/>
    <w:rsid w:val="0090042A"/>
    <w:pPr>
      <w:ind w:left="720"/>
      <w:contextualSpacing/>
    </w:pPr>
  </w:style>
  <w:style w:type="character" w:customStyle="1" w:styleId="l5def1">
    <w:name w:val="l5def1"/>
    <w:basedOn w:val="DefaultParagraphFont"/>
    <w:rsid w:val="009325D7"/>
    <w:rPr>
      <w:rFonts w:ascii="Arial" w:hAnsi="Arial" w:cs="Arial" w:hint="default"/>
      <w:color w:val="000000"/>
      <w:sz w:val="26"/>
      <w:szCs w:val="26"/>
    </w:rPr>
  </w:style>
  <w:style w:type="character" w:customStyle="1" w:styleId="MeniuneNerezolvat2">
    <w:name w:val="Mențiune Nerezolvat2"/>
    <w:basedOn w:val="DefaultParagraphFont"/>
    <w:uiPriority w:val="99"/>
    <w:semiHidden/>
    <w:unhideWhenUsed/>
    <w:rsid w:val="0029352F"/>
    <w:rPr>
      <w:color w:val="605E5C"/>
      <w:shd w:val="clear" w:color="auto" w:fill="E1DFDD"/>
    </w:rPr>
  </w:style>
  <w:style w:type="character" w:customStyle="1" w:styleId="MeniuneNerezolvat3">
    <w:name w:val="Mențiune Nerezolvat3"/>
    <w:basedOn w:val="DefaultParagraphFont"/>
    <w:uiPriority w:val="99"/>
    <w:semiHidden/>
    <w:unhideWhenUsed/>
    <w:rsid w:val="00BA7FEA"/>
    <w:rPr>
      <w:color w:val="605E5C"/>
      <w:shd w:val="clear" w:color="auto" w:fill="E1DFDD"/>
    </w:rPr>
  </w:style>
  <w:style w:type="paragraph" w:styleId="NoSpacing">
    <w:name w:val="No Spacing"/>
    <w:uiPriority w:val="1"/>
    <w:qFormat/>
    <w:rsid w:val="008C382C"/>
    <w:pPr>
      <w:spacing w:after="0" w:line="240" w:lineRule="auto"/>
    </w:pPr>
  </w:style>
  <w:style w:type="paragraph" w:styleId="Revision">
    <w:name w:val="Revision"/>
    <w:hidden/>
    <w:uiPriority w:val="99"/>
    <w:semiHidden/>
    <w:rsid w:val="00D0786D"/>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5904">
      <w:bodyDiv w:val="1"/>
      <w:marLeft w:val="0"/>
      <w:marRight w:val="0"/>
      <w:marTop w:val="0"/>
      <w:marBottom w:val="0"/>
      <w:divBdr>
        <w:top w:val="none" w:sz="0" w:space="0" w:color="auto"/>
        <w:left w:val="none" w:sz="0" w:space="0" w:color="auto"/>
        <w:bottom w:val="none" w:sz="0" w:space="0" w:color="auto"/>
        <w:right w:val="none" w:sz="0" w:space="0" w:color="auto"/>
      </w:divBdr>
    </w:div>
    <w:div w:id="253364761">
      <w:bodyDiv w:val="1"/>
      <w:marLeft w:val="0"/>
      <w:marRight w:val="0"/>
      <w:marTop w:val="0"/>
      <w:marBottom w:val="0"/>
      <w:divBdr>
        <w:top w:val="none" w:sz="0" w:space="0" w:color="auto"/>
        <w:left w:val="none" w:sz="0" w:space="0" w:color="auto"/>
        <w:bottom w:val="none" w:sz="0" w:space="0" w:color="auto"/>
        <w:right w:val="none" w:sz="0" w:space="0" w:color="auto"/>
      </w:divBdr>
    </w:div>
    <w:div w:id="341082105">
      <w:bodyDiv w:val="1"/>
      <w:marLeft w:val="0"/>
      <w:marRight w:val="0"/>
      <w:marTop w:val="0"/>
      <w:marBottom w:val="0"/>
      <w:divBdr>
        <w:top w:val="none" w:sz="0" w:space="0" w:color="auto"/>
        <w:left w:val="none" w:sz="0" w:space="0" w:color="auto"/>
        <w:bottom w:val="none" w:sz="0" w:space="0" w:color="auto"/>
        <w:right w:val="none" w:sz="0" w:space="0" w:color="auto"/>
      </w:divBdr>
    </w:div>
    <w:div w:id="365644430">
      <w:bodyDiv w:val="1"/>
      <w:marLeft w:val="0"/>
      <w:marRight w:val="0"/>
      <w:marTop w:val="0"/>
      <w:marBottom w:val="0"/>
      <w:divBdr>
        <w:top w:val="none" w:sz="0" w:space="0" w:color="auto"/>
        <w:left w:val="none" w:sz="0" w:space="0" w:color="auto"/>
        <w:bottom w:val="none" w:sz="0" w:space="0" w:color="auto"/>
        <w:right w:val="none" w:sz="0" w:space="0" w:color="auto"/>
      </w:divBdr>
    </w:div>
    <w:div w:id="476070532">
      <w:bodyDiv w:val="1"/>
      <w:marLeft w:val="0"/>
      <w:marRight w:val="0"/>
      <w:marTop w:val="0"/>
      <w:marBottom w:val="0"/>
      <w:divBdr>
        <w:top w:val="none" w:sz="0" w:space="0" w:color="auto"/>
        <w:left w:val="none" w:sz="0" w:space="0" w:color="auto"/>
        <w:bottom w:val="none" w:sz="0" w:space="0" w:color="auto"/>
        <w:right w:val="none" w:sz="0" w:space="0" w:color="auto"/>
      </w:divBdr>
    </w:div>
    <w:div w:id="634213695">
      <w:bodyDiv w:val="1"/>
      <w:marLeft w:val="0"/>
      <w:marRight w:val="0"/>
      <w:marTop w:val="0"/>
      <w:marBottom w:val="0"/>
      <w:divBdr>
        <w:top w:val="none" w:sz="0" w:space="0" w:color="auto"/>
        <w:left w:val="none" w:sz="0" w:space="0" w:color="auto"/>
        <w:bottom w:val="none" w:sz="0" w:space="0" w:color="auto"/>
        <w:right w:val="none" w:sz="0" w:space="0" w:color="auto"/>
      </w:divBdr>
    </w:div>
    <w:div w:id="635068051">
      <w:bodyDiv w:val="1"/>
      <w:marLeft w:val="0"/>
      <w:marRight w:val="0"/>
      <w:marTop w:val="0"/>
      <w:marBottom w:val="0"/>
      <w:divBdr>
        <w:top w:val="none" w:sz="0" w:space="0" w:color="auto"/>
        <w:left w:val="none" w:sz="0" w:space="0" w:color="auto"/>
        <w:bottom w:val="none" w:sz="0" w:space="0" w:color="auto"/>
        <w:right w:val="none" w:sz="0" w:space="0" w:color="auto"/>
      </w:divBdr>
    </w:div>
    <w:div w:id="760642801">
      <w:bodyDiv w:val="1"/>
      <w:marLeft w:val="0"/>
      <w:marRight w:val="0"/>
      <w:marTop w:val="0"/>
      <w:marBottom w:val="0"/>
      <w:divBdr>
        <w:top w:val="none" w:sz="0" w:space="0" w:color="auto"/>
        <w:left w:val="none" w:sz="0" w:space="0" w:color="auto"/>
        <w:bottom w:val="none" w:sz="0" w:space="0" w:color="auto"/>
        <w:right w:val="none" w:sz="0" w:space="0" w:color="auto"/>
      </w:divBdr>
    </w:div>
    <w:div w:id="1033119696">
      <w:bodyDiv w:val="1"/>
      <w:marLeft w:val="0"/>
      <w:marRight w:val="0"/>
      <w:marTop w:val="0"/>
      <w:marBottom w:val="0"/>
      <w:divBdr>
        <w:top w:val="none" w:sz="0" w:space="0" w:color="auto"/>
        <w:left w:val="none" w:sz="0" w:space="0" w:color="auto"/>
        <w:bottom w:val="none" w:sz="0" w:space="0" w:color="auto"/>
        <w:right w:val="none" w:sz="0" w:space="0" w:color="auto"/>
      </w:divBdr>
    </w:div>
    <w:div w:id="1118915135">
      <w:bodyDiv w:val="1"/>
      <w:marLeft w:val="0"/>
      <w:marRight w:val="0"/>
      <w:marTop w:val="0"/>
      <w:marBottom w:val="0"/>
      <w:divBdr>
        <w:top w:val="none" w:sz="0" w:space="0" w:color="auto"/>
        <w:left w:val="none" w:sz="0" w:space="0" w:color="auto"/>
        <w:bottom w:val="none" w:sz="0" w:space="0" w:color="auto"/>
        <w:right w:val="none" w:sz="0" w:space="0" w:color="auto"/>
      </w:divBdr>
    </w:div>
    <w:div w:id="1350569389">
      <w:bodyDiv w:val="1"/>
      <w:marLeft w:val="0"/>
      <w:marRight w:val="0"/>
      <w:marTop w:val="0"/>
      <w:marBottom w:val="0"/>
      <w:divBdr>
        <w:top w:val="none" w:sz="0" w:space="0" w:color="auto"/>
        <w:left w:val="none" w:sz="0" w:space="0" w:color="auto"/>
        <w:bottom w:val="none" w:sz="0" w:space="0" w:color="auto"/>
        <w:right w:val="none" w:sz="0" w:space="0" w:color="auto"/>
      </w:divBdr>
    </w:div>
    <w:div w:id="19519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hutanu@ro.e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7B3375ADE7B145B727CE53945A5103" ma:contentTypeVersion="12" ma:contentTypeDescription="Create a new document." ma:contentTypeScope="" ma:versionID="7800d688a1e0da9b017a9e92a3929594">
  <xsd:schema xmlns:xsd="http://www.w3.org/2001/XMLSchema" xmlns:xs="http://www.w3.org/2001/XMLSchema" xmlns:p="http://schemas.microsoft.com/office/2006/metadata/properties" xmlns:ns3="f1e18d37-c620-44ba-9d72-66cfb802e4b6" xmlns:ns4="7147059b-6506-48fa-808d-311b086f56ce" targetNamespace="http://schemas.microsoft.com/office/2006/metadata/properties" ma:root="true" ma:fieldsID="c9a45f51f2500130a4782af34a216d4a" ns3:_="" ns4:_="">
    <xsd:import namespace="f1e18d37-c620-44ba-9d72-66cfb802e4b6"/>
    <xsd:import namespace="7147059b-6506-48fa-808d-311b086f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18d37-c620-44ba-9d72-66cfb802e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7059b-6506-48fa-808d-311b086f56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07C68C-E17A-4306-8C9C-B50DF1A1B5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576996-AB33-4C68-8855-B25938F0DE2B}">
  <ds:schemaRefs>
    <ds:schemaRef ds:uri="http://schemas.openxmlformats.org/officeDocument/2006/bibliography"/>
  </ds:schemaRefs>
</ds:datastoreItem>
</file>

<file path=customXml/itemProps3.xml><?xml version="1.0" encoding="utf-8"?>
<ds:datastoreItem xmlns:ds="http://schemas.openxmlformats.org/officeDocument/2006/customXml" ds:itemID="{78522EFD-71B8-4FC6-AE2B-B5E7B0EFD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18d37-c620-44ba-9d72-66cfb802e4b6"/>
    <ds:schemaRef ds:uri="7147059b-6506-48fa-808d-311b086f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DE99C7-A9C5-430F-B5AD-D4063C9930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1572</Words>
  <Characters>8967</Characters>
  <Application>Microsoft Office Word</Application>
  <DocSecurity>0</DocSecurity>
  <Lines>74</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Nedelescu</dc:creator>
  <cp:keywords/>
  <dc:description/>
  <cp:lastModifiedBy>Felicia Moga</cp:lastModifiedBy>
  <cp:revision>5</cp:revision>
  <dcterms:created xsi:type="dcterms:W3CDTF">2022-02-08T22:40:00Z</dcterms:created>
  <dcterms:modified xsi:type="dcterms:W3CDTF">2022-02-09T07:18:00Z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0x010100617B3375ADE7B145B727CE53945A5103</vt:lpwstr>
  </property>
</Properties>
</file>