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6C42" w14:textId="374AFB38" w:rsidR="00280188" w:rsidRDefault="00123B7B" w:rsidP="00BC4489">
      <w:pPr>
        <w:rPr>
          <w:rFonts w:ascii="Arial" w:hAnsi="Arial" w:cs="Arial"/>
          <w:b/>
          <w:sz w:val="28"/>
          <w:szCs w:val="28"/>
          <w:lang w:val="ro-RO"/>
        </w:rPr>
      </w:pPr>
      <w:bookmarkStart w:id="0" w:name="_Hlk93598907"/>
      <w:r w:rsidRPr="00123B7B">
        <w:rPr>
          <w:rFonts w:ascii="Arial" w:hAnsi="Arial" w:cs="Arial"/>
          <w:b/>
          <w:sz w:val="28"/>
          <w:szCs w:val="28"/>
          <w:lang w:val="ro-RO"/>
        </w:rPr>
        <w:t>România a ratificat Convenția multilaterală – ce aduce nou pentru companii?</w:t>
      </w:r>
    </w:p>
    <w:p w14:paraId="52945B33" w14:textId="77777777" w:rsidR="00866D8C" w:rsidRDefault="00866D8C" w:rsidP="00781F16">
      <w:pPr>
        <w:jc w:val="both"/>
        <w:rPr>
          <w:rFonts w:ascii="Arial" w:hAnsi="Arial" w:cs="Arial"/>
          <w:b/>
          <w:sz w:val="28"/>
          <w:szCs w:val="28"/>
          <w:lang w:val="ro-RO"/>
        </w:rPr>
      </w:pPr>
    </w:p>
    <w:p w14:paraId="4B6AC544" w14:textId="21BB2A34" w:rsidR="00866D8C" w:rsidRDefault="00866D8C" w:rsidP="00781F16">
      <w:pPr>
        <w:jc w:val="both"/>
        <w:rPr>
          <w:rFonts w:ascii="Arial" w:hAnsi="Arial" w:cs="Arial"/>
          <w:i/>
          <w:iCs/>
          <w:lang w:val="ro-RO"/>
        </w:rPr>
      </w:pPr>
      <w:r w:rsidRPr="00660241">
        <w:rPr>
          <w:rFonts w:ascii="Arial" w:hAnsi="Arial" w:cs="Arial"/>
          <w:i/>
          <w:iCs/>
          <w:lang w:val="ro-RO"/>
        </w:rPr>
        <w:t>Autori: Alex Slujitoru, Răzvan Brătilă</w:t>
      </w:r>
      <w:r>
        <w:rPr>
          <w:rFonts w:ascii="Arial" w:hAnsi="Arial" w:cs="Arial"/>
          <w:i/>
          <w:iCs/>
          <w:lang w:val="ro-RO"/>
        </w:rPr>
        <w:t>, Avocați, Băncilă, Diaconu și Asociații SPRL</w:t>
      </w:r>
    </w:p>
    <w:p w14:paraId="244ED38D" w14:textId="77777777" w:rsidR="00453B1A" w:rsidRPr="00866D8C" w:rsidRDefault="00453B1A" w:rsidP="00781F16">
      <w:pPr>
        <w:jc w:val="both"/>
        <w:rPr>
          <w:rFonts w:ascii="Arial" w:hAnsi="Arial" w:cs="Arial"/>
          <w:i/>
          <w:iCs/>
          <w:lang w:val="ro-RO"/>
        </w:rPr>
      </w:pPr>
    </w:p>
    <w:bookmarkEnd w:id="0"/>
    <w:p w14:paraId="2095FA1E" w14:textId="2641E625" w:rsidR="00FF23B4" w:rsidRPr="00FF23B4" w:rsidRDefault="00FF23B4" w:rsidP="00FF23B4">
      <w:pPr>
        <w:rPr>
          <w:rFonts w:ascii="Arial" w:hAnsi="Arial" w:cs="Arial"/>
          <w:lang w:val="ro-RO"/>
        </w:rPr>
      </w:pPr>
      <w:r w:rsidRPr="00FF23B4">
        <w:rPr>
          <w:rFonts w:ascii="Arial" w:hAnsi="Arial" w:cs="Arial"/>
          <w:lang w:val="ro-RO"/>
        </w:rPr>
        <w:t xml:space="preserve">La patru ani și jumătate de la semnarea ei la Paris, România ratifică și ea </w:t>
      </w:r>
      <w:r w:rsidRPr="00FF23B4">
        <w:rPr>
          <w:rFonts w:ascii="Arial" w:hAnsi="Arial" w:cs="Arial"/>
          <w:i/>
          <w:iCs/>
          <w:lang w:val="ro-RO"/>
        </w:rPr>
        <w:t>Convenția multilaterală pentru implementarea în cadrul tratatelor fiscale a măsurilor legate de prevenirea erodării bazei impozabile și a transferului profiturilor</w:t>
      </w:r>
      <w:r w:rsidRPr="00FF23B4">
        <w:rPr>
          <w:rFonts w:ascii="Arial" w:hAnsi="Arial" w:cs="Arial"/>
          <w:lang w:val="ro-RO"/>
        </w:rPr>
        <w:t xml:space="preserve">. Documentul acționează ca un protocol ce vizează modificarea mai multor tratate fiscale, încercându-se, astfel, crearea unui mecanism general și eficace prin care să poată fi evitate renegocierile bilaterale ale tratatelor de </w:t>
      </w:r>
      <w:r w:rsidR="00C40801">
        <w:rPr>
          <w:rFonts w:ascii="Arial" w:hAnsi="Arial" w:cs="Arial"/>
          <w:lang w:val="ro-RO"/>
        </w:rPr>
        <w:t>evitare</w:t>
      </w:r>
      <w:r w:rsidRPr="00FF23B4">
        <w:rPr>
          <w:rFonts w:ascii="Arial" w:hAnsi="Arial" w:cs="Arial"/>
          <w:lang w:val="ro-RO"/>
        </w:rPr>
        <w:t xml:space="preserve"> </w:t>
      </w:r>
      <w:r w:rsidR="00C40801">
        <w:rPr>
          <w:rFonts w:ascii="Arial" w:hAnsi="Arial" w:cs="Arial"/>
          <w:lang w:val="ro-RO"/>
        </w:rPr>
        <w:t xml:space="preserve">a </w:t>
      </w:r>
      <w:r w:rsidRPr="00FF23B4">
        <w:rPr>
          <w:rFonts w:ascii="Arial" w:hAnsi="Arial" w:cs="Arial"/>
          <w:lang w:val="ro-RO"/>
        </w:rPr>
        <w:t xml:space="preserve">dublei-impuneri. Dar, total inexplicabil, România a ales să nu aplice prevederile Convenției referitoare la arbitraj, cele la care contribuabilii pot apela atunci când consideră că au fost impozitați contrar prevederilor unui tratat de către jurisdicțiile contractante, iar autoritățile fiscale statale nu reușesc să ajungă la un acord amiabil în acest sens. Ce efecte ar putea avea această implementare incompletă asupra companiilor? </w:t>
      </w:r>
    </w:p>
    <w:p w14:paraId="34A919BB" w14:textId="7DED9CF3" w:rsidR="00FF23B4" w:rsidRPr="00FF23B4" w:rsidRDefault="00FF23B4" w:rsidP="00FF23B4">
      <w:pPr>
        <w:rPr>
          <w:rFonts w:ascii="Arial" w:hAnsi="Arial" w:cs="Arial"/>
          <w:lang w:val="ro-RO"/>
        </w:rPr>
      </w:pPr>
      <w:r w:rsidRPr="00FF23B4">
        <w:rPr>
          <w:rFonts w:ascii="Arial" w:hAnsi="Arial" w:cs="Arial"/>
          <w:lang w:val="ro-RO"/>
        </w:rPr>
        <w:t>Convenția multilaterală modifică tratatele fiscale încheiate de două sau mai multe țări și introduce mai multe prevederi și măsuri ce împiedică transferarea în mod artificial a profiturilor către alte jurisdicții. Astfel, deși Convenția multilaterală reprezintă un pas în direcția corectă pentru eliminarea problemei erodării bazei impozabile și a transferurilor profiturilor, oferind mai multă previzibilitate și claritate legislativă, modalitatea în care România a ratificat-o nu aduce</w:t>
      </w:r>
      <w:r w:rsidR="005F0AC1">
        <w:rPr>
          <w:rFonts w:ascii="Arial" w:hAnsi="Arial" w:cs="Arial"/>
          <w:lang w:val="ro-RO"/>
        </w:rPr>
        <w:t>,</w:t>
      </w:r>
      <w:r w:rsidRPr="00FF23B4">
        <w:rPr>
          <w:rFonts w:ascii="Arial" w:hAnsi="Arial" w:cs="Arial"/>
          <w:lang w:val="ro-RO"/>
        </w:rPr>
        <w:t xml:space="preserve"> totuși</w:t>
      </w:r>
      <w:r w:rsidR="005F0AC1">
        <w:rPr>
          <w:rFonts w:ascii="Arial" w:hAnsi="Arial" w:cs="Arial"/>
          <w:lang w:val="ro-RO"/>
        </w:rPr>
        <w:t>,</w:t>
      </w:r>
      <w:r w:rsidRPr="00FF23B4">
        <w:rPr>
          <w:rFonts w:ascii="Arial" w:hAnsi="Arial" w:cs="Arial"/>
          <w:lang w:val="ro-RO"/>
        </w:rPr>
        <w:t xml:space="preserve"> beneficiile la care contribuabilii sperau, mai ales cele care ar fi ținut de eliminarea efectivă a dublei-impuneri (companiile sunt impozitate în două state pentru același venit). </w:t>
      </w:r>
    </w:p>
    <w:p w14:paraId="564CE3B0" w14:textId="77777777" w:rsidR="00FF23B4" w:rsidRPr="00FF23B4" w:rsidRDefault="00FF23B4" w:rsidP="00FF23B4">
      <w:pPr>
        <w:rPr>
          <w:rFonts w:ascii="Arial" w:hAnsi="Arial" w:cs="Arial"/>
          <w:lang w:val="ro-RO"/>
        </w:rPr>
      </w:pPr>
      <w:r w:rsidRPr="00FF23B4">
        <w:rPr>
          <w:rFonts w:ascii="Arial" w:hAnsi="Arial" w:cs="Arial"/>
          <w:lang w:val="ro-RO"/>
        </w:rPr>
        <w:t>Mai exact, România va implementa în cadrul tratatelor sale fiscale vizate dispoziții precum: modificarea preambulului din acordurile fiscale, pentru a include în mod expres că, deși scopul tratatelor este evitarea dublei-impuneri, aplicarea acestora nu poate în niciun caz crea oportunități de neimpozitare, impozitare redusă sau de evitare a impozitării. Astfel, se încearcă eliminarea posibilității unui contribuabil de a se sustrage de la plata impozitelor prin interpretarea coroborată a unor neconcordanțe din legislația fiscală sau prin exploatarea unor prevederi lacunare sau neclare dintr-un anumit tratat.</w:t>
      </w:r>
    </w:p>
    <w:p w14:paraId="5EC7BF16" w14:textId="77777777" w:rsidR="00FF23B4" w:rsidRPr="00FF23B4" w:rsidRDefault="00FF23B4" w:rsidP="00FF23B4">
      <w:pPr>
        <w:rPr>
          <w:rFonts w:ascii="Arial" w:hAnsi="Arial" w:cs="Arial"/>
          <w:lang w:val="ro-RO"/>
        </w:rPr>
      </w:pPr>
      <w:r w:rsidRPr="00FF23B4">
        <w:rPr>
          <w:rFonts w:ascii="Arial" w:eastAsia="Calibri" w:hAnsi="Arial" w:cs="Arial"/>
          <w:lang w:val="ro-RO"/>
        </w:rPr>
        <w:t xml:space="preserve">Odată cu aplicarea Convenției, vor fi </w:t>
      </w:r>
      <w:r w:rsidRPr="00FF23B4">
        <w:rPr>
          <w:rFonts w:ascii="Arial" w:hAnsi="Arial" w:cs="Arial"/>
          <w:lang w:val="ro-RO"/>
        </w:rPr>
        <w:t xml:space="preserve">eliminate și beneficiile acordate contribuabilului printr-un tratat fiscal de eliminare a dublei-impuneri, dacă se va constata că scopul sau unul dintre scopurile principale pentru încheierea oricărui aranjament sau tranzacții de către contribuabil a fost tocmai obținerea respectivelor beneficii. Măsura este menită să descurajeze tranzacțiile artificiale efectuate în vederea obținerii unei impozitări mai reduse într-un alt stat, în condițiile în care activitatea generatoare de profit a fost efectuată în celălalt stat. </w:t>
      </w:r>
    </w:p>
    <w:p w14:paraId="2FFA9B44" w14:textId="77777777" w:rsidR="00FF23B4" w:rsidRPr="00FF23B4" w:rsidRDefault="00FF23B4" w:rsidP="00FF23B4">
      <w:pPr>
        <w:rPr>
          <w:rFonts w:ascii="Arial" w:hAnsi="Arial" w:cs="Arial"/>
          <w:lang w:val="ro-RO"/>
        </w:rPr>
      </w:pPr>
      <w:r w:rsidRPr="00FF23B4">
        <w:rPr>
          <w:rFonts w:ascii="Arial" w:hAnsi="Arial" w:cs="Arial"/>
          <w:lang w:val="ro-RO"/>
        </w:rPr>
        <w:t xml:space="preserve">Rămâne de văzut, desigur, care va fi modalitatea practică prin care autoritățile fiscale vor analiza în ce măsură o anumită tranzacție a fost efectuată cu scopul de a beneficia de o scutire sau diminuare de impozit, dacă luăm în considerare controversele deja existente în materie fiscală privind criteriile luate în considerare de organele fiscale când reîncadrează sau nu iau în considerare o tranzacție în conformitate cu art. 11 din Codul Fiscal. </w:t>
      </w:r>
    </w:p>
    <w:p w14:paraId="3C23453D" w14:textId="77777777" w:rsidR="00FF23B4" w:rsidRPr="00FF23B4" w:rsidRDefault="00FF23B4" w:rsidP="00FF23B4">
      <w:pPr>
        <w:rPr>
          <w:rFonts w:ascii="Arial" w:hAnsi="Arial" w:cs="Arial"/>
          <w:lang w:val="ro-RO"/>
        </w:rPr>
      </w:pPr>
      <w:r w:rsidRPr="00FF23B4">
        <w:rPr>
          <w:rFonts w:ascii="Arial" w:hAnsi="Arial" w:cs="Arial"/>
          <w:lang w:val="ro-RO"/>
        </w:rPr>
        <w:t xml:space="preserve">Tot prin Convenție vor fi introduse reguli referitoare la impozitarea dividendelor plătite de o societate rezidentă. Spre exemplu, se prevede că scutirea de impozit sau impozitarea redusă a dividendelor va </w:t>
      </w:r>
      <w:r w:rsidRPr="00FF23B4">
        <w:rPr>
          <w:rFonts w:ascii="Arial" w:hAnsi="Arial" w:cs="Arial"/>
          <w:lang w:val="ro-RO"/>
        </w:rPr>
        <w:lastRenderedPageBreak/>
        <w:t>avea loc doar în măsura în care beneficiarul deține capitalul generator de dividende pentru o perioadă mai mare de 365 de zile, eliminându-se posibilitatea de a efectua transferuri de capital între societăți afiliate, cu scopul de a beneficia de scutirea de impozit pe dividende într-un anumit stat.</w:t>
      </w:r>
    </w:p>
    <w:p w14:paraId="3023FE37" w14:textId="703CE9D5" w:rsidR="00FF23B4" w:rsidRPr="00FF23B4" w:rsidRDefault="00FF23B4" w:rsidP="00FF23B4">
      <w:pPr>
        <w:rPr>
          <w:rFonts w:ascii="Arial" w:hAnsi="Arial" w:cs="Arial"/>
          <w:lang w:val="ro-RO"/>
        </w:rPr>
      </w:pPr>
      <w:r w:rsidRPr="00FF23B4">
        <w:rPr>
          <w:rFonts w:ascii="Arial" w:hAnsi="Arial" w:cs="Arial"/>
          <w:lang w:val="ro-RO"/>
        </w:rPr>
        <w:t xml:space="preserve">Dar alegerea României de a nu opta la acest moment </w:t>
      </w:r>
      <w:r w:rsidR="00866D8C">
        <w:rPr>
          <w:rFonts w:ascii="Arial" w:hAnsi="Arial" w:cs="Arial"/>
          <w:lang w:val="ro-RO"/>
        </w:rPr>
        <w:t xml:space="preserve">pentru </w:t>
      </w:r>
      <w:r w:rsidRPr="00FF23B4">
        <w:rPr>
          <w:rFonts w:ascii="Arial" w:hAnsi="Arial" w:cs="Arial"/>
          <w:lang w:val="ro-RO"/>
        </w:rPr>
        <w:t>soluționarea divergențelor dintre state prin arbitraj (respectiv, printr-un tribunal arbitral compus din persoane fizice cu experiență în aspecte de drept fiscal internațional)</w:t>
      </w:r>
      <w:r w:rsidR="002C7B7D">
        <w:rPr>
          <w:rFonts w:ascii="Arial" w:hAnsi="Arial" w:cs="Arial"/>
          <w:lang w:val="ro-RO"/>
        </w:rPr>
        <w:t xml:space="preserve"> </w:t>
      </w:r>
      <w:r w:rsidRPr="00FF23B4">
        <w:rPr>
          <w:rFonts w:ascii="Arial" w:hAnsi="Arial" w:cs="Arial"/>
          <w:lang w:val="ro-RO"/>
        </w:rPr>
        <w:t xml:space="preserve">creează un dezavantaj considerabil contribuabililor care se văd, astfel, lipsiți de un instrument esențial pentru constrângerea statelor în aplicarea unui tratament fiscal corect și coerent. Practic, fără arbitraj, dacă jurisdicțiile contractante nu reușesc să se înțeleagă amiabil (aspect extrem de prezent în practică), nu există nicio modalitate de deblocare a situației, iar contribuabilul este singurul prejudiciat. </w:t>
      </w:r>
    </w:p>
    <w:p w14:paraId="6FDC61A3" w14:textId="3F1B4BD5" w:rsidR="00FF23B4" w:rsidRPr="00FF23B4" w:rsidRDefault="00FF23B4" w:rsidP="00FF23B4">
      <w:pPr>
        <w:rPr>
          <w:rFonts w:ascii="Arial" w:hAnsi="Arial" w:cs="Arial"/>
          <w:lang w:val="ro-RO"/>
        </w:rPr>
      </w:pPr>
      <w:r w:rsidRPr="00FF23B4">
        <w:rPr>
          <w:rFonts w:ascii="Arial" w:hAnsi="Arial" w:cs="Arial"/>
          <w:lang w:val="ro-RO"/>
        </w:rPr>
        <w:t>Intrarea în vigoare a Convenției pentru România va avea loc în termen de trei luni de la data la care Ministerul Finanțelor va depune la OCDE instrumentul de ratificare al Convenției. Nici Legea nr. 5/2022, prin care a fost ratificată Convenția, și nici Ministerul Finanțelor nu au indicat când va avea loc depunerea efectivă a instrumentului de ratificare. Potrivit informațiilor OCDE, acest lucru nu s-a întâmplat până la ora actuală.</w:t>
      </w:r>
    </w:p>
    <w:p w14:paraId="749AAC5D" w14:textId="77777777" w:rsidR="00FF23B4" w:rsidRPr="00FF23B4" w:rsidRDefault="00FF23B4" w:rsidP="00FF23B4">
      <w:pPr>
        <w:rPr>
          <w:rFonts w:ascii="Arial" w:hAnsi="Arial" w:cs="Arial"/>
          <w:lang w:val="ro-RO"/>
        </w:rPr>
      </w:pPr>
      <w:r w:rsidRPr="00FF23B4">
        <w:rPr>
          <w:rFonts w:ascii="Arial" w:hAnsi="Arial" w:cs="Arial"/>
          <w:lang w:val="ro-RO"/>
        </w:rPr>
        <w:t>Ulterior intrării în vigoare a Convenției, este esențial ca societățile cu prezență multinațională care vor să aplice dispozițiile din anumite tratate fiscale să le coroboreze singuri (sau cu ajutorul consultanților) cu prevederile Convenției multilaterale, deoarece România nu are obligația, ci doar dreptul de a dezvolta versiuni consolidate ale tratatelor, astfel cum au fost modificate.</w:t>
      </w:r>
    </w:p>
    <w:p w14:paraId="309096CD" w14:textId="697919E9" w:rsidR="00FF23B4" w:rsidRPr="00FF23B4" w:rsidRDefault="00FF23B4" w:rsidP="00FF23B4">
      <w:pPr>
        <w:rPr>
          <w:rFonts w:ascii="Arial" w:hAnsi="Arial" w:cs="Arial"/>
          <w:lang w:val="ro-RO"/>
        </w:rPr>
      </w:pPr>
      <w:r w:rsidRPr="00FF23B4">
        <w:rPr>
          <w:rFonts w:ascii="Arial" w:hAnsi="Arial" w:cs="Arial"/>
          <w:lang w:val="ro-RO"/>
        </w:rPr>
        <w:t xml:space="preserve">Nu putem spera decât </w:t>
      </w:r>
      <w:r w:rsidR="001E5262">
        <w:rPr>
          <w:rFonts w:ascii="Arial" w:hAnsi="Arial" w:cs="Arial"/>
          <w:lang w:val="ro-RO"/>
        </w:rPr>
        <w:t xml:space="preserve">la </w:t>
      </w:r>
      <w:r w:rsidRPr="00FF23B4">
        <w:rPr>
          <w:rFonts w:ascii="Arial" w:hAnsi="Arial" w:cs="Arial"/>
          <w:lang w:val="ro-RO"/>
        </w:rPr>
        <w:t>faptul că România, dându-și seama într-un final că dubla-impunere reprezintă în continuare o problemă reală pentru contribuabilii cu prezență multinațională și, în consecință, și pentru statul român</w:t>
      </w:r>
      <w:r w:rsidR="00E36CD1">
        <w:rPr>
          <w:rFonts w:ascii="Arial" w:hAnsi="Arial" w:cs="Arial"/>
          <w:lang w:val="ro-RO"/>
        </w:rPr>
        <w:t>,</w:t>
      </w:r>
      <w:r w:rsidRPr="00FF23B4">
        <w:rPr>
          <w:rFonts w:ascii="Arial" w:hAnsi="Arial" w:cs="Arial"/>
          <w:lang w:val="ro-RO"/>
        </w:rPr>
        <w:t xml:space="preserve"> prin diminuarea investițiilor străine, v</w:t>
      </w:r>
      <w:r w:rsidR="00015B81">
        <w:rPr>
          <w:rFonts w:ascii="Arial" w:hAnsi="Arial" w:cs="Arial"/>
          <w:lang w:val="ro-RO"/>
        </w:rPr>
        <w:t xml:space="preserve">a </w:t>
      </w:r>
      <w:r w:rsidRPr="00FF23B4">
        <w:rPr>
          <w:rFonts w:ascii="Arial" w:hAnsi="Arial" w:cs="Arial"/>
          <w:lang w:val="ro-RO"/>
        </w:rPr>
        <w:t>adopta și celelalte instrumente utile prevăzute de Convenție pentru eliminarea dublei-impuneri, cum ar fi procedura arbitrajului.</w:t>
      </w:r>
    </w:p>
    <w:p w14:paraId="15352407" w14:textId="77777777" w:rsidR="007B4F57" w:rsidRPr="00FF23B4" w:rsidRDefault="007B4F57" w:rsidP="00B03F38">
      <w:pPr>
        <w:spacing w:after="0" w:line="290" w:lineRule="atLeast"/>
        <w:jc w:val="both"/>
        <w:rPr>
          <w:rFonts w:ascii="Arial" w:hAnsi="Arial" w:cs="Arial"/>
          <w:sz w:val="20"/>
          <w:szCs w:val="20"/>
          <w:lang w:val="ro-RO"/>
        </w:rPr>
      </w:pPr>
    </w:p>
    <w:p w14:paraId="640370EC" w14:textId="73100817" w:rsidR="0060090D" w:rsidRPr="00FF23B4" w:rsidRDefault="0060090D" w:rsidP="00830BAD">
      <w:pPr>
        <w:spacing w:after="0" w:line="240" w:lineRule="auto"/>
        <w:jc w:val="center"/>
        <w:rPr>
          <w:rFonts w:ascii="Arial" w:hAnsi="Arial" w:cs="Arial"/>
          <w:lang w:val="ro-RO"/>
        </w:rPr>
      </w:pPr>
      <w:r w:rsidRPr="00FF23B4">
        <w:rPr>
          <w:rFonts w:ascii="Arial" w:hAnsi="Arial" w:cs="Arial"/>
          <w:lang w:val="ro-RO"/>
        </w:rPr>
        <w:t>***</w:t>
      </w:r>
    </w:p>
    <w:p w14:paraId="031614D9" w14:textId="77777777" w:rsidR="005B0429" w:rsidRPr="00D65897" w:rsidRDefault="005B0429" w:rsidP="005B0429">
      <w:pPr>
        <w:spacing w:after="0" w:line="240" w:lineRule="auto"/>
        <w:rPr>
          <w:rFonts w:ascii="Arial" w:hAnsi="Arial" w:cs="Arial"/>
          <w:b/>
          <w:bCs/>
          <w:sz w:val="18"/>
          <w:szCs w:val="18"/>
          <w:lang w:val="ro-RO"/>
        </w:rPr>
      </w:pPr>
      <w:r w:rsidRPr="00D65897">
        <w:rPr>
          <w:rFonts w:ascii="Arial" w:hAnsi="Arial" w:cs="Arial"/>
          <w:b/>
          <w:bCs/>
          <w:sz w:val="18"/>
          <w:szCs w:val="18"/>
          <w:lang w:val="ro-RO"/>
        </w:rPr>
        <w:t>Despre Băncilă, Diaconu şi Asociații SPRL</w:t>
      </w:r>
    </w:p>
    <w:p w14:paraId="012A7665" w14:textId="77777777" w:rsidR="005B0429" w:rsidRPr="00D65897" w:rsidRDefault="005B0429" w:rsidP="005B0429">
      <w:pPr>
        <w:spacing w:after="0" w:line="240" w:lineRule="auto"/>
        <w:rPr>
          <w:rFonts w:ascii="Arial" w:hAnsi="Arial" w:cs="Arial"/>
          <w:sz w:val="18"/>
          <w:szCs w:val="18"/>
          <w:lang w:val="ro-RO"/>
        </w:rPr>
      </w:pPr>
    </w:p>
    <w:p w14:paraId="550C9E97" w14:textId="77777777" w:rsidR="005B0429" w:rsidRPr="00D65897" w:rsidRDefault="005B0429" w:rsidP="005B0429">
      <w:pPr>
        <w:spacing w:after="0" w:line="240" w:lineRule="auto"/>
        <w:rPr>
          <w:rFonts w:ascii="Arial" w:hAnsi="Arial" w:cs="Arial"/>
          <w:sz w:val="18"/>
          <w:szCs w:val="18"/>
          <w:lang w:val="ro-RO"/>
        </w:rPr>
      </w:pPr>
      <w:r w:rsidRPr="00D65897">
        <w:rPr>
          <w:rFonts w:ascii="Arial" w:hAnsi="Arial" w:cs="Arial"/>
          <w:sz w:val="18"/>
          <w:szCs w:val="18"/>
          <w:lang w:val="ro-RO"/>
        </w:rPr>
        <w:t>Băncilă, Diaconu și Asociații SPRL (denumită anterior Radu și Asociații SPRL) este o societate de avocați ce oferă servicii juridice complete, care includ atât servicii de consultanță juridică cât și asistență și reprezentare în fața instanțelor de judecată, având o practică importantă de controverse și dispute fiscale.</w:t>
      </w:r>
    </w:p>
    <w:p w14:paraId="602CE389" w14:textId="77777777" w:rsidR="005B0429" w:rsidRPr="00D65897" w:rsidRDefault="005B0429" w:rsidP="005B0429">
      <w:pPr>
        <w:spacing w:after="0" w:line="240" w:lineRule="auto"/>
        <w:rPr>
          <w:rFonts w:ascii="Arial" w:hAnsi="Arial" w:cs="Arial"/>
          <w:sz w:val="18"/>
          <w:szCs w:val="18"/>
          <w:lang w:val="ro-RO"/>
        </w:rPr>
      </w:pPr>
    </w:p>
    <w:p w14:paraId="3521DFF4" w14:textId="77777777" w:rsidR="005B0429" w:rsidRPr="00D65897" w:rsidRDefault="005B0429" w:rsidP="005B0429">
      <w:pPr>
        <w:spacing w:after="0" w:line="240" w:lineRule="auto"/>
        <w:rPr>
          <w:rFonts w:ascii="Arial" w:hAnsi="Arial" w:cs="Arial"/>
          <w:sz w:val="18"/>
          <w:szCs w:val="18"/>
          <w:lang w:val="ro-RO"/>
        </w:rPr>
      </w:pPr>
      <w:r w:rsidRPr="00D65897">
        <w:rPr>
          <w:rFonts w:ascii="Arial" w:hAnsi="Arial" w:cs="Arial"/>
          <w:sz w:val="18"/>
          <w:szCs w:val="18"/>
          <w:lang w:val="ro-RO"/>
        </w:rPr>
        <w:t>Băncilă, Diaconu și Asociații SPRL este membră a societăților din grupul Ernst &amp; Young Global Ltd și face parte din rețeaua globală EY Law, aflată în plină expansiune, în cadrul căreia lucrează peste 2400 de avocați în mai mult de 90 de jurisdicții.</w:t>
      </w:r>
    </w:p>
    <w:p w14:paraId="6F995DAB" w14:textId="77777777" w:rsidR="005B0429" w:rsidRPr="00D65897" w:rsidRDefault="005B0429" w:rsidP="005B0429">
      <w:pPr>
        <w:spacing w:after="0" w:line="240" w:lineRule="auto"/>
        <w:rPr>
          <w:rFonts w:ascii="Arial" w:hAnsi="Arial" w:cs="Arial"/>
          <w:sz w:val="18"/>
          <w:szCs w:val="18"/>
          <w:lang w:val="ro-RO"/>
        </w:rPr>
      </w:pPr>
    </w:p>
    <w:p w14:paraId="69AB54A4" w14:textId="1B359E43" w:rsidR="005B0429" w:rsidRPr="00D65897" w:rsidRDefault="005B0429" w:rsidP="005B0429">
      <w:pPr>
        <w:spacing w:after="0" w:line="240" w:lineRule="auto"/>
        <w:rPr>
          <w:rFonts w:ascii="Arial" w:hAnsi="Arial" w:cs="Arial"/>
          <w:sz w:val="18"/>
          <w:szCs w:val="18"/>
          <w:lang w:val="ro-RO"/>
        </w:rPr>
      </w:pPr>
      <w:r w:rsidRPr="00D65897">
        <w:rPr>
          <w:rFonts w:ascii="Arial" w:hAnsi="Arial" w:cs="Arial"/>
          <w:sz w:val="18"/>
          <w:szCs w:val="18"/>
          <w:lang w:val="ro-RO"/>
        </w:rPr>
        <w:t xml:space="preserve">Experiența </w:t>
      </w:r>
      <w:r w:rsidR="00646421">
        <w:rPr>
          <w:rFonts w:ascii="Arial" w:hAnsi="Arial" w:cs="Arial"/>
          <w:sz w:val="18"/>
          <w:szCs w:val="18"/>
          <w:lang w:val="ro-RO"/>
        </w:rPr>
        <w:t>lor</w:t>
      </w:r>
      <w:r w:rsidRPr="00D65897">
        <w:rPr>
          <w:rFonts w:ascii="Arial" w:hAnsi="Arial" w:cs="Arial"/>
          <w:sz w:val="18"/>
          <w:szCs w:val="18"/>
          <w:lang w:val="ro-RO"/>
        </w:rPr>
        <w:t xml:space="preserve"> a fost recunoscută de piață și de publicații internaționale.</w:t>
      </w:r>
    </w:p>
    <w:p w14:paraId="6CDB0A97" w14:textId="77777777" w:rsidR="005B0429" w:rsidRPr="00D65897" w:rsidRDefault="005B0429" w:rsidP="005B0429">
      <w:pPr>
        <w:spacing w:after="0" w:line="240" w:lineRule="auto"/>
        <w:rPr>
          <w:rFonts w:ascii="Arial" w:hAnsi="Arial" w:cs="Arial"/>
          <w:sz w:val="18"/>
          <w:szCs w:val="18"/>
          <w:lang w:val="ro-RO"/>
        </w:rPr>
      </w:pPr>
    </w:p>
    <w:p w14:paraId="2A323C17" w14:textId="1B4D1FBF" w:rsidR="005B0429" w:rsidRPr="00D65897" w:rsidRDefault="005B0429" w:rsidP="005B0429">
      <w:pPr>
        <w:spacing w:after="0" w:line="240" w:lineRule="auto"/>
        <w:rPr>
          <w:rFonts w:ascii="Arial" w:hAnsi="Arial" w:cs="Arial"/>
          <w:sz w:val="18"/>
          <w:szCs w:val="18"/>
          <w:lang w:val="ro-RO"/>
        </w:rPr>
      </w:pPr>
      <w:r w:rsidRPr="00D65897">
        <w:rPr>
          <w:rFonts w:ascii="Arial" w:hAnsi="Arial" w:cs="Arial"/>
          <w:sz w:val="18"/>
          <w:szCs w:val="18"/>
          <w:lang w:val="ro-RO"/>
        </w:rPr>
        <w:t xml:space="preserve">Chambers Global 2019 a recunoscut practica </w:t>
      </w:r>
      <w:r w:rsidR="00A1405D">
        <w:rPr>
          <w:rFonts w:ascii="Arial" w:hAnsi="Arial" w:cs="Arial"/>
          <w:sz w:val="18"/>
          <w:szCs w:val="18"/>
          <w:lang w:val="ro-RO"/>
        </w:rPr>
        <w:t>lor</w:t>
      </w:r>
      <w:r w:rsidRPr="00D65897">
        <w:rPr>
          <w:rFonts w:ascii="Arial" w:hAnsi="Arial" w:cs="Arial"/>
          <w:sz w:val="18"/>
          <w:szCs w:val="18"/>
          <w:lang w:val="ro-RO"/>
        </w:rPr>
        <w:t xml:space="preserve"> de Corporate/M&amp;A în timp ce Chambers Europe 2019, 2020 și 2021 au plasat practica </w:t>
      </w:r>
      <w:r w:rsidR="00A1405D">
        <w:rPr>
          <w:rFonts w:ascii="Arial" w:hAnsi="Arial" w:cs="Arial"/>
          <w:sz w:val="18"/>
          <w:szCs w:val="18"/>
          <w:lang w:val="ro-RO"/>
        </w:rPr>
        <w:t>lor</w:t>
      </w:r>
      <w:r w:rsidRPr="00D65897">
        <w:rPr>
          <w:rFonts w:ascii="Arial" w:hAnsi="Arial" w:cs="Arial"/>
          <w:sz w:val="18"/>
          <w:szCs w:val="18"/>
          <w:lang w:val="ro-RO"/>
        </w:rPr>
        <w:t xml:space="preserve"> de Controverse și Dispute Fiscale pe banda 1. Totodată, The Legal 500 Europe, Middle East and Africa 2019, 2020 și 2021 au premiat practica </w:t>
      </w:r>
      <w:r w:rsidR="00A1405D">
        <w:rPr>
          <w:rFonts w:ascii="Arial" w:hAnsi="Arial" w:cs="Arial"/>
          <w:sz w:val="18"/>
          <w:szCs w:val="18"/>
          <w:lang w:val="ro-RO"/>
        </w:rPr>
        <w:t>lor</w:t>
      </w:r>
      <w:r w:rsidRPr="00D65897">
        <w:rPr>
          <w:rFonts w:ascii="Arial" w:hAnsi="Arial" w:cs="Arial"/>
          <w:sz w:val="18"/>
          <w:szCs w:val="18"/>
          <w:lang w:val="ro-RO"/>
        </w:rPr>
        <w:t xml:space="preserve"> de Drept Comercial, Drept Societar și M&amp;A, edițiile 2020 și 2021 plasând practica de Controverse și Dispute Fiscale pe poziția 1.</w:t>
      </w:r>
    </w:p>
    <w:p w14:paraId="1186E0FE" w14:textId="1AFD764C" w:rsidR="00062681" w:rsidRPr="00A05DC8" w:rsidRDefault="00062681" w:rsidP="009E3C66">
      <w:pPr>
        <w:spacing w:after="0" w:line="240" w:lineRule="auto"/>
        <w:rPr>
          <w:rFonts w:ascii="Arial" w:hAnsi="Arial" w:cs="Arial"/>
          <w:sz w:val="18"/>
          <w:szCs w:val="18"/>
          <w:lang w:val="fr-FR"/>
        </w:rPr>
      </w:pPr>
    </w:p>
    <w:sectPr w:rsidR="00062681" w:rsidRPr="00A05DC8" w:rsidSect="006B533F">
      <w:headerReference w:type="default" r:id="rId11"/>
      <w:pgSz w:w="12240" w:h="15840"/>
      <w:pgMar w:top="0"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8265" w14:textId="77777777" w:rsidR="003357F0" w:rsidRDefault="003357F0" w:rsidP="00A05E84">
      <w:pPr>
        <w:spacing w:after="0" w:line="240" w:lineRule="auto"/>
      </w:pPr>
      <w:r>
        <w:separator/>
      </w:r>
    </w:p>
  </w:endnote>
  <w:endnote w:type="continuationSeparator" w:id="0">
    <w:p w14:paraId="7DAEC3A0" w14:textId="77777777" w:rsidR="003357F0" w:rsidRDefault="003357F0" w:rsidP="00A0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D2F8" w14:textId="77777777" w:rsidR="003357F0" w:rsidRDefault="003357F0" w:rsidP="00A05E84">
      <w:pPr>
        <w:spacing w:after="0" w:line="240" w:lineRule="auto"/>
      </w:pPr>
      <w:r>
        <w:separator/>
      </w:r>
    </w:p>
  </w:footnote>
  <w:footnote w:type="continuationSeparator" w:id="0">
    <w:p w14:paraId="7D105727" w14:textId="77777777" w:rsidR="003357F0" w:rsidRDefault="003357F0" w:rsidP="00A05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D000" w14:textId="42E5E139" w:rsidR="00A05E84" w:rsidRDefault="00A05E84">
    <w:pPr>
      <w:pStyle w:val="Header"/>
    </w:pPr>
    <w:r>
      <w:rPr>
        <w:rFonts w:ascii="Times New Roman" w:hAnsi="Times New Roman"/>
        <w:noProof/>
        <w:sz w:val="24"/>
        <w:lang w:val="ro-RO" w:eastAsia="ro-RO"/>
      </w:rPr>
      <mc:AlternateContent>
        <mc:Choice Requires="wps">
          <w:drawing>
            <wp:anchor distT="0" distB="0" distL="114300" distR="114300" simplePos="0" relativeHeight="251659264" behindDoc="0" locked="1" layoutInCell="1" allowOverlap="1" wp14:anchorId="77C601BE" wp14:editId="023DC18D">
              <wp:simplePos x="0" y="0"/>
              <wp:positionH relativeFrom="page">
                <wp:posOffset>3610610</wp:posOffset>
              </wp:positionH>
              <wp:positionV relativeFrom="page">
                <wp:posOffset>377190</wp:posOffset>
              </wp:positionV>
              <wp:extent cx="3962400" cy="571500"/>
              <wp:effectExtent l="0" t="0" r="0" b="0"/>
              <wp:wrapSquare wrapText="bothSides"/>
              <wp:docPr id="10" name="Casetă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142"/>
                            <w:gridCol w:w="2835"/>
                          </w:tblGrid>
                          <w:tr w:rsidR="00A05E84" w14:paraId="49DFFA5E" w14:textId="77777777">
                            <w:tc>
                              <w:tcPr>
                                <w:tcW w:w="3119" w:type="dxa"/>
                                <w:hideMark/>
                              </w:tcPr>
                              <w:p w14:paraId="5AB2ABCA" w14:textId="314A47F0" w:rsidR="00A05E84" w:rsidRDefault="00AF3369">
                                <w:pPr>
                                  <w:pStyle w:val="EYBusinessaddress"/>
                                  <w:rPr>
                                    <w:color w:val="auto"/>
                                    <w:lang w:val="ro-RO"/>
                                  </w:rPr>
                                </w:pPr>
                                <w:r>
                                  <w:rPr>
                                    <w:color w:val="auto"/>
                                    <w:lang w:val="ro-RO"/>
                                  </w:rPr>
                                  <w:t>Băncilă, Diaconu</w:t>
                                </w:r>
                                <w:r w:rsidR="00A05E84">
                                  <w:rPr>
                                    <w:color w:val="auto"/>
                                    <w:lang w:val="ro-RO"/>
                                  </w:rPr>
                                  <w:t xml:space="preserve"> si Asociații SPRL</w:t>
                                </w:r>
                              </w:p>
                              <w:p w14:paraId="137541E5" w14:textId="77777777" w:rsidR="00A05E84" w:rsidRDefault="00A05E84">
                                <w:pPr>
                                  <w:pStyle w:val="EYBusinessaddress"/>
                                  <w:rPr>
                                    <w:color w:val="auto"/>
                                    <w:lang w:val="ro-RO"/>
                                  </w:rPr>
                                </w:pPr>
                                <w:r>
                                  <w:rPr>
                                    <w:color w:val="auto"/>
                                    <w:lang w:val="ro-RO"/>
                                  </w:rPr>
                                  <w:t>Bucharest Tower Center Building, 22</w:t>
                                </w:r>
                                <w:r>
                                  <w:rPr>
                                    <w:color w:val="auto"/>
                                    <w:vertAlign w:val="superscript"/>
                                    <w:lang w:val="ro-RO"/>
                                  </w:rPr>
                                  <w:t>nd</w:t>
                                </w:r>
                                <w:r>
                                  <w:rPr>
                                    <w:color w:val="auto"/>
                                    <w:lang w:val="ro-RO"/>
                                  </w:rPr>
                                  <w:t xml:space="preserve"> Floor</w:t>
                                </w:r>
                              </w:p>
                              <w:p w14:paraId="146DBC0B" w14:textId="77777777" w:rsidR="00A05E84" w:rsidRDefault="00A05E84">
                                <w:pPr>
                                  <w:pStyle w:val="EYBusinessaddress"/>
                                  <w:rPr>
                                    <w:color w:val="auto"/>
                                    <w:lang w:val="ro-RO"/>
                                  </w:rPr>
                                </w:pPr>
                                <w:r>
                                  <w:rPr>
                                    <w:color w:val="auto"/>
                                    <w:lang w:val="ro-RO"/>
                                  </w:rPr>
                                  <w:t>15-17 Ion Mihalache Blvd., Sector 1</w:t>
                                </w:r>
                              </w:p>
                              <w:p w14:paraId="50D3C145" w14:textId="77777777" w:rsidR="00A05E84" w:rsidRDefault="00A05E84">
                                <w:pPr>
                                  <w:pStyle w:val="EYBusinessaddress"/>
                                  <w:rPr>
                                    <w:color w:val="auto"/>
                                    <w:lang w:val="ro-RO"/>
                                  </w:rPr>
                                </w:pPr>
                                <w:r>
                                  <w:rPr>
                                    <w:color w:val="auto"/>
                                    <w:lang w:val="ro-RO"/>
                                  </w:rPr>
                                  <w:t>011171 Bucharest, Romania</w:t>
                                </w:r>
                              </w:p>
                            </w:tc>
                            <w:tc>
                              <w:tcPr>
                                <w:tcW w:w="142" w:type="dxa"/>
                              </w:tcPr>
                              <w:p w14:paraId="66AA54A6" w14:textId="77777777" w:rsidR="00A05E84" w:rsidRDefault="00A05E84">
                                <w:pPr>
                                  <w:pStyle w:val="EYBusinessaddress"/>
                                  <w:rPr>
                                    <w:color w:val="auto"/>
                                    <w:lang w:val="ro-RO"/>
                                  </w:rPr>
                                </w:pPr>
                              </w:p>
                            </w:tc>
                            <w:tc>
                              <w:tcPr>
                                <w:tcW w:w="2835" w:type="dxa"/>
                                <w:hideMark/>
                              </w:tcPr>
                              <w:p w14:paraId="2F7E4351" w14:textId="77777777" w:rsidR="00A05E84" w:rsidRDefault="00A05E84">
                                <w:pPr>
                                  <w:pStyle w:val="EYBusinessaddress"/>
                                  <w:rPr>
                                    <w:color w:val="auto"/>
                                    <w:lang w:val="ro-RO"/>
                                  </w:rPr>
                                </w:pPr>
                                <w:r>
                                  <w:rPr>
                                    <w:color w:val="auto"/>
                                    <w:lang w:val="ro-RO"/>
                                  </w:rPr>
                                  <w:t>Tel:  +40 21 402 4000</w:t>
                                </w:r>
                              </w:p>
                              <w:p w14:paraId="19E93A31" w14:textId="77777777" w:rsidR="00A05E84" w:rsidRDefault="00A05E84">
                                <w:pPr>
                                  <w:pStyle w:val="EYBusinessaddress"/>
                                  <w:rPr>
                                    <w:color w:val="auto"/>
                                    <w:lang w:val="ro-RO"/>
                                  </w:rPr>
                                </w:pPr>
                                <w:r>
                                  <w:rPr>
                                    <w:color w:val="auto"/>
                                    <w:lang w:val="ro-RO"/>
                                  </w:rPr>
                                  <w:t>Fax: +40 21 310 6987</w:t>
                                </w:r>
                              </w:p>
                              <w:p w14:paraId="236A3362" w14:textId="77777777" w:rsidR="00A05E84" w:rsidRDefault="00A05E84">
                                <w:pPr>
                                  <w:pStyle w:val="EYBusinessaddress"/>
                                  <w:rPr>
                                    <w:color w:val="auto"/>
                                    <w:lang w:val="ro-RO"/>
                                  </w:rPr>
                                </w:pPr>
                                <w:r>
                                  <w:rPr>
                                    <w:color w:val="auto"/>
                                    <w:lang w:val="ro-RO"/>
                                  </w:rPr>
                                  <w:t>E-mail: office@ra-law.ro</w:t>
                                </w:r>
                              </w:p>
                              <w:p w14:paraId="3C41F850" w14:textId="77777777" w:rsidR="00A05E84" w:rsidRDefault="00A05E84">
                                <w:pPr>
                                  <w:pStyle w:val="EYBusinessaddress"/>
                                  <w:rPr>
                                    <w:color w:val="auto"/>
                                    <w:lang w:val="ro-RO"/>
                                  </w:rPr>
                                </w:pPr>
                                <w:r>
                                  <w:rPr>
                                    <w:color w:val="auto"/>
                                    <w:lang w:val="ro-RO"/>
                                  </w:rPr>
                                  <w:t>www.</w:t>
                                </w:r>
                                <w:hyperlink r:id="rId1" w:history="1">
                                  <w:r>
                                    <w:rPr>
                                      <w:rStyle w:val="Hyperlink"/>
                                      <w:lang w:val="ro-RO"/>
                                    </w:rPr>
                                    <w:t>ra</w:t>
                                  </w:r>
                                </w:hyperlink>
                                <w:r>
                                  <w:rPr>
                                    <w:rStyle w:val="Hyperlink"/>
                                    <w:lang w:val="ro-RO"/>
                                  </w:rPr>
                                  <w:t>-law.ro</w:t>
                                </w:r>
                                <w:r>
                                  <w:rPr>
                                    <w:color w:val="auto"/>
                                    <w:lang w:val="ro-RO"/>
                                  </w:rPr>
                                  <w:t xml:space="preserve"> </w:t>
                                </w:r>
                              </w:p>
                            </w:tc>
                          </w:tr>
                        </w:tbl>
                        <w:p w14:paraId="3094B1CE" w14:textId="77777777" w:rsidR="00A05E84" w:rsidRDefault="00A05E84" w:rsidP="00A05E84">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C601BE" id="_x0000_t202" coordsize="21600,21600" o:spt="202" path="m,l,21600r21600,l21600,xe">
              <v:stroke joinstyle="miter"/>
              <v:path gradientshapeok="t" o:connecttype="rect"/>
            </v:shapetype>
            <v:shape id="Casetă text 10" o:spid="_x0000_s1026" type="#_x0000_t202" style="position:absolute;margin-left:284.3pt;margin-top:29.7pt;width:312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142"/>
                      <w:gridCol w:w="2835"/>
                    </w:tblGrid>
                    <w:tr w:rsidR="00A05E84" w14:paraId="49DFFA5E" w14:textId="77777777">
                      <w:tc>
                        <w:tcPr>
                          <w:tcW w:w="3119" w:type="dxa"/>
                          <w:hideMark/>
                        </w:tcPr>
                        <w:p w14:paraId="5AB2ABCA" w14:textId="314A47F0" w:rsidR="00A05E84" w:rsidRDefault="00AF3369">
                          <w:pPr>
                            <w:pStyle w:val="EYBusinessaddress"/>
                            <w:rPr>
                              <w:color w:val="auto"/>
                              <w:lang w:val="ro-RO"/>
                            </w:rPr>
                          </w:pPr>
                          <w:r>
                            <w:rPr>
                              <w:color w:val="auto"/>
                              <w:lang w:val="ro-RO"/>
                            </w:rPr>
                            <w:t>Băncilă, Diaconu</w:t>
                          </w:r>
                          <w:r w:rsidR="00A05E84">
                            <w:rPr>
                              <w:color w:val="auto"/>
                              <w:lang w:val="ro-RO"/>
                            </w:rPr>
                            <w:t xml:space="preserve"> si Asociații SPRL</w:t>
                          </w:r>
                        </w:p>
                        <w:p w14:paraId="137541E5" w14:textId="77777777" w:rsidR="00A05E84" w:rsidRDefault="00A05E84">
                          <w:pPr>
                            <w:pStyle w:val="EYBusinessaddress"/>
                            <w:rPr>
                              <w:color w:val="auto"/>
                              <w:lang w:val="ro-RO"/>
                            </w:rPr>
                          </w:pPr>
                          <w:r>
                            <w:rPr>
                              <w:color w:val="auto"/>
                              <w:lang w:val="ro-RO"/>
                            </w:rPr>
                            <w:t>Bucharest Tower Center Building, 22</w:t>
                          </w:r>
                          <w:r>
                            <w:rPr>
                              <w:color w:val="auto"/>
                              <w:vertAlign w:val="superscript"/>
                              <w:lang w:val="ro-RO"/>
                            </w:rPr>
                            <w:t>nd</w:t>
                          </w:r>
                          <w:r>
                            <w:rPr>
                              <w:color w:val="auto"/>
                              <w:lang w:val="ro-RO"/>
                            </w:rPr>
                            <w:t xml:space="preserve"> Floor</w:t>
                          </w:r>
                        </w:p>
                        <w:p w14:paraId="146DBC0B" w14:textId="77777777" w:rsidR="00A05E84" w:rsidRDefault="00A05E84">
                          <w:pPr>
                            <w:pStyle w:val="EYBusinessaddress"/>
                            <w:rPr>
                              <w:color w:val="auto"/>
                              <w:lang w:val="ro-RO"/>
                            </w:rPr>
                          </w:pPr>
                          <w:r>
                            <w:rPr>
                              <w:color w:val="auto"/>
                              <w:lang w:val="ro-RO"/>
                            </w:rPr>
                            <w:t>15-17 Ion Mihalache Blvd., Sector 1</w:t>
                          </w:r>
                        </w:p>
                        <w:p w14:paraId="50D3C145" w14:textId="77777777" w:rsidR="00A05E84" w:rsidRDefault="00A05E84">
                          <w:pPr>
                            <w:pStyle w:val="EYBusinessaddress"/>
                            <w:rPr>
                              <w:color w:val="auto"/>
                              <w:lang w:val="ro-RO"/>
                            </w:rPr>
                          </w:pPr>
                          <w:r>
                            <w:rPr>
                              <w:color w:val="auto"/>
                              <w:lang w:val="ro-RO"/>
                            </w:rPr>
                            <w:t>011171 Bucharest, Romania</w:t>
                          </w:r>
                        </w:p>
                      </w:tc>
                      <w:tc>
                        <w:tcPr>
                          <w:tcW w:w="142" w:type="dxa"/>
                        </w:tcPr>
                        <w:p w14:paraId="66AA54A6" w14:textId="77777777" w:rsidR="00A05E84" w:rsidRDefault="00A05E84">
                          <w:pPr>
                            <w:pStyle w:val="EYBusinessaddress"/>
                            <w:rPr>
                              <w:color w:val="auto"/>
                              <w:lang w:val="ro-RO"/>
                            </w:rPr>
                          </w:pPr>
                        </w:p>
                      </w:tc>
                      <w:tc>
                        <w:tcPr>
                          <w:tcW w:w="2835" w:type="dxa"/>
                          <w:hideMark/>
                        </w:tcPr>
                        <w:p w14:paraId="2F7E4351" w14:textId="77777777" w:rsidR="00A05E84" w:rsidRDefault="00A05E84">
                          <w:pPr>
                            <w:pStyle w:val="EYBusinessaddress"/>
                            <w:rPr>
                              <w:color w:val="auto"/>
                              <w:lang w:val="ro-RO"/>
                            </w:rPr>
                          </w:pPr>
                          <w:r>
                            <w:rPr>
                              <w:color w:val="auto"/>
                              <w:lang w:val="ro-RO"/>
                            </w:rPr>
                            <w:t>Tel:  +40 21 402 4000</w:t>
                          </w:r>
                        </w:p>
                        <w:p w14:paraId="19E93A31" w14:textId="77777777" w:rsidR="00A05E84" w:rsidRDefault="00A05E84">
                          <w:pPr>
                            <w:pStyle w:val="EYBusinessaddress"/>
                            <w:rPr>
                              <w:color w:val="auto"/>
                              <w:lang w:val="ro-RO"/>
                            </w:rPr>
                          </w:pPr>
                          <w:r>
                            <w:rPr>
                              <w:color w:val="auto"/>
                              <w:lang w:val="ro-RO"/>
                            </w:rPr>
                            <w:t>Fax: +40 21 310 6987</w:t>
                          </w:r>
                        </w:p>
                        <w:p w14:paraId="236A3362" w14:textId="77777777" w:rsidR="00A05E84" w:rsidRDefault="00A05E84">
                          <w:pPr>
                            <w:pStyle w:val="EYBusinessaddress"/>
                            <w:rPr>
                              <w:color w:val="auto"/>
                              <w:lang w:val="ro-RO"/>
                            </w:rPr>
                          </w:pPr>
                          <w:r>
                            <w:rPr>
                              <w:color w:val="auto"/>
                              <w:lang w:val="ro-RO"/>
                            </w:rPr>
                            <w:t>E-mail: office@ra-law.ro</w:t>
                          </w:r>
                        </w:p>
                        <w:p w14:paraId="3C41F850" w14:textId="77777777" w:rsidR="00A05E84" w:rsidRDefault="00A05E84">
                          <w:pPr>
                            <w:pStyle w:val="EYBusinessaddress"/>
                            <w:rPr>
                              <w:color w:val="auto"/>
                              <w:lang w:val="ro-RO"/>
                            </w:rPr>
                          </w:pPr>
                          <w:r>
                            <w:rPr>
                              <w:color w:val="auto"/>
                              <w:lang w:val="ro-RO"/>
                            </w:rPr>
                            <w:t>www.</w:t>
                          </w:r>
                          <w:hyperlink r:id="rId2" w:history="1">
                            <w:r>
                              <w:rPr>
                                <w:rStyle w:val="Hyperlink"/>
                                <w:lang w:val="ro-RO"/>
                              </w:rPr>
                              <w:t>ra</w:t>
                            </w:r>
                          </w:hyperlink>
                          <w:r>
                            <w:rPr>
                              <w:rStyle w:val="Hyperlink"/>
                              <w:lang w:val="ro-RO"/>
                            </w:rPr>
                            <w:t>-law.ro</w:t>
                          </w:r>
                          <w:r>
                            <w:rPr>
                              <w:color w:val="auto"/>
                              <w:lang w:val="ro-RO"/>
                            </w:rPr>
                            <w:t xml:space="preserve"> </w:t>
                          </w:r>
                        </w:p>
                      </w:tc>
                    </w:tr>
                  </w:tbl>
                  <w:p w14:paraId="3094B1CE" w14:textId="77777777" w:rsidR="00A05E84" w:rsidRDefault="00A05E84" w:rsidP="00A05E84">
                    <w:pPr>
                      <w:pStyle w:val="EYBusinessaddress"/>
                    </w:pPr>
                  </w:p>
                </w:txbxContent>
              </v:textbox>
              <w10:wrap type="square" anchorx="page" anchory="page"/>
              <w10:anchorlock/>
            </v:shape>
          </w:pict>
        </mc:Fallback>
      </mc:AlternateContent>
    </w:r>
    <w:r w:rsidR="00AF3369">
      <w:rPr>
        <w:noProof/>
      </w:rPr>
      <w:drawing>
        <wp:inline distT="0" distB="0" distL="0" distR="0" wp14:anchorId="71A87851" wp14:editId="008BAB04">
          <wp:extent cx="2240280" cy="623878"/>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2472" cy="6356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026"/>
    <w:multiLevelType w:val="hybridMultilevel"/>
    <w:tmpl w:val="615C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3769"/>
    <w:multiLevelType w:val="hybridMultilevel"/>
    <w:tmpl w:val="FCD64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B733C"/>
    <w:multiLevelType w:val="multilevel"/>
    <w:tmpl w:val="6330AD08"/>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1F1941"/>
    <w:multiLevelType w:val="hybridMultilevel"/>
    <w:tmpl w:val="1A4C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33432"/>
    <w:multiLevelType w:val="hybridMultilevel"/>
    <w:tmpl w:val="33B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763"/>
    <w:rsid w:val="00001D18"/>
    <w:rsid w:val="00004B53"/>
    <w:rsid w:val="00005B0F"/>
    <w:rsid w:val="00005D04"/>
    <w:rsid w:val="0000658F"/>
    <w:rsid w:val="00011B30"/>
    <w:rsid w:val="00015B81"/>
    <w:rsid w:val="00016E00"/>
    <w:rsid w:val="00017EB9"/>
    <w:rsid w:val="00025A22"/>
    <w:rsid w:val="000338FE"/>
    <w:rsid w:val="00034E95"/>
    <w:rsid w:val="00041FE3"/>
    <w:rsid w:val="00042216"/>
    <w:rsid w:val="000427B0"/>
    <w:rsid w:val="000458A3"/>
    <w:rsid w:val="00046B52"/>
    <w:rsid w:val="00046BEA"/>
    <w:rsid w:val="00052306"/>
    <w:rsid w:val="000612D8"/>
    <w:rsid w:val="00061DCA"/>
    <w:rsid w:val="00062681"/>
    <w:rsid w:val="00065741"/>
    <w:rsid w:val="00066F6E"/>
    <w:rsid w:val="00067626"/>
    <w:rsid w:val="00072CC6"/>
    <w:rsid w:val="00074FBA"/>
    <w:rsid w:val="000758EF"/>
    <w:rsid w:val="000766A3"/>
    <w:rsid w:val="00080E1E"/>
    <w:rsid w:val="00082A67"/>
    <w:rsid w:val="000844A2"/>
    <w:rsid w:val="00084C4F"/>
    <w:rsid w:val="000876C4"/>
    <w:rsid w:val="00091DDC"/>
    <w:rsid w:val="00093C7C"/>
    <w:rsid w:val="00094A60"/>
    <w:rsid w:val="000A28C4"/>
    <w:rsid w:val="000A371B"/>
    <w:rsid w:val="000A450A"/>
    <w:rsid w:val="000A5753"/>
    <w:rsid w:val="000A59C9"/>
    <w:rsid w:val="000A637F"/>
    <w:rsid w:val="000A7D5A"/>
    <w:rsid w:val="000B0771"/>
    <w:rsid w:val="000B08D4"/>
    <w:rsid w:val="000B1CF2"/>
    <w:rsid w:val="000C246A"/>
    <w:rsid w:val="000C2CB4"/>
    <w:rsid w:val="000C2FBD"/>
    <w:rsid w:val="000C3E35"/>
    <w:rsid w:val="000D173F"/>
    <w:rsid w:val="000E05C6"/>
    <w:rsid w:val="000E0EF7"/>
    <w:rsid w:val="000E3D75"/>
    <w:rsid w:val="000E3D95"/>
    <w:rsid w:val="000E5594"/>
    <w:rsid w:val="000E5AA8"/>
    <w:rsid w:val="000F39A1"/>
    <w:rsid w:val="000F4ABD"/>
    <w:rsid w:val="000F4B68"/>
    <w:rsid w:val="000F52A7"/>
    <w:rsid w:val="000F70E1"/>
    <w:rsid w:val="000F7CBD"/>
    <w:rsid w:val="001015B6"/>
    <w:rsid w:val="00104C36"/>
    <w:rsid w:val="00104D97"/>
    <w:rsid w:val="0011083B"/>
    <w:rsid w:val="00113150"/>
    <w:rsid w:val="0011463C"/>
    <w:rsid w:val="00117EBD"/>
    <w:rsid w:val="00122546"/>
    <w:rsid w:val="00123B7B"/>
    <w:rsid w:val="00143F74"/>
    <w:rsid w:val="00150188"/>
    <w:rsid w:val="00154702"/>
    <w:rsid w:val="0016001F"/>
    <w:rsid w:val="00161062"/>
    <w:rsid w:val="00163C9C"/>
    <w:rsid w:val="0016523E"/>
    <w:rsid w:val="00165339"/>
    <w:rsid w:val="0016707F"/>
    <w:rsid w:val="00180A16"/>
    <w:rsid w:val="00182956"/>
    <w:rsid w:val="001871D1"/>
    <w:rsid w:val="001936DA"/>
    <w:rsid w:val="00193C68"/>
    <w:rsid w:val="001A3A09"/>
    <w:rsid w:val="001A4449"/>
    <w:rsid w:val="001A51F3"/>
    <w:rsid w:val="001B0162"/>
    <w:rsid w:val="001B0EB4"/>
    <w:rsid w:val="001B39B5"/>
    <w:rsid w:val="001B3FE3"/>
    <w:rsid w:val="001C0D0E"/>
    <w:rsid w:val="001C3EFE"/>
    <w:rsid w:val="001C78E2"/>
    <w:rsid w:val="001C7AB4"/>
    <w:rsid w:val="001C7E4D"/>
    <w:rsid w:val="001D0049"/>
    <w:rsid w:val="001D70B1"/>
    <w:rsid w:val="001D7AFF"/>
    <w:rsid w:val="001E28EA"/>
    <w:rsid w:val="001E40D4"/>
    <w:rsid w:val="001E4F28"/>
    <w:rsid w:val="001E5262"/>
    <w:rsid w:val="001E5A88"/>
    <w:rsid w:val="001E75C9"/>
    <w:rsid w:val="001F0D39"/>
    <w:rsid w:val="001F6025"/>
    <w:rsid w:val="001F6171"/>
    <w:rsid w:val="00200BCA"/>
    <w:rsid w:val="0020546C"/>
    <w:rsid w:val="002061C9"/>
    <w:rsid w:val="002107BF"/>
    <w:rsid w:val="0021147D"/>
    <w:rsid w:val="00212AC4"/>
    <w:rsid w:val="00213071"/>
    <w:rsid w:val="0021307F"/>
    <w:rsid w:val="002177BA"/>
    <w:rsid w:val="002210BF"/>
    <w:rsid w:val="002220ED"/>
    <w:rsid w:val="00222F69"/>
    <w:rsid w:val="0022392B"/>
    <w:rsid w:val="00224335"/>
    <w:rsid w:val="00224B1A"/>
    <w:rsid w:val="0022592F"/>
    <w:rsid w:val="0022649D"/>
    <w:rsid w:val="002315D4"/>
    <w:rsid w:val="00235D37"/>
    <w:rsid w:val="00236FF5"/>
    <w:rsid w:val="002445E7"/>
    <w:rsid w:val="00252973"/>
    <w:rsid w:val="002563BE"/>
    <w:rsid w:val="00256C24"/>
    <w:rsid w:val="002631E1"/>
    <w:rsid w:val="0027026A"/>
    <w:rsid w:val="002706B2"/>
    <w:rsid w:val="00270B2C"/>
    <w:rsid w:val="00270ED4"/>
    <w:rsid w:val="002714B0"/>
    <w:rsid w:val="00271686"/>
    <w:rsid w:val="00272E0C"/>
    <w:rsid w:val="0027535B"/>
    <w:rsid w:val="00280188"/>
    <w:rsid w:val="00282494"/>
    <w:rsid w:val="00292B4F"/>
    <w:rsid w:val="00297687"/>
    <w:rsid w:val="002A041E"/>
    <w:rsid w:val="002A07F1"/>
    <w:rsid w:val="002A116B"/>
    <w:rsid w:val="002A2551"/>
    <w:rsid w:val="002A34CA"/>
    <w:rsid w:val="002A45CE"/>
    <w:rsid w:val="002A5155"/>
    <w:rsid w:val="002B077C"/>
    <w:rsid w:val="002B7169"/>
    <w:rsid w:val="002C0E38"/>
    <w:rsid w:val="002C17D3"/>
    <w:rsid w:val="002C409E"/>
    <w:rsid w:val="002C4435"/>
    <w:rsid w:val="002C4731"/>
    <w:rsid w:val="002C7B7D"/>
    <w:rsid w:val="002D5DF8"/>
    <w:rsid w:val="002D5EB6"/>
    <w:rsid w:val="002D7D84"/>
    <w:rsid w:val="002D7F22"/>
    <w:rsid w:val="002F0AEA"/>
    <w:rsid w:val="002F0DEE"/>
    <w:rsid w:val="002F281F"/>
    <w:rsid w:val="002F63FD"/>
    <w:rsid w:val="002F7123"/>
    <w:rsid w:val="003054AF"/>
    <w:rsid w:val="00316C6C"/>
    <w:rsid w:val="003170E1"/>
    <w:rsid w:val="00321C4B"/>
    <w:rsid w:val="00322C5F"/>
    <w:rsid w:val="00324565"/>
    <w:rsid w:val="00331E9F"/>
    <w:rsid w:val="0033220D"/>
    <w:rsid w:val="003357F0"/>
    <w:rsid w:val="003433B0"/>
    <w:rsid w:val="0034427D"/>
    <w:rsid w:val="003442DA"/>
    <w:rsid w:val="0034591B"/>
    <w:rsid w:val="00346834"/>
    <w:rsid w:val="00351C2B"/>
    <w:rsid w:val="003529F5"/>
    <w:rsid w:val="003542C9"/>
    <w:rsid w:val="00356218"/>
    <w:rsid w:val="00364C0A"/>
    <w:rsid w:val="00367795"/>
    <w:rsid w:val="00370EBE"/>
    <w:rsid w:val="00374BE6"/>
    <w:rsid w:val="00375604"/>
    <w:rsid w:val="00382ABF"/>
    <w:rsid w:val="003842C1"/>
    <w:rsid w:val="00390CAE"/>
    <w:rsid w:val="00391EEA"/>
    <w:rsid w:val="00394819"/>
    <w:rsid w:val="00395058"/>
    <w:rsid w:val="00396FA1"/>
    <w:rsid w:val="00397B40"/>
    <w:rsid w:val="003A16D4"/>
    <w:rsid w:val="003A64D0"/>
    <w:rsid w:val="003B10ED"/>
    <w:rsid w:val="003B553C"/>
    <w:rsid w:val="003B6CA3"/>
    <w:rsid w:val="003C093D"/>
    <w:rsid w:val="003C32C2"/>
    <w:rsid w:val="003C44E6"/>
    <w:rsid w:val="003C53AD"/>
    <w:rsid w:val="003C6789"/>
    <w:rsid w:val="003C67A2"/>
    <w:rsid w:val="003D0AA6"/>
    <w:rsid w:val="003D0CF5"/>
    <w:rsid w:val="003D19D7"/>
    <w:rsid w:val="003D1C6A"/>
    <w:rsid w:val="003E4A91"/>
    <w:rsid w:val="003E5DAC"/>
    <w:rsid w:val="003E6502"/>
    <w:rsid w:val="003E77BE"/>
    <w:rsid w:val="003E7981"/>
    <w:rsid w:val="003F022C"/>
    <w:rsid w:val="003F1136"/>
    <w:rsid w:val="003F17E6"/>
    <w:rsid w:val="003F2732"/>
    <w:rsid w:val="003F3253"/>
    <w:rsid w:val="003F5FE5"/>
    <w:rsid w:val="00401EED"/>
    <w:rsid w:val="004020C2"/>
    <w:rsid w:val="00402E70"/>
    <w:rsid w:val="004039DF"/>
    <w:rsid w:val="00403E11"/>
    <w:rsid w:val="004055AB"/>
    <w:rsid w:val="004066E1"/>
    <w:rsid w:val="00407045"/>
    <w:rsid w:val="00413513"/>
    <w:rsid w:val="00417A10"/>
    <w:rsid w:val="0042107F"/>
    <w:rsid w:val="0042126D"/>
    <w:rsid w:val="0042336A"/>
    <w:rsid w:val="004239D3"/>
    <w:rsid w:val="00433B86"/>
    <w:rsid w:val="004364D5"/>
    <w:rsid w:val="0044528F"/>
    <w:rsid w:val="004453DA"/>
    <w:rsid w:val="004529B0"/>
    <w:rsid w:val="0045329C"/>
    <w:rsid w:val="00453B1A"/>
    <w:rsid w:val="0046184E"/>
    <w:rsid w:val="004623B5"/>
    <w:rsid w:val="00463357"/>
    <w:rsid w:val="00466177"/>
    <w:rsid w:val="004714C5"/>
    <w:rsid w:val="00472F50"/>
    <w:rsid w:val="00476548"/>
    <w:rsid w:val="00481134"/>
    <w:rsid w:val="00485A00"/>
    <w:rsid w:val="00487985"/>
    <w:rsid w:val="0049202F"/>
    <w:rsid w:val="00492665"/>
    <w:rsid w:val="0049520D"/>
    <w:rsid w:val="004955C7"/>
    <w:rsid w:val="00495AD4"/>
    <w:rsid w:val="004977B4"/>
    <w:rsid w:val="004A2840"/>
    <w:rsid w:val="004A2D37"/>
    <w:rsid w:val="004A48A6"/>
    <w:rsid w:val="004B1D55"/>
    <w:rsid w:val="004B565B"/>
    <w:rsid w:val="004B5AD5"/>
    <w:rsid w:val="004B7C4F"/>
    <w:rsid w:val="004C01E2"/>
    <w:rsid w:val="004C0AE9"/>
    <w:rsid w:val="004C326C"/>
    <w:rsid w:val="004C3B99"/>
    <w:rsid w:val="004C56E4"/>
    <w:rsid w:val="004C643D"/>
    <w:rsid w:val="004D0F26"/>
    <w:rsid w:val="004D130F"/>
    <w:rsid w:val="004D3792"/>
    <w:rsid w:val="004D5CA7"/>
    <w:rsid w:val="004D64A9"/>
    <w:rsid w:val="004D709C"/>
    <w:rsid w:val="004E08F8"/>
    <w:rsid w:val="004E306F"/>
    <w:rsid w:val="004F4535"/>
    <w:rsid w:val="004F4C53"/>
    <w:rsid w:val="004F63B8"/>
    <w:rsid w:val="00503536"/>
    <w:rsid w:val="00505A66"/>
    <w:rsid w:val="0050645C"/>
    <w:rsid w:val="0050694D"/>
    <w:rsid w:val="005070A6"/>
    <w:rsid w:val="0051314E"/>
    <w:rsid w:val="00514FF2"/>
    <w:rsid w:val="00515255"/>
    <w:rsid w:val="0051591D"/>
    <w:rsid w:val="005211B5"/>
    <w:rsid w:val="0052479A"/>
    <w:rsid w:val="00526C81"/>
    <w:rsid w:val="00530856"/>
    <w:rsid w:val="00530C4C"/>
    <w:rsid w:val="005320FB"/>
    <w:rsid w:val="00535603"/>
    <w:rsid w:val="0054011F"/>
    <w:rsid w:val="005408B9"/>
    <w:rsid w:val="00540AAA"/>
    <w:rsid w:val="00547F4D"/>
    <w:rsid w:val="00551EFA"/>
    <w:rsid w:val="00554AC7"/>
    <w:rsid w:val="00557ECF"/>
    <w:rsid w:val="00560E2D"/>
    <w:rsid w:val="005700CD"/>
    <w:rsid w:val="005763AD"/>
    <w:rsid w:val="005834FD"/>
    <w:rsid w:val="00586184"/>
    <w:rsid w:val="00591702"/>
    <w:rsid w:val="005A12D8"/>
    <w:rsid w:val="005A3E77"/>
    <w:rsid w:val="005A77E9"/>
    <w:rsid w:val="005B0429"/>
    <w:rsid w:val="005B0714"/>
    <w:rsid w:val="005B705F"/>
    <w:rsid w:val="005C718D"/>
    <w:rsid w:val="005C7882"/>
    <w:rsid w:val="005D58CD"/>
    <w:rsid w:val="005D5A75"/>
    <w:rsid w:val="005E0901"/>
    <w:rsid w:val="005E2B7F"/>
    <w:rsid w:val="005E6D8C"/>
    <w:rsid w:val="005F0AC1"/>
    <w:rsid w:val="005F5E8D"/>
    <w:rsid w:val="005F6200"/>
    <w:rsid w:val="0060090D"/>
    <w:rsid w:val="00601731"/>
    <w:rsid w:val="00602485"/>
    <w:rsid w:val="006119B6"/>
    <w:rsid w:val="00612DC0"/>
    <w:rsid w:val="0061317D"/>
    <w:rsid w:val="0061541D"/>
    <w:rsid w:val="006169E0"/>
    <w:rsid w:val="00616C45"/>
    <w:rsid w:val="00621448"/>
    <w:rsid w:val="00621A23"/>
    <w:rsid w:val="00623BC4"/>
    <w:rsid w:val="006305FC"/>
    <w:rsid w:val="00635010"/>
    <w:rsid w:val="0063630C"/>
    <w:rsid w:val="00636845"/>
    <w:rsid w:val="0063763D"/>
    <w:rsid w:val="00637BFF"/>
    <w:rsid w:val="00646421"/>
    <w:rsid w:val="0065024D"/>
    <w:rsid w:val="006544CF"/>
    <w:rsid w:val="00655247"/>
    <w:rsid w:val="006558CD"/>
    <w:rsid w:val="00656835"/>
    <w:rsid w:val="00657D10"/>
    <w:rsid w:val="00660463"/>
    <w:rsid w:val="00660611"/>
    <w:rsid w:val="00664F95"/>
    <w:rsid w:val="0067287D"/>
    <w:rsid w:val="00680837"/>
    <w:rsid w:val="00681DA7"/>
    <w:rsid w:val="0068715F"/>
    <w:rsid w:val="00687993"/>
    <w:rsid w:val="00687B3E"/>
    <w:rsid w:val="00691480"/>
    <w:rsid w:val="00697080"/>
    <w:rsid w:val="00697B81"/>
    <w:rsid w:val="006A1B43"/>
    <w:rsid w:val="006A215D"/>
    <w:rsid w:val="006A5298"/>
    <w:rsid w:val="006B0238"/>
    <w:rsid w:val="006B305D"/>
    <w:rsid w:val="006B533F"/>
    <w:rsid w:val="006B54C1"/>
    <w:rsid w:val="006B7B92"/>
    <w:rsid w:val="006C14E8"/>
    <w:rsid w:val="006C252E"/>
    <w:rsid w:val="006C5AC6"/>
    <w:rsid w:val="006C6002"/>
    <w:rsid w:val="006D40DC"/>
    <w:rsid w:val="006D57CB"/>
    <w:rsid w:val="006E2FD7"/>
    <w:rsid w:val="006F1C81"/>
    <w:rsid w:val="006F338A"/>
    <w:rsid w:val="006F5847"/>
    <w:rsid w:val="00705D18"/>
    <w:rsid w:val="00707F3B"/>
    <w:rsid w:val="00711A20"/>
    <w:rsid w:val="00713351"/>
    <w:rsid w:val="00713AFA"/>
    <w:rsid w:val="00715AC3"/>
    <w:rsid w:val="00715B27"/>
    <w:rsid w:val="00720814"/>
    <w:rsid w:val="007217AE"/>
    <w:rsid w:val="00722454"/>
    <w:rsid w:val="00726846"/>
    <w:rsid w:val="00731A80"/>
    <w:rsid w:val="007355EE"/>
    <w:rsid w:val="007403C7"/>
    <w:rsid w:val="00743C1B"/>
    <w:rsid w:val="00754078"/>
    <w:rsid w:val="00755498"/>
    <w:rsid w:val="007556B1"/>
    <w:rsid w:val="00755FF2"/>
    <w:rsid w:val="007566A3"/>
    <w:rsid w:val="0076087B"/>
    <w:rsid w:val="00765D9D"/>
    <w:rsid w:val="00766401"/>
    <w:rsid w:val="00767116"/>
    <w:rsid w:val="0077196C"/>
    <w:rsid w:val="00771AE3"/>
    <w:rsid w:val="0077690C"/>
    <w:rsid w:val="007801F7"/>
    <w:rsid w:val="0078046E"/>
    <w:rsid w:val="00780F36"/>
    <w:rsid w:val="00781F16"/>
    <w:rsid w:val="0078239E"/>
    <w:rsid w:val="00786A8B"/>
    <w:rsid w:val="007876BE"/>
    <w:rsid w:val="00790069"/>
    <w:rsid w:val="00790610"/>
    <w:rsid w:val="00793119"/>
    <w:rsid w:val="00793C9F"/>
    <w:rsid w:val="00796217"/>
    <w:rsid w:val="00796848"/>
    <w:rsid w:val="00796921"/>
    <w:rsid w:val="007A178B"/>
    <w:rsid w:val="007A5DD9"/>
    <w:rsid w:val="007A646B"/>
    <w:rsid w:val="007B0B12"/>
    <w:rsid w:val="007B225F"/>
    <w:rsid w:val="007B4F57"/>
    <w:rsid w:val="007C18B1"/>
    <w:rsid w:val="007C5A62"/>
    <w:rsid w:val="007C7328"/>
    <w:rsid w:val="007D1459"/>
    <w:rsid w:val="007D1660"/>
    <w:rsid w:val="007D2B9A"/>
    <w:rsid w:val="007D3419"/>
    <w:rsid w:val="007D3D7C"/>
    <w:rsid w:val="007D50BE"/>
    <w:rsid w:val="007D70BD"/>
    <w:rsid w:val="007E1C86"/>
    <w:rsid w:val="007E6025"/>
    <w:rsid w:val="007F0136"/>
    <w:rsid w:val="007F1AC7"/>
    <w:rsid w:val="007F29DB"/>
    <w:rsid w:val="007F4365"/>
    <w:rsid w:val="007F619E"/>
    <w:rsid w:val="007F794D"/>
    <w:rsid w:val="00804E98"/>
    <w:rsid w:val="0080748D"/>
    <w:rsid w:val="00813377"/>
    <w:rsid w:val="008146C9"/>
    <w:rsid w:val="00814CE3"/>
    <w:rsid w:val="00815091"/>
    <w:rsid w:val="00816D4B"/>
    <w:rsid w:val="00817CA7"/>
    <w:rsid w:val="00820287"/>
    <w:rsid w:val="0082040C"/>
    <w:rsid w:val="00820664"/>
    <w:rsid w:val="00821258"/>
    <w:rsid w:val="00822E74"/>
    <w:rsid w:val="0082780B"/>
    <w:rsid w:val="00830BAD"/>
    <w:rsid w:val="00834262"/>
    <w:rsid w:val="00836FB0"/>
    <w:rsid w:val="00841712"/>
    <w:rsid w:val="00841D39"/>
    <w:rsid w:val="00844065"/>
    <w:rsid w:val="008451E5"/>
    <w:rsid w:val="00845ADC"/>
    <w:rsid w:val="00850FB5"/>
    <w:rsid w:val="008547C0"/>
    <w:rsid w:val="00856823"/>
    <w:rsid w:val="008661BB"/>
    <w:rsid w:val="00866749"/>
    <w:rsid w:val="00866D8C"/>
    <w:rsid w:val="0087306F"/>
    <w:rsid w:val="00873CB6"/>
    <w:rsid w:val="008745FC"/>
    <w:rsid w:val="00875463"/>
    <w:rsid w:val="00876DA0"/>
    <w:rsid w:val="008812C0"/>
    <w:rsid w:val="00882CAA"/>
    <w:rsid w:val="00894A1A"/>
    <w:rsid w:val="008A1715"/>
    <w:rsid w:val="008A178B"/>
    <w:rsid w:val="008B1266"/>
    <w:rsid w:val="008B41A0"/>
    <w:rsid w:val="008B56A9"/>
    <w:rsid w:val="008B679A"/>
    <w:rsid w:val="008C1E99"/>
    <w:rsid w:val="008C212C"/>
    <w:rsid w:val="008C4F5F"/>
    <w:rsid w:val="008C5BCD"/>
    <w:rsid w:val="008D002B"/>
    <w:rsid w:val="008D3427"/>
    <w:rsid w:val="008D3A5B"/>
    <w:rsid w:val="008D4E89"/>
    <w:rsid w:val="008E0E3F"/>
    <w:rsid w:val="008E1B64"/>
    <w:rsid w:val="008E2553"/>
    <w:rsid w:val="008E269A"/>
    <w:rsid w:val="008E39C1"/>
    <w:rsid w:val="008E3BD8"/>
    <w:rsid w:val="008E3C5E"/>
    <w:rsid w:val="008F0D13"/>
    <w:rsid w:val="008F167A"/>
    <w:rsid w:val="008F3707"/>
    <w:rsid w:val="008F4251"/>
    <w:rsid w:val="0090100B"/>
    <w:rsid w:val="00902EE2"/>
    <w:rsid w:val="00903143"/>
    <w:rsid w:val="00903393"/>
    <w:rsid w:val="009056C6"/>
    <w:rsid w:val="00906FB8"/>
    <w:rsid w:val="00914768"/>
    <w:rsid w:val="00917706"/>
    <w:rsid w:val="00931241"/>
    <w:rsid w:val="009326F8"/>
    <w:rsid w:val="00933540"/>
    <w:rsid w:val="00935CEF"/>
    <w:rsid w:val="009366B2"/>
    <w:rsid w:val="00937A51"/>
    <w:rsid w:val="009414FE"/>
    <w:rsid w:val="00944942"/>
    <w:rsid w:val="0094734A"/>
    <w:rsid w:val="00947970"/>
    <w:rsid w:val="00951DAF"/>
    <w:rsid w:val="00953E66"/>
    <w:rsid w:val="0097201E"/>
    <w:rsid w:val="00973077"/>
    <w:rsid w:val="009749EB"/>
    <w:rsid w:val="00976197"/>
    <w:rsid w:val="0097741E"/>
    <w:rsid w:val="00980596"/>
    <w:rsid w:val="009810D9"/>
    <w:rsid w:val="009826A3"/>
    <w:rsid w:val="00984729"/>
    <w:rsid w:val="009863C1"/>
    <w:rsid w:val="00986B44"/>
    <w:rsid w:val="009905A7"/>
    <w:rsid w:val="00991C69"/>
    <w:rsid w:val="00993881"/>
    <w:rsid w:val="00993C5E"/>
    <w:rsid w:val="0099451F"/>
    <w:rsid w:val="00995E85"/>
    <w:rsid w:val="00997C7D"/>
    <w:rsid w:val="009A38DD"/>
    <w:rsid w:val="009B0109"/>
    <w:rsid w:val="009B126D"/>
    <w:rsid w:val="009B2AD6"/>
    <w:rsid w:val="009B3C99"/>
    <w:rsid w:val="009B5AEE"/>
    <w:rsid w:val="009B794C"/>
    <w:rsid w:val="009C2F0B"/>
    <w:rsid w:val="009D0EF0"/>
    <w:rsid w:val="009D0F4D"/>
    <w:rsid w:val="009D2BC7"/>
    <w:rsid w:val="009D53C6"/>
    <w:rsid w:val="009D5A78"/>
    <w:rsid w:val="009D5FD8"/>
    <w:rsid w:val="009D6EAC"/>
    <w:rsid w:val="009E05DE"/>
    <w:rsid w:val="009E19A2"/>
    <w:rsid w:val="009E19C9"/>
    <w:rsid w:val="009E3C66"/>
    <w:rsid w:val="009E472A"/>
    <w:rsid w:val="009E4D92"/>
    <w:rsid w:val="009E642D"/>
    <w:rsid w:val="009F0A15"/>
    <w:rsid w:val="009F47F6"/>
    <w:rsid w:val="009F5F92"/>
    <w:rsid w:val="009F63EA"/>
    <w:rsid w:val="00A01FFC"/>
    <w:rsid w:val="00A04B20"/>
    <w:rsid w:val="00A05DC8"/>
    <w:rsid w:val="00A05E84"/>
    <w:rsid w:val="00A10E64"/>
    <w:rsid w:val="00A1405D"/>
    <w:rsid w:val="00A14287"/>
    <w:rsid w:val="00A16952"/>
    <w:rsid w:val="00A20E72"/>
    <w:rsid w:val="00A2202D"/>
    <w:rsid w:val="00A23B6B"/>
    <w:rsid w:val="00A24928"/>
    <w:rsid w:val="00A26B6F"/>
    <w:rsid w:val="00A3396F"/>
    <w:rsid w:val="00A35039"/>
    <w:rsid w:val="00A35302"/>
    <w:rsid w:val="00A36CC0"/>
    <w:rsid w:val="00A378FE"/>
    <w:rsid w:val="00A43178"/>
    <w:rsid w:val="00A548FB"/>
    <w:rsid w:val="00A55A82"/>
    <w:rsid w:val="00A55D30"/>
    <w:rsid w:val="00A56263"/>
    <w:rsid w:val="00A6120E"/>
    <w:rsid w:val="00A72708"/>
    <w:rsid w:val="00A727F7"/>
    <w:rsid w:val="00A72EB7"/>
    <w:rsid w:val="00A730F0"/>
    <w:rsid w:val="00A73344"/>
    <w:rsid w:val="00A755ED"/>
    <w:rsid w:val="00A7702D"/>
    <w:rsid w:val="00A903D4"/>
    <w:rsid w:val="00A92051"/>
    <w:rsid w:val="00A95333"/>
    <w:rsid w:val="00A977D6"/>
    <w:rsid w:val="00AA234F"/>
    <w:rsid w:val="00AA29A1"/>
    <w:rsid w:val="00AA5321"/>
    <w:rsid w:val="00AA6EF4"/>
    <w:rsid w:val="00AA78DF"/>
    <w:rsid w:val="00AB0418"/>
    <w:rsid w:val="00AB7556"/>
    <w:rsid w:val="00AB791C"/>
    <w:rsid w:val="00AB7C49"/>
    <w:rsid w:val="00AC29EA"/>
    <w:rsid w:val="00AC332C"/>
    <w:rsid w:val="00AC37E0"/>
    <w:rsid w:val="00AC3B88"/>
    <w:rsid w:val="00AC5863"/>
    <w:rsid w:val="00AC5D33"/>
    <w:rsid w:val="00AD32AD"/>
    <w:rsid w:val="00AD7CDA"/>
    <w:rsid w:val="00AE197F"/>
    <w:rsid w:val="00AF1142"/>
    <w:rsid w:val="00AF3369"/>
    <w:rsid w:val="00B03F38"/>
    <w:rsid w:val="00B06093"/>
    <w:rsid w:val="00B111F8"/>
    <w:rsid w:val="00B11447"/>
    <w:rsid w:val="00B17018"/>
    <w:rsid w:val="00B24722"/>
    <w:rsid w:val="00B31957"/>
    <w:rsid w:val="00B35C60"/>
    <w:rsid w:val="00B41FA8"/>
    <w:rsid w:val="00B540C8"/>
    <w:rsid w:val="00B5564E"/>
    <w:rsid w:val="00B56566"/>
    <w:rsid w:val="00B64EAA"/>
    <w:rsid w:val="00B651D4"/>
    <w:rsid w:val="00B65289"/>
    <w:rsid w:val="00B66D8A"/>
    <w:rsid w:val="00B7265F"/>
    <w:rsid w:val="00B81AC2"/>
    <w:rsid w:val="00B832B1"/>
    <w:rsid w:val="00B83BC0"/>
    <w:rsid w:val="00B86CC2"/>
    <w:rsid w:val="00BA0E5D"/>
    <w:rsid w:val="00BA3F33"/>
    <w:rsid w:val="00BA43B5"/>
    <w:rsid w:val="00BA730F"/>
    <w:rsid w:val="00BA7FD3"/>
    <w:rsid w:val="00BB4C50"/>
    <w:rsid w:val="00BC1B0D"/>
    <w:rsid w:val="00BC422A"/>
    <w:rsid w:val="00BC4489"/>
    <w:rsid w:val="00BD22F8"/>
    <w:rsid w:val="00BD26D5"/>
    <w:rsid w:val="00BD51DE"/>
    <w:rsid w:val="00BD52DE"/>
    <w:rsid w:val="00BD60B9"/>
    <w:rsid w:val="00BD6C02"/>
    <w:rsid w:val="00BE3087"/>
    <w:rsid w:val="00BF24FB"/>
    <w:rsid w:val="00BF2C74"/>
    <w:rsid w:val="00BF3F78"/>
    <w:rsid w:val="00BF6975"/>
    <w:rsid w:val="00C014A9"/>
    <w:rsid w:val="00C03B04"/>
    <w:rsid w:val="00C07444"/>
    <w:rsid w:val="00C11508"/>
    <w:rsid w:val="00C12648"/>
    <w:rsid w:val="00C14DF8"/>
    <w:rsid w:val="00C20F71"/>
    <w:rsid w:val="00C210A6"/>
    <w:rsid w:val="00C2187D"/>
    <w:rsid w:val="00C27219"/>
    <w:rsid w:val="00C302B5"/>
    <w:rsid w:val="00C33E4D"/>
    <w:rsid w:val="00C40801"/>
    <w:rsid w:val="00C61D91"/>
    <w:rsid w:val="00C62096"/>
    <w:rsid w:val="00C70A18"/>
    <w:rsid w:val="00C70D17"/>
    <w:rsid w:val="00C71667"/>
    <w:rsid w:val="00C72836"/>
    <w:rsid w:val="00C72F58"/>
    <w:rsid w:val="00C74763"/>
    <w:rsid w:val="00C75307"/>
    <w:rsid w:val="00C75D7B"/>
    <w:rsid w:val="00C76AE5"/>
    <w:rsid w:val="00C77CB8"/>
    <w:rsid w:val="00C81389"/>
    <w:rsid w:val="00C85447"/>
    <w:rsid w:val="00C857D5"/>
    <w:rsid w:val="00C87527"/>
    <w:rsid w:val="00C93EE7"/>
    <w:rsid w:val="00C94DE7"/>
    <w:rsid w:val="00C9522B"/>
    <w:rsid w:val="00C95E8F"/>
    <w:rsid w:val="00CA4352"/>
    <w:rsid w:val="00CA48B7"/>
    <w:rsid w:val="00CA5FA2"/>
    <w:rsid w:val="00CB2604"/>
    <w:rsid w:val="00CB530C"/>
    <w:rsid w:val="00CB5C6A"/>
    <w:rsid w:val="00CD172D"/>
    <w:rsid w:val="00CD2851"/>
    <w:rsid w:val="00CD4414"/>
    <w:rsid w:val="00CE3363"/>
    <w:rsid w:val="00CE3A22"/>
    <w:rsid w:val="00CE6DFF"/>
    <w:rsid w:val="00CF008D"/>
    <w:rsid w:val="00CF1849"/>
    <w:rsid w:val="00CF2B04"/>
    <w:rsid w:val="00CF349F"/>
    <w:rsid w:val="00CF4EB5"/>
    <w:rsid w:val="00CF7C1B"/>
    <w:rsid w:val="00D01468"/>
    <w:rsid w:val="00D01B14"/>
    <w:rsid w:val="00D0227F"/>
    <w:rsid w:val="00D04281"/>
    <w:rsid w:val="00D069A3"/>
    <w:rsid w:val="00D10883"/>
    <w:rsid w:val="00D11022"/>
    <w:rsid w:val="00D13FCF"/>
    <w:rsid w:val="00D16199"/>
    <w:rsid w:val="00D16D43"/>
    <w:rsid w:val="00D205C3"/>
    <w:rsid w:val="00D2308E"/>
    <w:rsid w:val="00D30746"/>
    <w:rsid w:val="00D35259"/>
    <w:rsid w:val="00D3705F"/>
    <w:rsid w:val="00D37242"/>
    <w:rsid w:val="00D43976"/>
    <w:rsid w:val="00D43A2B"/>
    <w:rsid w:val="00D4747F"/>
    <w:rsid w:val="00D4799A"/>
    <w:rsid w:val="00D50045"/>
    <w:rsid w:val="00D52C96"/>
    <w:rsid w:val="00D57474"/>
    <w:rsid w:val="00D57A17"/>
    <w:rsid w:val="00D57AEA"/>
    <w:rsid w:val="00D61C50"/>
    <w:rsid w:val="00D65897"/>
    <w:rsid w:val="00D72236"/>
    <w:rsid w:val="00D72C7A"/>
    <w:rsid w:val="00D73B1B"/>
    <w:rsid w:val="00D75012"/>
    <w:rsid w:val="00D8314B"/>
    <w:rsid w:val="00D84CFD"/>
    <w:rsid w:val="00D92616"/>
    <w:rsid w:val="00D92B68"/>
    <w:rsid w:val="00D92C6B"/>
    <w:rsid w:val="00DA0F1E"/>
    <w:rsid w:val="00DA1108"/>
    <w:rsid w:val="00DA3C3B"/>
    <w:rsid w:val="00DA523E"/>
    <w:rsid w:val="00DA5DC9"/>
    <w:rsid w:val="00DA5E6B"/>
    <w:rsid w:val="00DA6C92"/>
    <w:rsid w:val="00DA6D81"/>
    <w:rsid w:val="00DB2570"/>
    <w:rsid w:val="00DB406D"/>
    <w:rsid w:val="00DB5E00"/>
    <w:rsid w:val="00DB72DD"/>
    <w:rsid w:val="00DC256B"/>
    <w:rsid w:val="00DC29EE"/>
    <w:rsid w:val="00DC2A7A"/>
    <w:rsid w:val="00DC2BDD"/>
    <w:rsid w:val="00DC51AF"/>
    <w:rsid w:val="00DC58AD"/>
    <w:rsid w:val="00DC75DE"/>
    <w:rsid w:val="00DD215A"/>
    <w:rsid w:val="00DE0990"/>
    <w:rsid w:val="00DE0FB1"/>
    <w:rsid w:val="00DE1598"/>
    <w:rsid w:val="00DE4DC1"/>
    <w:rsid w:val="00DE6C30"/>
    <w:rsid w:val="00DE7C5A"/>
    <w:rsid w:val="00E00A8D"/>
    <w:rsid w:val="00E01420"/>
    <w:rsid w:val="00E04AC5"/>
    <w:rsid w:val="00E056E6"/>
    <w:rsid w:val="00E07619"/>
    <w:rsid w:val="00E113F7"/>
    <w:rsid w:val="00E12690"/>
    <w:rsid w:val="00E1459D"/>
    <w:rsid w:val="00E17F23"/>
    <w:rsid w:val="00E23F34"/>
    <w:rsid w:val="00E244D9"/>
    <w:rsid w:val="00E25914"/>
    <w:rsid w:val="00E342EE"/>
    <w:rsid w:val="00E34FDA"/>
    <w:rsid w:val="00E36CD1"/>
    <w:rsid w:val="00E43A49"/>
    <w:rsid w:val="00E44DDC"/>
    <w:rsid w:val="00E45B15"/>
    <w:rsid w:val="00E47357"/>
    <w:rsid w:val="00E54348"/>
    <w:rsid w:val="00E56A92"/>
    <w:rsid w:val="00E57C3E"/>
    <w:rsid w:val="00E62617"/>
    <w:rsid w:val="00E659D7"/>
    <w:rsid w:val="00E65E5F"/>
    <w:rsid w:val="00E7108A"/>
    <w:rsid w:val="00E734E0"/>
    <w:rsid w:val="00E737FB"/>
    <w:rsid w:val="00E74CFA"/>
    <w:rsid w:val="00E76CDD"/>
    <w:rsid w:val="00E83F10"/>
    <w:rsid w:val="00E8489B"/>
    <w:rsid w:val="00E90ABF"/>
    <w:rsid w:val="00E972B8"/>
    <w:rsid w:val="00EA0E54"/>
    <w:rsid w:val="00EA123F"/>
    <w:rsid w:val="00EA49CA"/>
    <w:rsid w:val="00EA7241"/>
    <w:rsid w:val="00EA7A20"/>
    <w:rsid w:val="00EB0E6C"/>
    <w:rsid w:val="00EB21AB"/>
    <w:rsid w:val="00EB31DF"/>
    <w:rsid w:val="00EB417F"/>
    <w:rsid w:val="00EC068A"/>
    <w:rsid w:val="00EC270D"/>
    <w:rsid w:val="00ED070E"/>
    <w:rsid w:val="00ED18E4"/>
    <w:rsid w:val="00ED25A1"/>
    <w:rsid w:val="00ED5AED"/>
    <w:rsid w:val="00ED6630"/>
    <w:rsid w:val="00ED7973"/>
    <w:rsid w:val="00EE4CA2"/>
    <w:rsid w:val="00EF0BEC"/>
    <w:rsid w:val="00EF3553"/>
    <w:rsid w:val="00F041B5"/>
    <w:rsid w:val="00F06F82"/>
    <w:rsid w:val="00F123A0"/>
    <w:rsid w:val="00F12BF8"/>
    <w:rsid w:val="00F1358E"/>
    <w:rsid w:val="00F15FFB"/>
    <w:rsid w:val="00F169D6"/>
    <w:rsid w:val="00F176D4"/>
    <w:rsid w:val="00F222AA"/>
    <w:rsid w:val="00F23949"/>
    <w:rsid w:val="00F26E3D"/>
    <w:rsid w:val="00F274E4"/>
    <w:rsid w:val="00F30997"/>
    <w:rsid w:val="00F30C62"/>
    <w:rsid w:val="00F34D21"/>
    <w:rsid w:val="00F352CA"/>
    <w:rsid w:val="00F40293"/>
    <w:rsid w:val="00F4213D"/>
    <w:rsid w:val="00F42212"/>
    <w:rsid w:val="00F46B99"/>
    <w:rsid w:val="00F57B1B"/>
    <w:rsid w:val="00F61DE1"/>
    <w:rsid w:val="00F63BF0"/>
    <w:rsid w:val="00F654CD"/>
    <w:rsid w:val="00F67AD7"/>
    <w:rsid w:val="00F7200A"/>
    <w:rsid w:val="00F765C7"/>
    <w:rsid w:val="00F77103"/>
    <w:rsid w:val="00F82C81"/>
    <w:rsid w:val="00F8319E"/>
    <w:rsid w:val="00F85C78"/>
    <w:rsid w:val="00F86131"/>
    <w:rsid w:val="00F86409"/>
    <w:rsid w:val="00F90A12"/>
    <w:rsid w:val="00F91080"/>
    <w:rsid w:val="00F94593"/>
    <w:rsid w:val="00F950DC"/>
    <w:rsid w:val="00F96121"/>
    <w:rsid w:val="00F97542"/>
    <w:rsid w:val="00FA07B0"/>
    <w:rsid w:val="00FA3713"/>
    <w:rsid w:val="00FA3AE7"/>
    <w:rsid w:val="00FA7B14"/>
    <w:rsid w:val="00FB653B"/>
    <w:rsid w:val="00FC578D"/>
    <w:rsid w:val="00FC6053"/>
    <w:rsid w:val="00FC6C46"/>
    <w:rsid w:val="00FD17AB"/>
    <w:rsid w:val="00FD375F"/>
    <w:rsid w:val="00FD5402"/>
    <w:rsid w:val="00FD5D57"/>
    <w:rsid w:val="00FE2B24"/>
    <w:rsid w:val="00FE628E"/>
    <w:rsid w:val="00FF23B4"/>
    <w:rsid w:val="00FF334A"/>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92B41"/>
  <w15:chartTrackingRefBased/>
  <w15:docId w15:val="{AC7E3226-A5C9-4D3A-871F-CC8580EC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84"/>
  </w:style>
  <w:style w:type="paragraph" w:styleId="Footer">
    <w:name w:val="footer"/>
    <w:basedOn w:val="Normal"/>
    <w:link w:val="FooterChar"/>
    <w:uiPriority w:val="99"/>
    <w:unhideWhenUsed/>
    <w:rsid w:val="00A05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E84"/>
  </w:style>
  <w:style w:type="table" w:styleId="TableGrid">
    <w:name w:val="Table Grid"/>
    <w:aliases w:val="CV table"/>
    <w:basedOn w:val="TableNormal"/>
    <w:rsid w:val="00A05E84"/>
    <w:pPr>
      <w:spacing w:after="0" w:line="240" w:lineRule="auto"/>
    </w:pPr>
    <w:rPr>
      <w:rFonts w:ascii="Times New Roman" w:eastAsia="Times New Roman" w:hAnsi="Times New Roman"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5E84"/>
    <w:rPr>
      <w:color w:val="0000FF"/>
      <w:u w:val="single"/>
    </w:rPr>
  </w:style>
  <w:style w:type="paragraph" w:customStyle="1" w:styleId="EYBusinessaddress">
    <w:name w:val="EY Business address"/>
    <w:basedOn w:val="Normal"/>
    <w:uiPriority w:val="99"/>
    <w:semiHidden/>
    <w:rsid w:val="00A05E84"/>
    <w:pPr>
      <w:suppressAutoHyphens/>
      <w:spacing w:after="0" w:line="170" w:lineRule="atLeast"/>
    </w:pPr>
    <w:rPr>
      <w:rFonts w:ascii="Arial" w:eastAsia="Times New Roman" w:hAnsi="Arial" w:cs="Times New Roman"/>
      <w:color w:val="666666"/>
      <w:kern w:val="12"/>
      <w:sz w:val="15"/>
      <w:szCs w:val="24"/>
      <w:lang w:val="en-GB"/>
    </w:rPr>
  </w:style>
  <w:style w:type="character" w:customStyle="1" w:styleId="EYBodytextwithparaspaceChar">
    <w:name w:val="EY Body text (with para space) Char"/>
    <w:basedOn w:val="DefaultParagraphFont"/>
    <w:link w:val="EYBodytextwithparaspace"/>
    <w:rsid w:val="003D0CF5"/>
    <w:rPr>
      <w:rFonts w:ascii="Arial" w:hAnsi="Arial"/>
      <w:kern w:val="12"/>
      <w:szCs w:val="24"/>
    </w:rPr>
  </w:style>
  <w:style w:type="paragraph" w:customStyle="1" w:styleId="EYBodytextwithparaspace">
    <w:name w:val="EY Body text (with para space)"/>
    <w:basedOn w:val="Normal"/>
    <w:link w:val="EYBodytextwithparaspaceChar"/>
    <w:rsid w:val="003D0CF5"/>
    <w:pPr>
      <w:tabs>
        <w:tab w:val="left" w:pos="907"/>
      </w:tabs>
      <w:suppressAutoHyphens/>
      <w:spacing w:after="400" w:line="360" w:lineRule="auto"/>
    </w:pPr>
    <w:rPr>
      <w:rFonts w:ascii="Arial" w:hAnsi="Arial"/>
      <w:kern w:val="12"/>
      <w:szCs w:val="24"/>
    </w:rPr>
  </w:style>
  <w:style w:type="paragraph" w:styleId="BalloonText">
    <w:name w:val="Balloon Text"/>
    <w:basedOn w:val="Normal"/>
    <w:link w:val="BalloonTextChar"/>
    <w:uiPriority w:val="99"/>
    <w:semiHidden/>
    <w:unhideWhenUsed/>
    <w:rsid w:val="00421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7F"/>
    <w:rPr>
      <w:rFonts w:ascii="Segoe UI" w:hAnsi="Segoe UI" w:cs="Segoe UI"/>
      <w:sz w:val="18"/>
      <w:szCs w:val="18"/>
    </w:rPr>
  </w:style>
  <w:style w:type="character" w:customStyle="1" w:styleId="MeniuneNerezolvat1">
    <w:name w:val="Mențiune Nerezolvat1"/>
    <w:basedOn w:val="DefaultParagraphFont"/>
    <w:uiPriority w:val="99"/>
    <w:semiHidden/>
    <w:unhideWhenUsed/>
    <w:rsid w:val="00743C1B"/>
    <w:rPr>
      <w:color w:val="605E5C"/>
      <w:shd w:val="clear" w:color="auto" w:fill="E1DFDD"/>
    </w:rPr>
  </w:style>
  <w:style w:type="paragraph" w:styleId="FootnoteText">
    <w:name w:val="footnote text"/>
    <w:basedOn w:val="Normal"/>
    <w:link w:val="FootnoteTextChar"/>
    <w:uiPriority w:val="99"/>
    <w:unhideWhenUsed/>
    <w:rsid w:val="00401EE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01EE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01EED"/>
    <w:rPr>
      <w:vertAlign w:val="superscript"/>
    </w:rPr>
  </w:style>
  <w:style w:type="character" w:styleId="CommentReference">
    <w:name w:val="annotation reference"/>
    <w:basedOn w:val="DefaultParagraphFont"/>
    <w:uiPriority w:val="99"/>
    <w:semiHidden/>
    <w:unhideWhenUsed/>
    <w:rsid w:val="00D61C50"/>
    <w:rPr>
      <w:sz w:val="16"/>
      <w:szCs w:val="16"/>
    </w:rPr>
  </w:style>
  <w:style w:type="paragraph" w:styleId="CommentText">
    <w:name w:val="annotation text"/>
    <w:basedOn w:val="Normal"/>
    <w:link w:val="CommentTextChar"/>
    <w:uiPriority w:val="99"/>
    <w:semiHidden/>
    <w:unhideWhenUsed/>
    <w:rsid w:val="00D61C50"/>
    <w:pPr>
      <w:spacing w:line="240" w:lineRule="auto"/>
    </w:pPr>
    <w:rPr>
      <w:sz w:val="20"/>
      <w:szCs w:val="20"/>
    </w:rPr>
  </w:style>
  <w:style w:type="character" w:customStyle="1" w:styleId="CommentTextChar">
    <w:name w:val="Comment Text Char"/>
    <w:basedOn w:val="DefaultParagraphFont"/>
    <w:link w:val="CommentText"/>
    <w:uiPriority w:val="99"/>
    <w:semiHidden/>
    <w:rsid w:val="00D61C50"/>
    <w:rPr>
      <w:sz w:val="20"/>
      <w:szCs w:val="20"/>
    </w:rPr>
  </w:style>
  <w:style w:type="paragraph" w:styleId="CommentSubject">
    <w:name w:val="annotation subject"/>
    <w:basedOn w:val="CommentText"/>
    <w:next w:val="CommentText"/>
    <w:link w:val="CommentSubjectChar"/>
    <w:uiPriority w:val="99"/>
    <w:semiHidden/>
    <w:unhideWhenUsed/>
    <w:rsid w:val="00D61C50"/>
    <w:rPr>
      <w:b/>
      <w:bCs/>
    </w:rPr>
  </w:style>
  <w:style w:type="character" w:customStyle="1" w:styleId="CommentSubjectChar">
    <w:name w:val="Comment Subject Char"/>
    <w:basedOn w:val="CommentTextChar"/>
    <w:link w:val="CommentSubject"/>
    <w:uiPriority w:val="99"/>
    <w:semiHidden/>
    <w:rsid w:val="00D61C50"/>
    <w:rPr>
      <w:b/>
      <w:bCs/>
      <w:sz w:val="20"/>
      <w:szCs w:val="20"/>
    </w:rPr>
  </w:style>
  <w:style w:type="paragraph" w:styleId="ListParagraph">
    <w:name w:val="List Paragraph"/>
    <w:basedOn w:val="Normal"/>
    <w:uiPriority w:val="34"/>
    <w:qFormat/>
    <w:rsid w:val="00B03F38"/>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15091"/>
    <w:rPr>
      <w:color w:val="605E5C"/>
      <w:shd w:val="clear" w:color="auto" w:fill="E1DFDD"/>
    </w:rPr>
  </w:style>
  <w:style w:type="paragraph" w:styleId="Revision">
    <w:name w:val="Revision"/>
    <w:hidden/>
    <w:uiPriority w:val="99"/>
    <w:semiHidden/>
    <w:rsid w:val="00C40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44024">
      <w:bodyDiv w:val="1"/>
      <w:marLeft w:val="0"/>
      <w:marRight w:val="0"/>
      <w:marTop w:val="0"/>
      <w:marBottom w:val="0"/>
      <w:divBdr>
        <w:top w:val="none" w:sz="0" w:space="0" w:color="auto"/>
        <w:left w:val="none" w:sz="0" w:space="0" w:color="auto"/>
        <w:bottom w:val="none" w:sz="0" w:space="0" w:color="auto"/>
        <w:right w:val="none" w:sz="0" w:space="0" w:color="auto"/>
      </w:divBdr>
    </w:div>
    <w:div w:id="1190340834">
      <w:bodyDiv w:val="1"/>
      <w:marLeft w:val="0"/>
      <w:marRight w:val="0"/>
      <w:marTop w:val="0"/>
      <w:marBottom w:val="0"/>
      <w:divBdr>
        <w:top w:val="none" w:sz="0" w:space="0" w:color="auto"/>
        <w:left w:val="none" w:sz="0" w:space="0" w:color="auto"/>
        <w:bottom w:val="none" w:sz="0" w:space="0" w:color="auto"/>
        <w:right w:val="none" w:sz="0" w:space="0" w:color="auto"/>
      </w:divBdr>
    </w:div>
    <w:div w:id="1647931864">
      <w:bodyDiv w:val="1"/>
      <w:marLeft w:val="0"/>
      <w:marRight w:val="0"/>
      <w:marTop w:val="0"/>
      <w:marBottom w:val="0"/>
      <w:divBdr>
        <w:top w:val="none" w:sz="0" w:space="0" w:color="auto"/>
        <w:left w:val="none" w:sz="0" w:space="0" w:color="auto"/>
        <w:bottom w:val="none" w:sz="0" w:space="0" w:color="auto"/>
        <w:right w:val="none" w:sz="0" w:space="0" w:color="auto"/>
      </w:divBdr>
    </w:div>
    <w:div w:id="1754620364">
      <w:bodyDiv w:val="1"/>
      <w:marLeft w:val="0"/>
      <w:marRight w:val="0"/>
      <w:marTop w:val="0"/>
      <w:marBottom w:val="0"/>
      <w:divBdr>
        <w:top w:val="none" w:sz="0" w:space="0" w:color="auto"/>
        <w:left w:val="none" w:sz="0" w:space="0" w:color="auto"/>
        <w:bottom w:val="none" w:sz="0" w:space="0" w:color="auto"/>
        <w:right w:val="none" w:sz="0" w:space="0" w:color="auto"/>
      </w:divBdr>
      <w:divsChild>
        <w:div w:id="193701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radusiasociatii.com" TargetMode="External"/><Relationship Id="rId1" Type="http://schemas.openxmlformats.org/officeDocument/2006/relationships/hyperlink" Target="http://www.radusiasociat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3" ma:contentTypeDescription="Create a new document." ma:contentTypeScope="" ma:versionID="d7d79b95b2f9bac9581785a911ec535d">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435530d67a97a0a6746e9f564934c4f2"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Details" minOccurs="0"/>
                <xsd:element ref="ns4:SharingHintHash" minOccurs="0"/>
                <xsd:element ref="ns4:SharedWithUser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3CC8B-47A4-4E0E-8BF2-CA60CDD2C596}">
  <ds:schemaRefs>
    <ds:schemaRef ds:uri="http://schemas.microsoft.com/sharepoint/v3/contenttype/forms"/>
  </ds:schemaRefs>
</ds:datastoreItem>
</file>

<file path=customXml/itemProps2.xml><?xml version="1.0" encoding="utf-8"?>
<ds:datastoreItem xmlns:ds="http://schemas.openxmlformats.org/officeDocument/2006/customXml" ds:itemID="{A869B392-E520-4460-B946-CE225F6C192B}">
  <ds:schemaRefs>
    <ds:schemaRef ds:uri="http://schemas.openxmlformats.org/officeDocument/2006/bibliography"/>
  </ds:schemaRefs>
</ds:datastoreItem>
</file>

<file path=customXml/itemProps3.xml><?xml version="1.0" encoding="utf-8"?>
<ds:datastoreItem xmlns:ds="http://schemas.openxmlformats.org/officeDocument/2006/customXml" ds:itemID="{FFB79AFD-3704-4DBA-9794-E4C68BA57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35EFB-A099-4199-8D76-CCA129A722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Diaconu</dc:creator>
  <cp:keywords/>
  <dc:description/>
  <cp:lastModifiedBy>Codrina Apostol</cp:lastModifiedBy>
  <cp:revision>59</cp:revision>
  <dcterms:created xsi:type="dcterms:W3CDTF">2022-02-08T10:12:00Z</dcterms:created>
  <dcterms:modified xsi:type="dcterms:W3CDTF">2022-02-08T10:54:00Z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ies>
</file>