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9F2DC" w14:textId="77777777" w:rsidR="00140188" w:rsidRPr="00267AC9" w:rsidRDefault="00140188" w:rsidP="00140188">
      <w:pPr>
        <w:pStyle w:val="Default"/>
        <w:rPr>
          <w:lang w:val="ro-RO"/>
        </w:rPr>
      </w:pPr>
    </w:p>
    <w:p w14:paraId="1D26CDAC" w14:textId="77777777" w:rsidR="00140188" w:rsidRPr="00267AC9" w:rsidRDefault="00717D05" w:rsidP="00140188">
      <w:pPr>
        <w:pStyle w:val="Default"/>
        <w:rPr>
          <w:b/>
          <w:lang w:val="ro-RO"/>
        </w:rPr>
      </w:pPr>
      <w:r>
        <w:rPr>
          <w:b/>
          <w:lang w:val="ro-RO"/>
        </w:rPr>
        <w:t>Protecția consumatorilor</w:t>
      </w:r>
      <w:r w:rsidR="00992433" w:rsidRPr="00267AC9">
        <w:rPr>
          <w:b/>
          <w:lang w:val="ro-RO"/>
        </w:rPr>
        <w:t xml:space="preserve"> în mediul online</w:t>
      </w:r>
    </w:p>
    <w:p w14:paraId="74ACFAC0" w14:textId="77777777" w:rsidR="00140188" w:rsidRPr="00267AC9" w:rsidRDefault="00140188" w:rsidP="00140188">
      <w:pPr>
        <w:pStyle w:val="Default"/>
        <w:rPr>
          <w:lang w:val="ro-RO"/>
        </w:rPr>
      </w:pPr>
    </w:p>
    <w:p w14:paraId="2B1C8B97" w14:textId="77777777" w:rsidR="00271B3F" w:rsidRDefault="00047F18" w:rsidP="00140188">
      <w:pPr>
        <w:rPr>
          <w:sz w:val="23"/>
          <w:szCs w:val="23"/>
          <w:lang w:val="ro-RO"/>
        </w:rPr>
      </w:pPr>
      <w:r>
        <w:rPr>
          <w:b/>
          <w:bCs/>
          <w:sz w:val="23"/>
          <w:szCs w:val="23"/>
          <w:lang w:val="ro-RO"/>
        </w:rPr>
        <w:t>Mateea Predescu</w:t>
      </w:r>
      <w:r w:rsidR="00140188" w:rsidRPr="00267AC9">
        <w:rPr>
          <w:b/>
          <w:bCs/>
          <w:sz w:val="23"/>
          <w:szCs w:val="23"/>
          <w:lang w:val="ro-RO"/>
        </w:rPr>
        <w:t xml:space="preserve">, </w:t>
      </w:r>
      <w:r>
        <w:rPr>
          <w:sz w:val="23"/>
          <w:szCs w:val="23"/>
          <w:lang w:val="ro-RO"/>
        </w:rPr>
        <w:t>Managing Associate</w:t>
      </w:r>
      <w:r w:rsidR="00271B3F">
        <w:rPr>
          <w:sz w:val="23"/>
          <w:szCs w:val="23"/>
          <w:lang w:val="ro-RO"/>
        </w:rPr>
        <w:t xml:space="preserve"> </w:t>
      </w:r>
    </w:p>
    <w:p w14:paraId="0123F2CE" w14:textId="77777777" w:rsidR="00C34CEF" w:rsidRDefault="00C34CEF" w:rsidP="00140188">
      <w:pPr>
        <w:rPr>
          <w:sz w:val="23"/>
          <w:szCs w:val="23"/>
          <w:lang w:val="ro-RO"/>
        </w:rPr>
      </w:pPr>
      <w:r w:rsidRPr="00C34CEF">
        <w:rPr>
          <w:b/>
          <w:sz w:val="23"/>
          <w:szCs w:val="23"/>
          <w:lang w:val="ro-RO"/>
        </w:rPr>
        <w:t>Carmen Turcu</w:t>
      </w:r>
      <w:r>
        <w:rPr>
          <w:sz w:val="23"/>
          <w:szCs w:val="23"/>
          <w:lang w:val="ro-RO"/>
        </w:rPr>
        <w:t xml:space="preserve">, </w:t>
      </w:r>
      <w:r w:rsidRPr="00B1063E">
        <w:rPr>
          <w:sz w:val="23"/>
          <w:szCs w:val="23"/>
          <w:lang w:val="ro-RO"/>
        </w:rPr>
        <w:t>Senior</w:t>
      </w:r>
      <w:r>
        <w:rPr>
          <w:sz w:val="23"/>
          <w:szCs w:val="23"/>
          <w:lang w:val="ro-RO"/>
        </w:rPr>
        <w:t xml:space="preserve"> Associate</w:t>
      </w:r>
    </w:p>
    <w:p w14:paraId="5B267F3C" w14:textId="77777777" w:rsidR="00305F2D" w:rsidRPr="00267AC9" w:rsidRDefault="00305F2D" w:rsidP="00140188">
      <w:pPr>
        <w:rPr>
          <w:sz w:val="23"/>
          <w:szCs w:val="23"/>
          <w:lang w:val="ro-RO"/>
        </w:rPr>
      </w:pPr>
    </w:p>
    <w:p w14:paraId="6EEBF5B0" w14:textId="77777777" w:rsidR="00C34CEF" w:rsidRDefault="00F0777D" w:rsidP="00140188">
      <w:pPr>
        <w:rPr>
          <w:lang w:val="ro-RO"/>
        </w:rPr>
      </w:pPr>
      <w:r>
        <w:rPr>
          <w:lang w:val="ro-RO"/>
        </w:rPr>
        <w:t xml:space="preserve">La finalul anului 2021, </w:t>
      </w:r>
      <w:r w:rsidR="00992433" w:rsidRPr="00267AC9">
        <w:rPr>
          <w:lang w:val="ro-RO"/>
        </w:rPr>
        <w:t>Autoritatea Națională pentru P</w:t>
      </w:r>
      <w:r w:rsidR="00C34CEF">
        <w:rPr>
          <w:lang w:val="ro-RO"/>
        </w:rPr>
        <w:t xml:space="preserve">rotecția Consumatorilor (ANPC) </w:t>
      </w:r>
      <w:r w:rsidR="00992433" w:rsidRPr="00267AC9">
        <w:rPr>
          <w:lang w:val="ro-RO"/>
        </w:rPr>
        <w:t xml:space="preserve">a intensificat controalele </w:t>
      </w:r>
      <w:r w:rsidR="00990ED3">
        <w:rPr>
          <w:lang w:val="ro-RO"/>
        </w:rPr>
        <w:t>vizând</w:t>
      </w:r>
      <w:r w:rsidR="00271B3F">
        <w:rPr>
          <w:lang w:val="ro-RO"/>
        </w:rPr>
        <w:t xml:space="preserve"> societățil</w:t>
      </w:r>
      <w:r w:rsidR="00990ED3">
        <w:rPr>
          <w:lang w:val="ro-RO"/>
        </w:rPr>
        <w:t>e</w:t>
      </w:r>
      <w:r w:rsidR="00273340" w:rsidRPr="00267AC9">
        <w:rPr>
          <w:lang w:val="ro-RO"/>
        </w:rPr>
        <w:t xml:space="preserve"> </w:t>
      </w:r>
      <w:r w:rsidR="00990ED3">
        <w:rPr>
          <w:lang w:val="ro-RO"/>
        </w:rPr>
        <w:t>care activează pe piața din</w:t>
      </w:r>
      <w:r w:rsidR="00990ED3" w:rsidRPr="00267AC9">
        <w:rPr>
          <w:lang w:val="ro-RO"/>
        </w:rPr>
        <w:t xml:space="preserve"> </w:t>
      </w:r>
      <w:r w:rsidR="00990ED3">
        <w:rPr>
          <w:lang w:val="ro-RO"/>
        </w:rPr>
        <w:t>România</w:t>
      </w:r>
      <w:r w:rsidR="00C34CEF">
        <w:rPr>
          <w:lang w:val="ro-RO"/>
        </w:rPr>
        <w:t xml:space="preserve">, punând accent pe identificarea și sancționarea problemelor din mediul online. </w:t>
      </w:r>
    </w:p>
    <w:p w14:paraId="6D3D64E2" w14:textId="77777777" w:rsidR="005E560C" w:rsidRDefault="00992433" w:rsidP="0061726B">
      <w:pPr>
        <w:rPr>
          <w:lang w:val="ro-RO"/>
        </w:rPr>
      </w:pPr>
      <w:r w:rsidRPr="00267AC9">
        <w:rPr>
          <w:lang w:val="ro-RO"/>
        </w:rPr>
        <w:t>O atenție particulară din partea autorități</w:t>
      </w:r>
      <w:r w:rsidR="00C34CEF">
        <w:rPr>
          <w:lang w:val="ro-RO"/>
        </w:rPr>
        <w:t>lor</w:t>
      </w:r>
      <w:r w:rsidRPr="00267AC9">
        <w:rPr>
          <w:lang w:val="ro-RO"/>
        </w:rPr>
        <w:t xml:space="preserve"> a fost </w:t>
      </w:r>
      <w:r w:rsidR="00273340" w:rsidRPr="00267AC9">
        <w:rPr>
          <w:lang w:val="ro-RO"/>
        </w:rPr>
        <w:t xml:space="preserve">oferită vânzărilor la preț redus </w:t>
      </w:r>
      <w:r w:rsidR="00F0777D">
        <w:rPr>
          <w:lang w:val="ro-RO"/>
        </w:rPr>
        <w:t>afișate pe platformele</w:t>
      </w:r>
      <w:r w:rsidR="00273340" w:rsidRPr="00267AC9">
        <w:rPr>
          <w:lang w:val="ro-RO"/>
        </w:rPr>
        <w:t xml:space="preserve"> online. </w:t>
      </w:r>
      <w:r w:rsidR="00FF6F67" w:rsidRPr="00267AC9">
        <w:rPr>
          <w:lang w:val="ro-RO"/>
        </w:rPr>
        <w:t>Dovadă a preocupării sporite</w:t>
      </w:r>
      <w:r w:rsidR="00273340" w:rsidRPr="00267AC9">
        <w:rPr>
          <w:lang w:val="ro-RO"/>
        </w:rPr>
        <w:t xml:space="preserve"> asupra acestui segment de piață </w:t>
      </w:r>
      <w:r w:rsidR="00F0777D">
        <w:rPr>
          <w:lang w:val="ro-RO"/>
        </w:rPr>
        <w:t>îl reprezintă constituirea</w:t>
      </w:r>
      <w:r w:rsidR="00273340" w:rsidRPr="00267AC9">
        <w:rPr>
          <w:lang w:val="ro-RO"/>
        </w:rPr>
        <w:t xml:space="preserve"> Comandamentului Special Black Friday,</w:t>
      </w:r>
      <w:r w:rsidR="00FF6F67" w:rsidRPr="00267AC9">
        <w:rPr>
          <w:lang w:val="ro-RO"/>
        </w:rPr>
        <w:t xml:space="preserve"> înființat</w:t>
      </w:r>
      <w:r w:rsidR="00273340" w:rsidRPr="00267AC9">
        <w:rPr>
          <w:lang w:val="ro-RO"/>
        </w:rPr>
        <w:t xml:space="preserve"> cu ocazia ofertelor din perioada evenimentului cu același nume, o noutat</w:t>
      </w:r>
      <w:r w:rsidR="005E560C" w:rsidRPr="00267AC9">
        <w:rPr>
          <w:lang w:val="ro-RO"/>
        </w:rPr>
        <w:t>e față de anii anteriori</w:t>
      </w:r>
      <w:r w:rsidR="00FF6F67" w:rsidRPr="00267AC9">
        <w:rPr>
          <w:lang w:val="ro-RO"/>
        </w:rPr>
        <w:t>.</w:t>
      </w:r>
    </w:p>
    <w:p w14:paraId="67542D5B" w14:textId="77777777" w:rsidR="002F71D9" w:rsidRDefault="00C34CEF" w:rsidP="0061726B">
      <w:pPr>
        <w:rPr>
          <w:lang w:val="ro-RO"/>
        </w:rPr>
      </w:pPr>
      <w:r>
        <w:rPr>
          <w:lang w:val="ro-RO"/>
        </w:rPr>
        <w:t>Comisarii ANPC din cadrul Comandamentului au sancționat unele</w:t>
      </w:r>
      <w:r w:rsidR="002F71D9">
        <w:rPr>
          <w:lang w:val="ro-RO"/>
        </w:rPr>
        <w:t xml:space="preserve"> dintre ce</w:t>
      </w:r>
      <w:r w:rsidR="00F0777D">
        <w:rPr>
          <w:lang w:val="ro-RO"/>
        </w:rPr>
        <w:t>le mai cunoscute societăți care î</w:t>
      </w:r>
      <w:r w:rsidR="002F71D9">
        <w:rPr>
          <w:lang w:val="ro-RO"/>
        </w:rPr>
        <w:t>și desfășoară activitatea în mediul online pentru diverse încălcări. Printre problemele semnalate se numără lipsa indicării prețului de referință la care se aplica reducerea</w:t>
      </w:r>
      <w:r w:rsidR="00717D05">
        <w:rPr>
          <w:lang w:val="ro-RO"/>
        </w:rPr>
        <w:t xml:space="preserve">, </w:t>
      </w:r>
      <w:r w:rsidR="002F71D9">
        <w:rPr>
          <w:lang w:val="ro-RO"/>
        </w:rPr>
        <w:t xml:space="preserve">afișarea unui preț de referință care </w:t>
      </w:r>
      <w:r w:rsidR="002F71D9" w:rsidRPr="002F71D9">
        <w:rPr>
          <w:lang w:val="ro-RO"/>
        </w:rPr>
        <w:t>nu era cel mai mic preț pr</w:t>
      </w:r>
      <w:r w:rsidR="002F71D9">
        <w:rPr>
          <w:lang w:val="ro-RO"/>
        </w:rPr>
        <w:t>acticat în ultimele 30 de zile</w:t>
      </w:r>
      <w:r w:rsidR="00717D05">
        <w:rPr>
          <w:lang w:val="ro-RO"/>
        </w:rPr>
        <w:t xml:space="preserve">, </w:t>
      </w:r>
      <w:r w:rsidR="002F71D9">
        <w:rPr>
          <w:lang w:val="ro-RO"/>
        </w:rPr>
        <w:t xml:space="preserve">lipsa </w:t>
      </w:r>
      <w:r w:rsidR="002F71D9" w:rsidRPr="002F71D9">
        <w:rPr>
          <w:lang w:val="ro-RO"/>
        </w:rPr>
        <w:t xml:space="preserve">indicării datei la care </w:t>
      </w:r>
      <w:r w:rsidR="00271B3F">
        <w:rPr>
          <w:lang w:val="ro-RO"/>
        </w:rPr>
        <w:t>înceta</w:t>
      </w:r>
      <w:r w:rsidR="002F71D9" w:rsidRPr="002F71D9">
        <w:rPr>
          <w:lang w:val="ro-RO"/>
        </w:rPr>
        <w:t xml:space="preserve"> oferta sau </w:t>
      </w:r>
      <w:r w:rsidR="002F71D9">
        <w:rPr>
          <w:lang w:val="ro-RO"/>
        </w:rPr>
        <w:t>a mențiunii că</w:t>
      </w:r>
      <w:r w:rsidR="002F71D9" w:rsidRPr="002F71D9">
        <w:rPr>
          <w:lang w:val="ro-RO"/>
        </w:rPr>
        <w:t xml:space="preserve"> oferta se referă la stocul de bunuri disponibil</w:t>
      </w:r>
      <w:r w:rsidR="002F71D9">
        <w:rPr>
          <w:lang w:val="ro-RO"/>
        </w:rPr>
        <w:t xml:space="preserve">. </w:t>
      </w:r>
    </w:p>
    <w:p w14:paraId="235CF49F" w14:textId="77777777" w:rsidR="004C402E" w:rsidRDefault="000E4A0F" w:rsidP="004C402E">
      <w:pPr>
        <w:rPr>
          <w:lang w:val="ro-RO"/>
        </w:rPr>
      </w:pPr>
      <w:r>
        <w:rPr>
          <w:lang w:val="ro-RO"/>
        </w:rPr>
        <w:t xml:space="preserve">Este de notorietate intenția comisarilor ANPC de suspendare a activității unuia dintre cele mai circulate site-uri de comerț online de </w:t>
      </w:r>
      <w:r w:rsidRPr="000E4A0F">
        <w:rPr>
          <w:lang w:val="ro-RO"/>
        </w:rPr>
        <w:t>prod</w:t>
      </w:r>
      <w:r w:rsidR="00271B3F">
        <w:rPr>
          <w:lang w:val="ro-RO"/>
        </w:rPr>
        <w:t xml:space="preserve">use electronice </w:t>
      </w:r>
      <w:r>
        <w:rPr>
          <w:lang w:val="ro-RO"/>
        </w:rPr>
        <w:t xml:space="preserve">și electrocasnice din România, </w:t>
      </w:r>
      <w:r w:rsidRPr="000E4A0F">
        <w:rPr>
          <w:lang w:val="ro-RO"/>
        </w:rPr>
        <w:t xml:space="preserve">măsură cu un impact major atât pentru compania în cauză, cât și pentru producătorii ale căror produse erau vândute pe platforma respectivă. </w:t>
      </w:r>
    </w:p>
    <w:p w14:paraId="40213534" w14:textId="77777777" w:rsidR="007B2B29" w:rsidRDefault="007B2B29" w:rsidP="004C402E">
      <w:pPr>
        <w:rPr>
          <w:lang w:val="ro-RO"/>
        </w:rPr>
      </w:pPr>
      <w:r>
        <w:rPr>
          <w:lang w:val="ro-RO"/>
        </w:rPr>
        <w:t>Respectarea prevederilor din domeniul protecției consumatorilor în mediul online și în sfera e-commerce a făcut și obiectul controalelor desfășurate la nivelul Uniunii Europene</w:t>
      </w:r>
      <w:r w:rsidR="00325F9D">
        <w:rPr>
          <w:lang w:val="ro-RO"/>
        </w:rPr>
        <w:t>,</w:t>
      </w:r>
      <w:r>
        <w:rPr>
          <w:lang w:val="ro-RO"/>
        </w:rPr>
        <w:t xml:space="preserve"> în diverse sectoare, inclusiv prin Acțiunea Sweep Internet derulată de Comisia Europeană la finalul anului 2021. </w:t>
      </w:r>
      <w:r w:rsidR="00325F9D">
        <w:rPr>
          <w:lang w:val="ro-RO"/>
        </w:rPr>
        <w:t>A</w:t>
      </w:r>
      <w:r>
        <w:rPr>
          <w:lang w:val="ro-RO"/>
        </w:rPr>
        <w:t xml:space="preserve">ceastă acțiune, la care a luat parte și ANPC, </w:t>
      </w:r>
      <w:r w:rsidR="00325F9D">
        <w:rPr>
          <w:lang w:val="ro-RO"/>
        </w:rPr>
        <w:t>a vizat</w:t>
      </w:r>
      <w:r w:rsidRPr="007B2B29">
        <w:rPr>
          <w:lang w:val="ro-RO"/>
        </w:rPr>
        <w:t xml:space="preserve"> practicil</w:t>
      </w:r>
      <w:r>
        <w:rPr>
          <w:lang w:val="ro-RO"/>
        </w:rPr>
        <w:t>e</w:t>
      </w:r>
      <w:r w:rsidRPr="007B2B29">
        <w:rPr>
          <w:lang w:val="ro-RO"/>
        </w:rPr>
        <w:t xml:space="preserve"> înșelătoare în colectarea și prezentarea recenziilor consumatorilor</w:t>
      </w:r>
      <w:r>
        <w:rPr>
          <w:lang w:val="ro-RO"/>
        </w:rPr>
        <w:t xml:space="preserve">. Rezultatele verificării Comisiei Europene, publicate în 20 ianuarie 2022, arată că aproape </w:t>
      </w:r>
      <w:r w:rsidR="00997347">
        <w:rPr>
          <w:lang w:val="ro-RO"/>
        </w:rPr>
        <w:t>55</w:t>
      </w:r>
      <w:r w:rsidRPr="007B2B29">
        <w:rPr>
          <w:lang w:val="ro-RO"/>
        </w:rPr>
        <w:t xml:space="preserve">% dintre </w:t>
      </w:r>
      <w:r w:rsidR="00325F9D">
        <w:rPr>
          <w:lang w:val="ro-RO"/>
        </w:rPr>
        <w:t>web</w:t>
      </w:r>
      <w:r w:rsidRPr="007B2B29">
        <w:rPr>
          <w:lang w:val="ro-RO"/>
        </w:rPr>
        <w:t xml:space="preserve">site-urile </w:t>
      </w:r>
      <w:r w:rsidR="00325F9D">
        <w:rPr>
          <w:lang w:val="ro-RO"/>
        </w:rPr>
        <w:t>verificate</w:t>
      </w:r>
      <w:r w:rsidRPr="007B2B29">
        <w:rPr>
          <w:lang w:val="ro-RO"/>
        </w:rPr>
        <w:t xml:space="preserve"> încalcă legislația UE</w:t>
      </w:r>
      <w:r>
        <w:rPr>
          <w:lang w:val="ro-RO"/>
        </w:rPr>
        <w:t>.</w:t>
      </w:r>
    </w:p>
    <w:p w14:paraId="5502E3A1" w14:textId="77777777" w:rsidR="000E4A0F" w:rsidRPr="000E4A0F" w:rsidRDefault="000E4A0F" w:rsidP="004C402E">
      <w:pPr>
        <w:rPr>
          <w:lang w:val="ro-RO"/>
        </w:rPr>
      </w:pPr>
      <w:r w:rsidRPr="00ED4572">
        <w:rPr>
          <w:b/>
          <w:lang w:val="ro-RO"/>
        </w:rPr>
        <w:t>Companiile care își desfășoară activitatea în mediul online ar trebui să fie atente în mod particular la</w:t>
      </w:r>
      <w:r>
        <w:rPr>
          <w:lang w:val="ro-RO"/>
        </w:rPr>
        <w:t>:</w:t>
      </w:r>
    </w:p>
    <w:p w14:paraId="6AE38C39" w14:textId="77777777" w:rsidR="00D91811" w:rsidRPr="00267AC9" w:rsidRDefault="00D91811" w:rsidP="00D91811">
      <w:pPr>
        <w:pStyle w:val="ListParagraph"/>
        <w:numPr>
          <w:ilvl w:val="0"/>
          <w:numId w:val="4"/>
        </w:numPr>
        <w:contextualSpacing w:val="0"/>
        <w:rPr>
          <w:lang w:val="ro-RO"/>
        </w:rPr>
      </w:pPr>
      <w:r w:rsidRPr="00267AC9">
        <w:rPr>
          <w:lang w:val="ro-RO"/>
        </w:rPr>
        <w:t>informațiile afișate pe website-uri;</w:t>
      </w:r>
    </w:p>
    <w:p w14:paraId="368766C3" w14:textId="77777777" w:rsidR="00D91811" w:rsidRPr="00267AC9" w:rsidRDefault="00D91811" w:rsidP="00D91811">
      <w:pPr>
        <w:pStyle w:val="ListParagraph"/>
        <w:numPr>
          <w:ilvl w:val="0"/>
          <w:numId w:val="4"/>
        </w:numPr>
        <w:contextualSpacing w:val="0"/>
        <w:rPr>
          <w:lang w:val="ro-RO"/>
        </w:rPr>
      </w:pPr>
      <w:r w:rsidRPr="00267AC9">
        <w:rPr>
          <w:lang w:val="ro-RO"/>
        </w:rPr>
        <w:lastRenderedPageBreak/>
        <w:t>afirmațiile privind calificarea și caracteristicile esențiale ale produselor și serviciilor și materialele care le susțin (e.g., studii, analize, cercetări);</w:t>
      </w:r>
    </w:p>
    <w:p w14:paraId="037E0AA7" w14:textId="77777777" w:rsidR="00D91811" w:rsidRPr="00267AC9" w:rsidRDefault="00D91811" w:rsidP="00D91811">
      <w:pPr>
        <w:pStyle w:val="ListParagraph"/>
        <w:numPr>
          <w:ilvl w:val="0"/>
          <w:numId w:val="4"/>
        </w:numPr>
        <w:contextualSpacing w:val="0"/>
        <w:rPr>
          <w:lang w:val="ro-RO"/>
        </w:rPr>
      </w:pPr>
      <w:r w:rsidRPr="00267AC9">
        <w:rPr>
          <w:lang w:val="ro-RO"/>
        </w:rPr>
        <w:t>garanțiile aferente produselor și serviciilor;</w:t>
      </w:r>
    </w:p>
    <w:p w14:paraId="156B6AE8" w14:textId="77777777" w:rsidR="00D91811" w:rsidRPr="00267AC9" w:rsidRDefault="00D91811" w:rsidP="00D91811">
      <w:pPr>
        <w:pStyle w:val="ListParagraph"/>
        <w:numPr>
          <w:ilvl w:val="0"/>
          <w:numId w:val="4"/>
        </w:numPr>
        <w:contextualSpacing w:val="0"/>
        <w:rPr>
          <w:lang w:val="ro-RO"/>
        </w:rPr>
      </w:pPr>
      <w:r w:rsidRPr="00267AC9">
        <w:rPr>
          <w:lang w:val="ro-RO"/>
        </w:rPr>
        <w:t>contractele încheiate cu consumatorii;</w:t>
      </w:r>
    </w:p>
    <w:p w14:paraId="54F10FA3" w14:textId="77777777" w:rsidR="00D91811" w:rsidRPr="00267AC9" w:rsidRDefault="00D91811" w:rsidP="00D91811">
      <w:pPr>
        <w:pStyle w:val="ListParagraph"/>
        <w:numPr>
          <w:ilvl w:val="0"/>
          <w:numId w:val="4"/>
        </w:numPr>
        <w:contextualSpacing w:val="0"/>
        <w:rPr>
          <w:lang w:val="ro-RO"/>
        </w:rPr>
      </w:pPr>
      <w:r w:rsidRPr="00267AC9">
        <w:rPr>
          <w:lang w:val="ro-RO"/>
        </w:rPr>
        <w:t xml:space="preserve">posibilitatea </w:t>
      </w:r>
      <w:r w:rsidR="0012724B" w:rsidRPr="00267AC9">
        <w:rPr>
          <w:lang w:val="ro-RO"/>
        </w:rPr>
        <w:t>retragerii</w:t>
      </w:r>
      <w:r w:rsidRPr="00267AC9">
        <w:rPr>
          <w:lang w:val="ro-RO"/>
        </w:rPr>
        <w:t xml:space="preserve"> din contract; </w:t>
      </w:r>
    </w:p>
    <w:p w14:paraId="3EF1B363" w14:textId="77777777" w:rsidR="00D91811" w:rsidRPr="00267AC9" w:rsidRDefault="00D91811" w:rsidP="00D91811">
      <w:pPr>
        <w:pStyle w:val="ListParagraph"/>
        <w:numPr>
          <w:ilvl w:val="0"/>
          <w:numId w:val="4"/>
        </w:numPr>
        <w:contextualSpacing w:val="0"/>
        <w:rPr>
          <w:lang w:val="ro-RO"/>
        </w:rPr>
      </w:pPr>
      <w:r w:rsidRPr="00267AC9">
        <w:rPr>
          <w:lang w:val="ro-RO"/>
        </w:rPr>
        <w:t>comunicările de vânzări și marketing;</w:t>
      </w:r>
    </w:p>
    <w:p w14:paraId="597BA844" w14:textId="77777777" w:rsidR="00D91811" w:rsidRPr="00267AC9" w:rsidRDefault="00D91811" w:rsidP="00D91811">
      <w:pPr>
        <w:pStyle w:val="ListParagraph"/>
        <w:numPr>
          <w:ilvl w:val="0"/>
          <w:numId w:val="4"/>
        </w:numPr>
        <w:contextualSpacing w:val="0"/>
        <w:rPr>
          <w:lang w:val="ro-RO"/>
        </w:rPr>
      </w:pPr>
      <w:r w:rsidRPr="00267AC9">
        <w:rPr>
          <w:lang w:val="ro-RO"/>
        </w:rPr>
        <w:t>ofertele promoționale;</w:t>
      </w:r>
    </w:p>
    <w:p w14:paraId="77F32798" w14:textId="77777777" w:rsidR="00D91811" w:rsidRPr="00267AC9" w:rsidRDefault="00D91811" w:rsidP="00D91811">
      <w:pPr>
        <w:pStyle w:val="ListParagraph"/>
        <w:numPr>
          <w:ilvl w:val="0"/>
          <w:numId w:val="4"/>
        </w:numPr>
        <w:contextualSpacing w:val="0"/>
        <w:rPr>
          <w:lang w:val="ro-RO"/>
        </w:rPr>
      </w:pPr>
      <w:r w:rsidRPr="00267AC9">
        <w:rPr>
          <w:lang w:val="ro-RO"/>
        </w:rPr>
        <w:t>cuvintele-cheie folosite în motoarele de căutare;</w:t>
      </w:r>
    </w:p>
    <w:p w14:paraId="4642EBD4" w14:textId="77777777" w:rsidR="0012724B" w:rsidRPr="00267AC9" w:rsidRDefault="0012724B" w:rsidP="00D91811">
      <w:pPr>
        <w:pStyle w:val="ListParagraph"/>
        <w:numPr>
          <w:ilvl w:val="0"/>
          <w:numId w:val="4"/>
        </w:numPr>
        <w:contextualSpacing w:val="0"/>
        <w:rPr>
          <w:lang w:val="ro-RO"/>
        </w:rPr>
      </w:pPr>
      <w:r w:rsidRPr="00267AC9">
        <w:rPr>
          <w:lang w:val="ro-RO"/>
        </w:rPr>
        <w:t>recenziile publicate pe website;</w:t>
      </w:r>
    </w:p>
    <w:p w14:paraId="105DF65D" w14:textId="77777777" w:rsidR="00FE2839" w:rsidRPr="00267AC9" w:rsidRDefault="00D91811" w:rsidP="0012724B">
      <w:pPr>
        <w:pStyle w:val="ListParagraph"/>
        <w:numPr>
          <w:ilvl w:val="0"/>
          <w:numId w:val="4"/>
        </w:numPr>
        <w:contextualSpacing w:val="0"/>
        <w:rPr>
          <w:lang w:val="ro-RO"/>
        </w:rPr>
      </w:pPr>
      <w:r w:rsidRPr="00267AC9">
        <w:rPr>
          <w:lang w:val="ro-RO"/>
        </w:rPr>
        <w:t xml:space="preserve">alte practici comerciale </w:t>
      </w:r>
      <w:r w:rsidR="0012724B" w:rsidRPr="00267AC9">
        <w:rPr>
          <w:lang w:val="ro-RO"/>
        </w:rPr>
        <w:t xml:space="preserve">care ar putea fi considerate </w:t>
      </w:r>
      <w:r w:rsidRPr="00267AC9">
        <w:rPr>
          <w:lang w:val="ro-RO"/>
        </w:rPr>
        <w:t>înșelătoare sau agresive</w:t>
      </w:r>
      <w:r w:rsidR="00FE2839" w:rsidRPr="00267AC9">
        <w:rPr>
          <w:lang w:val="ro-RO"/>
        </w:rPr>
        <w:t>.</w:t>
      </w:r>
    </w:p>
    <w:p w14:paraId="7FC11929" w14:textId="77777777" w:rsidR="0012724B" w:rsidRPr="00B77367" w:rsidRDefault="00B77367" w:rsidP="007D40E9">
      <w:pPr>
        <w:rPr>
          <w:lang w:val="ro-RO"/>
        </w:rPr>
      </w:pPr>
      <w:r w:rsidRPr="00B77367">
        <w:rPr>
          <w:lang w:val="ro-RO"/>
        </w:rPr>
        <w:t xml:space="preserve">Atunci când lansează produse sau </w:t>
      </w:r>
      <w:r w:rsidR="00717D05">
        <w:rPr>
          <w:lang w:val="ro-RO"/>
        </w:rPr>
        <w:t>servicii</w:t>
      </w:r>
      <w:r w:rsidR="00717D05" w:rsidRPr="00B77367">
        <w:rPr>
          <w:lang w:val="ro-RO"/>
        </w:rPr>
        <w:t xml:space="preserve"> </w:t>
      </w:r>
      <w:r w:rsidRPr="00B77367">
        <w:rPr>
          <w:lang w:val="ro-RO"/>
        </w:rPr>
        <w:t xml:space="preserve">noi pe piața din România, </w:t>
      </w:r>
      <w:r w:rsidR="00717D05">
        <w:rPr>
          <w:lang w:val="ro-RO"/>
        </w:rPr>
        <w:t xml:space="preserve">campaniile </w:t>
      </w:r>
      <w:r w:rsidR="00F55F29">
        <w:rPr>
          <w:lang w:val="ro-RO"/>
        </w:rPr>
        <w:t xml:space="preserve">de </w:t>
      </w:r>
      <w:r w:rsidR="00717D05">
        <w:rPr>
          <w:lang w:val="ro-RO"/>
        </w:rPr>
        <w:t>promo</w:t>
      </w:r>
      <w:r w:rsidR="00F55F29">
        <w:rPr>
          <w:lang w:val="ro-RO"/>
        </w:rPr>
        <w:t>vare, publicitate</w:t>
      </w:r>
      <w:r w:rsidR="00717D05">
        <w:rPr>
          <w:lang w:val="ro-RO"/>
        </w:rPr>
        <w:t xml:space="preserve"> și de vânzări sunt concepute </w:t>
      </w:r>
      <w:r w:rsidRPr="00B77367">
        <w:rPr>
          <w:lang w:val="ro-RO"/>
        </w:rPr>
        <w:t>țin</w:t>
      </w:r>
      <w:r w:rsidR="00717D05">
        <w:rPr>
          <w:lang w:val="ro-RO"/>
        </w:rPr>
        <w:t>ând</w:t>
      </w:r>
      <w:r w:rsidRPr="00B77367">
        <w:rPr>
          <w:lang w:val="ro-RO"/>
        </w:rPr>
        <w:t xml:space="preserve"> cont de </w:t>
      </w:r>
      <w:r w:rsidR="00717D05">
        <w:rPr>
          <w:lang w:val="ro-RO"/>
        </w:rPr>
        <w:t xml:space="preserve">specificul local, inclusiv de </w:t>
      </w:r>
      <w:r w:rsidRPr="00B77367">
        <w:rPr>
          <w:lang w:val="ro-RO"/>
        </w:rPr>
        <w:t xml:space="preserve">practica existentă la nivelul pieței. Cu toate </w:t>
      </w:r>
      <w:r>
        <w:rPr>
          <w:lang w:val="ro-RO"/>
        </w:rPr>
        <w:t xml:space="preserve">acestea, </w:t>
      </w:r>
      <w:r w:rsidRPr="00271B3F">
        <w:rPr>
          <w:b/>
          <w:lang w:val="ro-RO"/>
        </w:rPr>
        <w:t xml:space="preserve">faptul că o </w:t>
      </w:r>
      <w:r w:rsidR="007D40E9" w:rsidRPr="00271B3F">
        <w:rPr>
          <w:b/>
          <w:lang w:val="ro-RO"/>
        </w:rPr>
        <w:t xml:space="preserve">anumită practică este des întâlnită în piață nu </w:t>
      </w:r>
      <w:r w:rsidRPr="00271B3F">
        <w:rPr>
          <w:b/>
          <w:lang w:val="ro-RO"/>
        </w:rPr>
        <w:t>înseamnă întotdeauna că aceasta respectă legislația în vigoare sau că este acceptată de autorități</w:t>
      </w:r>
      <w:r w:rsidR="00F55F29">
        <w:rPr>
          <w:lang w:val="ro-RO"/>
        </w:rPr>
        <w:t xml:space="preserve">. </w:t>
      </w:r>
      <w:r>
        <w:rPr>
          <w:lang w:val="ro-RO"/>
        </w:rPr>
        <w:t xml:space="preserve">ANPC a lansat în numeroase ocazii operațiuni ample de control în </w:t>
      </w:r>
      <w:r w:rsidR="00305F2D">
        <w:rPr>
          <w:lang w:val="ro-RO"/>
        </w:rPr>
        <w:t>cadrul cărora</w:t>
      </w:r>
      <w:r>
        <w:rPr>
          <w:lang w:val="ro-RO"/>
        </w:rPr>
        <w:t xml:space="preserve"> a sancționat un procent important din societățile acționând pe aceeași piață</w:t>
      </w:r>
      <w:r w:rsidR="00F55F29">
        <w:rPr>
          <w:lang w:val="ro-RO"/>
        </w:rPr>
        <w:t xml:space="preserve"> pentru anumite practici generalizate care nu respectau legislația în domeniul protecției consumatorilor</w:t>
      </w:r>
      <w:r>
        <w:rPr>
          <w:lang w:val="ro-RO"/>
        </w:rPr>
        <w:t xml:space="preserve">. </w:t>
      </w:r>
    </w:p>
    <w:p w14:paraId="2DEF2FC2" w14:textId="77777777" w:rsidR="000E4A0F" w:rsidRDefault="00B77367" w:rsidP="00267AC9">
      <w:pPr>
        <w:rPr>
          <w:b/>
          <w:lang w:val="ro-RO"/>
        </w:rPr>
      </w:pPr>
      <w:r>
        <w:rPr>
          <w:lang w:val="ro-RO"/>
        </w:rPr>
        <w:t xml:space="preserve">Prin raportare la cele mai recente reglementări în </w:t>
      </w:r>
      <w:r w:rsidR="00F55F29">
        <w:rPr>
          <w:lang w:val="ro-RO"/>
        </w:rPr>
        <w:t xml:space="preserve">acest </w:t>
      </w:r>
      <w:r>
        <w:rPr>
          <w:lang w:val="ro-RO"/>
        </w:rPr>
        <w:t xml:space="preserve">domeniu, la practica autorităților și a instanțelor din România, atragem atenția asupra faptului că </w:t>
      </w:r>
      <w:r w:rsidRPr="00ED4572">
        <w:rPr>
          <w:b/>
          <w:lang w:val="ro-RO"/>
        </w:rPr>
        <w:t>prevenția este esențială mai ales în mediul online</w:t>
      </w:r>
      <w:r>
        <w:rPr>
          <w:lang w:val="ro-RO"/>
        </w:rPr>
        <w:t>, în care toate informațiile sun</w:t>
      </w:r>
      <w:r w:rsidR="00FE0389">
        <w:rPr>
          <w:lang w:val="ro-RO"/>
        </w:rPr>
        <w:t xml:space="preserve">t publice, iar </w:t>
      </w:r>
      <w:r w:rsidR="00F55F29">
        <w:rPr>
          <w:lang w:val="ro-RO"/>
        </w:rPr>
        <w:t>autoritățile pot</w:t>
      </w:r>
      <w:r w:rsidR="00FE0389">
        <w:rPr>
          <w:lang w:val="ro-RO"/>
        </w:rPr>
        <w:t xml:space="preserve"> aduna o cantitate mare de date și informații înainte ca societatea să afle că este supusă controlului. </w:t>
      </w:r>
    </w:p>
    <w:p w14:paraId="4C07F4AD" w14:textId="77777777" w:rsidR="00F55F29" w:rsidRDefault="00F55F29" w:rsidP="00F55F29">
      <w:pPr>
        <w:rPr>
          <w:lang w:val="ro-RO"/>
        </w:rPr>
      </w:pPr>
      <w:r>
        <w:rPr>
          <w:lang w:val="ro-RO"/>
        </w:rPr>
        <w:t xml:space="preserve">Amenzile aplicate de ANPC pot fi însoțite de </w:t>
      </w:r>
      <w:r w:rsidRPr="002F71D9">
        <w:rPr>
          <w:lang w:val="ro-RO"/>
        </w:rPr>
        <w:t>sancțiuni complementare care pot afecta substanțial activitatea unei societăți</w:t>
      </w:r>
      <w:r>
        <w:rPr>
          <w:lang w:val="ro-RO"/>
        </w:rPr>
        <w:t xml:space="preserve">, precum suspendarea activității societății, </w:t>
      </w:r>
      <w:r w:rsidRPr="004C402E">
        <w:rPr>
          <w:lang w:val="ro-RO"/>
        </w:rPr>
        <w:t>suspend</w:t>
      </w:r>
      <w:r>
        <w:rPr>
          <w:lang w:val="ro-RO"/>
        </w:rPr>
        <w:t>area sau retragerea definitivă a unor avize, acorduri sau a autorizației</w:t>
      </w:r>
      <w:r w:rsidRPr="004C402E">
        <w:rPr>
          <w:lang w:val="ro-RO"/>
        </w:rPr>
        <w:t xml:space="preserve"> de exercitare a </w:t>
      </w:r>
      <w:r>
        <w:rPr>
          <w:lang w:val="ro-RO"/>
        </w:rPr>
        <w:t xml:space="preserve">activității, suspendarea activității site-ului/platformei unde au fost identificate încălcările și alte sancțiuni semnificative. </w:t>
      </w:r>
    </w:p>
    <w:p w14:paraId="68426A76" w14:textId="77777777" w:rsidR="000E4A0F" w:rsidRPr="00267AC9" w:rsidRDefault="000E4A0F" w:rsidP="000E4A0F">
      <w:pPr>
        <w:rPr>
          <w:lang w:val="ro-RO"/>
        </w:rPr>
      </w:pPr>
      <w:r w:rsidRPr="00B1063E">
        <w:rPr>
          <w:lang w:val="ro-RO"/>
        </w:rPr>
        <w:t>Cuantumul amenzilor ar putea crește semnificativ</w:t>
      </w:r>
      <w:r w:rsidRPr="00F55F29">
        <w:rPr>
          <w:lang w:val="ro-RO"/>
        </w:rPr>
        <w:t xml:space="preserve"> </w:t>
      </w:r>
      <w:r w:rsidR="00FE0389" w:rsidRPr="00B1063E">
        <w:rPr>
          <w:lang w:val="ro-RO"/>
        </w:rPr>
        <w:t>în următoarea perioadă</w:t>
      </w:r>
      <w:r w:rsidR="00FE0389">
        <w:rPr>
          <w:lang w:val="ro-RO"/>
        </w:rPr>
        <w:t>, având în vedere, printre altele, obligația României de a transpune Directiva</w:t>
      </w:r>
      <w:r w:rsidRPr="00267AC9">
        <w:rPr>
          <w:lang w:val="ro-RO"/>
        </w:rPr>
        <w:t xml:space="preserve"> Omnibus (UE) 2019/2161</w:t>
      </w:r>
      <w:r w:rsidR="00FE0389">
        <w:rPr>
          <w:lang w:val="ro-RO"/>
        </w:rPr>
        <w:t xml:space="preserve">, urmând ca </w:t>
      </w:r>
      <w:r w:rsidRPr="00267AC9">
        <w:rPr>
          <w:lang w:val="ro-RO"/>
        </w:rPr>
        <w:t xml:space="preserve">încălcarea anumitor norme de protecție a consumatorilor </w:t>
      </w:r>
      <w:r w:rsidR="00FE0389">
        <w:rPr>
          <w:lang w:val="ro-RO"/>
        </w:rPr>
        <w:t>să</w:t>
      </w:r>
      <w:r w:rsidRPr="00267AC9">
        <w:rPr>
          <w:lang w:val="ro-RO"/>
        </w:rPr>
        <w:t xml:space="preserve"> fi</w:t>
      </w:r>
      <w:r w:rsidR="00FE0389">
        <w:rPr>
          <w:lang w:val="ro-RO"/>
        </w:rPr>
        <w:t>e</w:t>
      </w:r>
      <w:r w:rsidRPr="00267AC9">
        <w:rPr>
          <w:lang w:val="ro-RO"/>
        </w:rPr>
        <w:t xml:space="preserve"> sancționată cu amenzi </w:t>
      </w:r>
      <w:r w:rsidR="00FE0389">
        <w:rPr>
          <w:lang w:val="ro-RO"/>
        </w:rPr>
        <w:t>calculate ca un procent</w:t>
      </w:r>
      <w:r w:rsidRPr="00267AC9">
        <w:rPr>
          <w:lang w:val="ro-RO"/>
        </w:rPr>
        <w:t xml:space="preserve"> din cifra de afaceri.</w:t>
      </w:r>
    </w:p>
    <w:p w14:paraId="56FB13FF" w14:textId="77777777" w:rsidR="00FE0389" w:rsidRDefault="00FE0389">
      <w:pPr>
        <w:rPr>
          <w:bCs/>
          <w:lang w:val="ro-RO"/>
        </w:rPr>
      </w:pPr>
      <w:r w:rsidRPr="00FE0389">
        <w:rPr>
          <w:lang w:val="ro-RO"/>
        </w:rPr>
        <w:t>Încălcările dispozițiilor legii privind protecția consumatorului pot fi sesizate, de regulă, de consumatori (persoane fizice), dar și de asociații și organizații și, în anumite situații, de operator</w:t>
      </w:r>
      <w:r w:rsidR="00271B3F">
        <w:rPr>
          <w:lang w:val="ro-RO"/>
        </w:rPr>
        <w:t>i</w:t>
      </w:r>
      <w:r w:rsidRPr="00FE0389">
        <w:rPr>
          <w:lang w:val="ro-RO"/>
        </w:rPr>
        <w:t xml:space="preserve">i </w:t>
      </w:r>
      <w:r w:rsidRPr="00FE0389">
        <w:rPr>
          <w:lang w:val="ro-RO"/>
        </w:rPr>
        <w:lastRenderedPageBreak/>
        <w:t xml:space="preserve">economici. </w:t>
      </w:r>
      <w:r w:rsidR="00F55F29">
        <w:rPr>
          <w:lang w:val="ro-RO"/>
        </w:rPr>
        <w:t>Î</w:t>
      </w:r>
      <w:r>
        <w:rPr>
          <w:lang w:val="ro-RO"/>
        </w:rPr>
        <w:t xml:space="preserve">n ultimii ani am remarcat o creștere a frecvenței reclamațiilor și petițiilor depuse la ANPC, dar și la alte autorități cu competențe în domeniul protecției consumatorilor, inclusiv </w:t>
      </w:r>
      <w:r w:rsidRPr="00FE0389">
        <w:rPr>
          <w:bCs/>
          <w:lang w:val="ro-RO"/>
        </w:rPr>
        <w:t>Autorita</w:t>
      </w:r>
      <w:r>
        <w:rPr>
          <w:bCs/>
          <w:lang w:val="ro-RO"/>
        </w:rPr>
        <w:t xml:space="preserve">tea de Supraveghere Financiară </w:t>
      </w:r>
      <w:r w:rsidRPr="00FE0389">
        <w:rPr>
          <w:bCs/>
          <w:lang w:val="ro-RO"/>
        </w:rPr>
        <w:t>și Consiliul N</w:t>
      </w:r>
      <w:r>
        <w:rPr>
          <w:bCs/>
          <w:lang w:val="ro-RO"/>
        </w:rPr>
        <w:t xml:space="preserve">ațional al Audiovizualului, cu consecința </w:t>
      </w:r>
      <w:r w:rsidR="00271B3F">
        <w:rPr>
          <w:bCs/>
          <w:lang w:val="ro-RO"/>
        </w:rPr>
        <w:t>aplicării</w:t>
      </w:r>
      <w:r>
        <w:rPr>
          <w:bCs/>
          <w:lang w:val="ro-RO"/>
        </w:rPr>
        <w:t xml:space="preserve"> unor sancțiuni individuale sau a lansării unor operațiuni de </w:t>
      </w:r>
      <w:r w:rsidR="00F55F29">
        <w:rPr>
          <w:bCs/>
          <w:lang w:val="ro-RO"/>
        </w:rPr>
        <w:t>control tematic</w:t>
      </w:r>
      <w:r>
        <w:rPr>
          <w:bCs/>
          <w:lang w:val="ro-RO"/>
        </w:rPr>
        <w:t xml:space="preserve">. </w:t>
      </w:r>
    </w:p>
    <w:p w14:paraId="793B0363" w14:textId="77777777" w:rsidR="00325F9D" w:rsidRDefault="00F55F29">
      <w:pPr>
        <w:rPr>
          <w:bCs/>
          <w:lang w:val="ro-RO"/>
        </w:rPr>
      </w:pPr>
      <w:r>
        <w:rPr>
          <w:bCs/>
          <w:lang w:val="ro-RO"/>
        </w:rPr>
        <w:t xml:space="preserve">Apreciem </w:t>
      </w:r>
      <w:r w:rsidR="00FE0389">
        <w:rPr>
          <w:bCs/>
          <w:lang w:val="ro-RO"/>
        </w:rPr>
        <w:t xml:space="preserve">că </w:t>
      </w:r>
      <w:r>
        <w:rPr>
          <w:bCs/>
          <w:lang w:val="ro-RO"/>
        </w:rPr>
        <w:t xml:space="preserve">ANPC va continua și va extinde controalele </w:t>
      </w:r>
      <w:r w:rsidR="00FE0389">
        <w:rPr>
          <w:bCs/>
          <w:lang w:val="ro-RO"/>
        </w:rPr>
        <w:t xml:space="preserve">în mediul online, </w:t>
      </w:r>
      <w:r w:rsidR="00F31676">
        <w:rPr>
          <w:bCs/>
          <w:lang w:val="ro-RO"/>
        </w:rPr>
        <w:t xml:space="preserve">ținând cont inclusiv de practica autorităților competente din alte state membre ale Uniunii Europene, care alocă </w:t>
      </w:r>
      <w:r w:rsidR="00FE0389">
        <w:rPr>
          <w:bCs/>
          <w:lang w:val="ro-RO"/>
        </w:rPr>
        <w:t xml:space="preserve">resurse </w:t>
      </w:r>
      <w:r w:rsidR="00F31676">
        <w:rPr>
          <w:bCs/>
          <w:lang w:val="ro-RO"/>
        </w:rPr>
        <w:t xml:space="preserve">importante </w:t>
      </w:r>
      <w:r w:rsidR="00FE0389">
        <w:rPr>
          <w:bCs/>
          <w:lang w:val="ro-RO"/>
        </w:rPr>
        <w:t xml:space="preserve">pentru monitorizarea, identificarea și sancționarea neregulilor din online. </w:t>
      </w:r>
    </w:p>
    <w:p w14:paraId="67FDE06D" w14:textId="77777777" w:rsidR="00FE2839" w:rsidRDefault="00A577AA">
      <w:pPr>
        <w:rPr>
          <w:bCs/>
          <w:lang w:val="ro-RO"/>
        </w:rPr>
      </w:pPr>
      <w:r>
        <w:rPr>
          <w:bCs/>
          <w:lang w:val="ro-RO"/>
        </w:rPr>
        <w:t xml:space="preserve">Remarcăm că </w:t>
      </w:r>
      <w:r w:rsidR="00325F9D">
        <w:rPr>
          <w:bCs/>
          <w:lang w:val="ro-RO"/>
        </w:rPr>
        <w:t>la nivelul altor state membre precum Germania, Spania și</w:t>
      </w:r>
      <w:r>
        <w:rPr>
          <w:bCs/>
          <w:lang w:val="ro-RO"/>
        </w:rPr>
        <w:t xml:space="preserve"> Austria</w:t>
      </w:r>
      <w:r w:rsidR="00325F9D">
        <w:rPr>
          <w:bCs/>
          <w:lang w:val="ro-RO"/>
        </w:rPr>
        <w:t xml:space="preserve"> există departamente specializate ale autorităților competente în domeniul protecției consumatorului, </w:t>
      </w:r>
      <w:r>
        <w:rPr>
          <w:bCs/>
          <w:lang w:val="ro-RO"/>
        </w:rPr>
        <w:t xml:space="preserve">cu un personal numeros, </w:t>
      </w:r>
      <w:r w:rsidR="00325F9D">
        <w:rPr>
          <w:bCs/>
          <w:lang w:val="ro-RO"/>
        </w:rPr>
        <w:t>care se concentrează pe verificarea și controlul platformelor online și website-urilor comercianților</w:t>
      </w:r>
      <w:r>
        <w:rPr>
          <w:bCs/>
          <w:lang w:val="ro-RO"/>
        </w:rPr>
        <w:t>.</w:t>
      </w:r>
      <w:r w:rsidR="00325F9D">
        <w:rPr>
          <w:bCs/>
          <w:lang w:val="ro-RO"/>
        </w:rPr>
        <w:t xml:space="preserve"> </w:t>
      </w:r>
      <w:r>
        <w:rPr>
          <w:bCs/>
          <w:lang w:val="ro-RO"/>
        </w:rPr>
        <w:t>A</w:t>
      </w:r>
      <w:r w:rsidR="00325F9D">
        <w:rPr>
          <w:bCs/>
          <w:lang w:val="ro-RO"/>
        </w:rPr>
        <w:t>utoritățile din România au în vedere implementarea unor modele similare în contextul în care publicitatea</w:t>
      </w:r>
      <w:r>
        <w:rPr>
          <w:bCs/>
          <w:lang w:val="ro-RO"/>
        </w:rPr>
        <w:t>,</w:t>
      </w:r>
      <w:r w:rsidR="00325F9D">
        <w:rPr>
          <w:bCs/>
          <w:lang w:val="ro-RO"/>
        </w:rPr>
        <w:t xml:space="preserve"> promovarea </w:t>
      </w:r>
      <w:r>
        <w:rPr>
          <w:bCs/>
          <w:lang w:val="ro-RO"/>
        </w:rPr>
        <w:t xml:space="preserve">și comercializarea </w:t>
      </w:r>
      <w:r w:rsidR="00325F9D">
        <w:rPr>
          <w:bCs/>
          <w:lang w:val="ro-RO"/>
        </w:rPr>
        <w:t>produselor</w:t>
      </w:r>
      <w:r>
        <w:rPr>
          <w:bCs/>
          <w:lang w:val="ro-RO"/>
        </w:rPr>
        <w:t xml:space="preserve"> și serviciilor</w:t>
      </w:r>
      <w:r w:rsidR="00325F9D">
        <w:rPr>
          <w:bCs/>
          <w:lang w:val="ro-RO"/>
        </w:rPr>
        <w:t xml:space="preserve"> în mediul online către consumatorii români a</w:t>
      </w:r>
      <w:r w:rsidR="00997347">
        <w:rPr>
          <w:bCs/>
          <w:lang w:val="ro-RO"/>
        </w:rPr>
        <w:t>u</w:t>
      </w:r>
      <w:r w:rsidR="00325F9D">
        <w:rPr>
          <w:bCs/>
          <w:lang w:val="ro-RO"/>
        </w:rPr>
        <w:t xml:space="preserve"> cunoscut o creștere spectaculoasă în ultimii ani.</w:t>
      </w:r>
    </w:p>
    <w:p w14:paraId="1197B25B" w14:textId="77777777" w:rsidR="00B83E62" w:rsidRPr="00271B3F" w:rsidRDefault="00325F9D">
      <w:pPr>
        <w:rPr>
          <w:bCs/>
          <w:lang w:val="ro-RO"/>
        </w:rPr>
      </w:pPr>
      <w:r>
        <w:rPr>
          <w:bCs/>
          <w:lang w:val="ro-RO"/>
        </w:rPr>
        <w:t xml:space="preserve">Așadar, putem concluziona </w:t>
      </w:r>
      <w:r w:rsidR="00197FD3">
        <w:rPr>
          <w:bCs/>
          <w:lang w:val="ro-RO"/>
        </w:rPr>
        <w:t>că tendința la nivel european</w:t>
      </w:r>
      <w:r>
        <w:rPr>
          <w:bCs/>
          <w:lang w:val="ro-RO"/>
        </w:rPr>
        <w:t xml:space="preserve"> și la nivel local</w:t>
      </w:r>
      <w:r w:rsidR="00197FD3">
        <w:rPr>
          <w:bCs/>
          <w:lang w:val="ro-RO"/>
        </w:rPr>
        <w:t xml:space="preserve">, consolidată odată cu intrarea în vigoare a </w:t>
      </w:r>
      <w:r w:rsidR="00197FD3">
        <w:rPr>
          <w:lang w:val="ro-RO"/>
        </w:rPr>
        <w:t>Directivei</w:t>
      </w:r>
      <w:r w:rsidR="00197FD3" w:rsidRPr="00267AC9">
        <w:rPr>
          <w:lang w:val="ro-RO"/>
        </w:rPr>
        <w:t xml:space="preserve"> Omnibus (UE) 2019/2161</w:t>
      </w:r>
      <w:r w:rsidR="00197FD3">
        <w:rPr>
          <w:lang w:val="ro-RO"/>
        </w:rPr>
        <w:t>, este de sporire a controalelor desfășurate în mediul online, lucru reflectat și în practica ANPC și în atenția acordată de autoritatea națională bunurilor și serviciilor oferite consumatorilor prin intermediul e-commerce.</w:t>
      </w:r>
    </w:p>
    <w:sectPr w:rsidR="00B83E62" w:rsidRPr="00271B3F" w:rsidSect="00C628AC">
      <w:head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7CEC2" w14:textId="77777777" w:rsidR="00A65A59" w:rsidRDefault="00A65A59" w:rsidP="00C628AC">
      <w:pPr>
        <w:spacing w:after="0" w:line="240" w:lineRule="auto"/>
      </w:pPr>
      <w:r>
        <w:separator/>
      </w:r>
    </w:p>
  </w:endnote>
  <w:endnote w:type="continuationSeparator" w:id="0">
    <w:p w14:paraId="2F609EB1" w14:textId="77777777" w:rsidR="00A65A59" w:rsidRDefault="00A65A59" w:rsidP="00C6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0925A" w14:textId="77777777" w:rsidR="00A65A59" w:rsidRDefault="00A65A59" w:rsidP="00C628AC">
      <w:pPr>
        <w:spacing w:after="0" w:line="240" w:lineRule="auto"/>
      </w:pPr>
      <w:r>
        <w:separator/>
      </w:r>
    </w:p>
  </w:footnote>
  <w:footnote w:type="continuationSeparator" w:id="0">
    <w:p w14:paraId="5A05C871" w14:textId="77777777" w:rsidR="00A65A59" w:rsidRDefault="00A65A59" w:rsidP="00C6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099B8" w14:textId="77777777" w:rsidR="00C628AC" w:rsidRDefault="00C628AC" w:rsidP="00C628AC">
    <w:pPr>
      <w:pStyle w:val="Header"/>
      <w:jc w:val="center"/>
    </w:pPr>
    <w:r w:rsidRPr="00054E88">
      <w:rPr>
        <w:noProof/>
      </w:rPr>
      <w:drawing>
        <wp:inline distT="0" distB="0" distL="0" distR="0" wp14:anchorId="4FAC4661" wp14:editId="1F14DD71">
          <wp:extent cx="2628900" cy="361950"/>
          <wp:effectExtent l="0" t="0" r="0" b="0"/>
          <wp:docPr id="4" name="Picture 4" descr="C:\WINDOWS\Desktop\LOGO R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Desktop\LOGO ROM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00"/>
                  <a:stretch/>
                </pic:blipFill>
                <pic:spPr bwMode="auto">
                  <a:xfrm>
                    <a:off x="0" y="0"/>
                    <a:ext cx="2628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D15F4F1" w14:textId="77777777" w:rsidR="00C628AC" w:rsidRDefault="00C628AC" w:rsidP="00C628A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8C0DD" w14:textId="77777777" w:rsidR="00C628AC" w:rsidRDefault="00C628AC" w:rsidP="00C628AC">
    <w:pPr>
      <w:pStyle w:val="Header"/>
      <w:jc w:val="center"/>
    </w:pPr>
    <w:r w:rsidRPr="00054E88">
      <w:rPr>
        <w:noProof/>
      </w:rPr>
      <w:drawing>
        <wp:inline distT="0" distB="0" distL="0" distR="0" wp14:anchorId="7E800898" wp14:editId="10D6B98A">
          <wp:extent cx="2628900" cy="361950"/>
          <wp:effectExtent l="0" t="0" r="0" b="0"/>
          <wp:docPr id="2" name="Picture 2" descr="C:\WINDOWS\Desktop\LOGO R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WINDOWS\Desktop\LOGO ROM (2)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000"/>
                  <a:stretch/>
                </pic:blipFill>
                <pic:spPr bwMode="auto">
                  <a:xfrm>
                    <a:off x="0" y="0"/>
                    <a:ext cx="26289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F7BB98C" w14:textId="77777777" w:rsidR="00C628AC" w:rsidRDefault="00C628AC" w:rsidP="00C628AC">
    <w:pPr>
      <w:pStyle w:val="Header"/>
      <w:jc w:val="center"/>
    </w:pPr>
  </w:p>
  <w:p w14:paraId="288A12D7" w14:textId="77777777" w:rsidR="00C628AC" w:rsidRPr="00080DBC" w:rsidRDefault="00C628AC" w:rsidP="00C628AC">
    <w:pPr>
      <w:pStyle w:val="Header"/>
      <w:jc w:val="center"/>
      <w:rPr>
        <w:sz w:val="16"/>
      </w:rPr>
    </w:pPr>
    <w:r w:rsidRPr="00080DBC">
      <w:rPr>
        <w:sz w:val="16"/>
      </w:rPr>
      <w:t>B-dul Aviatorilor, nr. 43, sector 1, cod 011853, Bucuresti, ROMANIA</w:t>
    </w:r>
  </w:p>
  <w:p w14:paraId="540199EC" w14:textId="77777777" w:rsidR="00C628AC" w:rsidRDefault="00C628AC" w:rsidP="00C628AC">
    <w:pPr>
      <w:pStyle w:val="Header"/>
      <w:pBdr>
        <w:bottom w:val="single" w:sz="4" w:space="1" w:color="auto"/>
      </w:pBdr>
      <w:jc w:val="center"/>
      <w:rPr>
        <w:color w:val="000000"/>
        <w:sz w:val="18"/>
      </w:rPr>
    </w:pPr>
    <w:r w:rsidRPr="00080DBC">
      <w:rPr>
        <w:sz w:val="16"/>
      </w:rPr>
      <w:t xml:space="preserve">Tel: (40-21) 202 5900; Fax: (40-21) 223 3957; 223 0495; E-mail: </w:t>
    </w:r>
    <w:hyperlink r:id="rId2" w:history="1">
      <w:r w:rsidRPr="00080DBC">
        <w:rPr>
          <w:rStyle w:val="Hyperlink"/>
          <w:color w:val="000000"/>
          <w:sz w:val="16"/>
        </w:rPr>
        <w:t>general@musat.ro</w:t>
      </w:r>
    </w:hyperlink>
    <w:r w:rsidRPr="00080DBC">
      <w:rPr>
        <w:color w:val="000000"/>
        <w:sz w:val="16"/>
      </w:rPr>
      <w:t>;</w:t>
    </w:r>
    <w:r w:rsidRPr="00080DBC">
      <w:rPr>
        <w:sz w:val="16"/>
      </w:rPr>
      <w:t xml:space="preserve"> Website: </w:t>
    </w:r>
    <w:hyperlink r:id="rId3" w:history="1">
      <w:r w:rsidRPr="00080DBC">
        <w:rPr>
          <w:rStyle w:val="Hyperlink"/>
          <w:color w:val="000000"/>
          <w:sz w:val="16"/>
        </w:rPr>
        <w:t>www.musat.ro</w:t>
      </w:r>
    </w:hyperlink>
    <w:r w:rsidRPr="00080DBC">
      <w:rPr>
        <w:color w:val="000000"/>
        <w:sz w:val="16"/>
      </w:rPr>
      <w:t xml:space="preserve"> </w:t>
    </w:r>
  </w:p>
  <w:p w14:paraId="5C7AC814" w14:textId="77777777" w:rsidR="00C628AC" w:rsidRDefault="00C628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D4358"/>
    <w:multiLevelType w:val="hybridMultilevel"/>
    <w:tmpl w:val="F68A9B8A"/>
    <w:lvl w:ilvl="0" w:tplc="A89A9014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6731E"/>
    <w:multiLevelType w:val="hybridMultilevel"/>
    <w:tmpl w:val="3A181F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330D4A"/>
    <w:multiLevelType w:val="hybridMultilevel"/>
    <w:tmpl w:val="9EBAEC4C"/>
    <w:lvl w:ilvl="0" w:tplc="6DD4F618">
      <w:numFmt w:val="bullet"/>
      <w:lvlText w:val="-"/>
      <w:lvlJc w:val="left"/>
      <w:pPr>
        <w:ind w:left="36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F7EB9"/>
    <w:multiLevelType w:val="hybridMultilevel"/>
    <w:tmpl w:val="98A44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B0922C6"/>
    <w:multiLevelType w:val="hybridMultilevel"/>
    <w:tmpl w:val="8E026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15F0B"/>
    <w:multiLevelType w:val="hybridMultilevel"/>
    <w:tmpl w:val="350EB22C"/>
    <w:lvl w:ilvl="0" w:tplc="133A1F26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188"/>
    <w:rsid w:val="00047F18"/>
    <w:rsid w:val="000B4215"/>
    <w:rsid w:val="000E4A0F"/>
    <w:rsid w:val="000F5232"/>
    <w:rsid w:val="0012724B"/>
    <w:rsid w:val="00140188"/>
    <w:rsid w:val="001877EE"/>
    <w:rsid w:val="00197B0F"/>
    <w:rsid w:val="00197FD3"/>
    <w:rsid w:val="00267AC9"/>
    <w:rsid w:val="00271B3F"/>
    <w:rsid w:val="00273340"/>
    <w:rsid w:val="002854E4"/>
    <w:rsid w:val="002F71D9"/>
    <w:rsid w:val="00305F2D"/>
    <w:rsid w:val="00325F9D"/>
    <w:rsid w:val="004C402E"/>
    <w:rsid w:val="00563B49"/>
    <w:rsid w:val="005B1536"/>
    <w:rsid w:val="005E560C"/>
    <w:rsid w:val="005F2F6F"/>
    <w:rsid w:val="0061726B"/>
    <w:rsid w:val="00646432"/>
    <w:rsid w:val="00717D05"/>
    <w:rsid w:val="007B2B29"/>
    <w:rsid w:val="007D40E9"/>
    <w:rsid w:val="00910967"/>
    <w:rsid w:val="00945228"/>
    <w:rsid w:val="00990ED3"/>
    <w:rsid w:val="00992433"/>
    <w:rsid w:val="00997347"/>
    <w:rsid w:val="00A577AA"/>
    <w:rsid w:val="00A65A59"/>
    <w:rsid w:val="00B1063E"/>
    <w:rsid w:val="00B77367"/>
    <w:rsid w:val="00B83E62"/>
    <w:rsid w:val="00C060EF"/>
    <w:rsid w:val="00C34CEF"/>
    <w:rsid w:val="00C628AC"/>
    <w:rsid w:val="00D671E9"/>
    <w:rsid w:val="00D91811"/>
    <w:rsid w:val="00DB52D4"/>
    <w:rsid w:val="00DE55AE"/>
    <w:rsid w:val="00ED4572"/>
    <w:rsid w:val="00EE1A69"/>
    <w:rsid w:val="00F0777D"/>
    <w:rsid w:val="00F31676"/>
    <w:rsid w:val="00F55F29"/>
    <w:rsid w:val="00FB05D7"/>
    <w:rsid w:val="00FB60EA"/>
    <w:rsid w:val="00FE0389"/>
    <w:rsid w:val="00FE2839"/>
    <w:rsid w:val="00FF6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29BA7"/>
  <w15:chartTrackingRefBased/>
  <w15:docId w15:val="{F8465F5F-62E7-43F3-92D1-FE27829F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200" w:line="32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40188"/>
    <w:pPr>
      <w:autoSpaceDE w:val="0"/>
      <w:autoSpaceDN w:val="0"/>
      <w:adjustRightInd w:val="0"/>
      <w:spacing w:after="0" w:line="240" w:lineRule="auto"/>
      <w:jc w:val="left"/>
    </w:pPr>
    <w:rPr>
      <w:rFonts w:cs="Georg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2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7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6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AC"/>
  </w:style>
  <w:style w:type="paragraph" w:styleId="Footer">
    <w:name w:val="footer"/>
    <w:basedOn w:val="Normal"/>
    <w:link w:val="FooterChar"/>
    <w:uiPriority w:val="99"/>
    <w:unhideWhenUsed/>
    <w:rsid w:val="00C628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AC"/>
  </w:style>
  <w:style w:type="character" w:styleId="Hyperlink">
    <w:name w:val="Hyperlink"/>
    <w:basedOn w:val="DefaultParagraphFont"/>
    <w:uiPriority w:val="99"/>
    <w:unhideWhenUsed/>
    <w:rsid w:val="00C628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0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2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usat.ro" TargetMode="External"/><Relationship Id="rId2" Type="http://schemas.openxmlformats.org/officeDocument/2006/relationships/hyperlink" Target="mailto:general@musat.ro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M&amp;A</dc:creator>
  <cp:keywords/>
  <dc:description/>
  <cp:lastModifiedBy>Codrina Apostol</cp:lastModifiedBy>
  <cp:revision>13</cp:revision>
  <dcterms:created xsi:type="dcterms:W3CDTF">2022-01-06T09:03:00Z</dcterms:created>
  <dcterms:modified xsi:type="dcterms:W3CDTF">2022-02-23T09:51:00Z</dcterms:modified>
</cp:coreProperties>
</file>