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AB76" w14:textId="6D5C17D2" w:rsidR="00B8226C" w:rsidRPr="001E4938" w:rsidRDefault="00B8226C" w:rsidP="006A3CE3">
      <w:pPr>
        <w:pStyle w:val="NormalWeb"/>
        <w:shd w:val="clear" w:color="auto" w:fill="FFFFFF"/>
        <w:spacing w:before="0" w:beforeAutospacing="0" w:after="0" w:afterAutospacing="0" w:line="360" w:lineRule="auto"/>
        <w:jc w:val="both"/>
        <w:rPr>
          <w:rStyle w:val="Strong"/>
          <w:rFonts w:ascii="Arial" w:hAnsi="Arial" w:cs="Arial"/>
          <w:b w:val="0"/>
          <w:bCs w:val="0"/>
          <w:sz w:val="22"/>
          <w:szCs w:val="22"/>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8390F" w:rsidRPr="001E4938"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1E4938" w:rsidRDefault="001454E9" w:rsidP="00E21C89">
            <w:pPr>
              <w:pStyle w:val="EYDocumentpromptsbold"/>
              <w:rPr>
                <w:rFonts w:ascii="Arial" w:hAnsi="Arial" w:cs="Arial"/>
                <w:b w:val="0"/>
                <w:sz w:val="22"/>
                <w:szCs w:val="22"/>
              </w:rPr>
            </w:pPr>
          </w:p>
          <w:p w14:paraId="3AF138F8" w14:textId="77777777" w:rsidR="001454E9" w:rsidRPr="001E4938" w:rsidRDefault="001454E9" w:rsidP="00E21C89">
            <w:pPr>
              <w:pStyle w:val="EYDocumentpromptsbold"/>
              <w:rPr>
                <w:rFonts w:ascii="Arial" w:hAnsi="Arial" w:cs="Arial"/>
                <w:b w:val="0"/>
                <w:sz w:val="22"/>
                <w:szCs w:val="22"/>
              </w:rPr>
            </w:pPr>
          </w:p>
          <w:p w14:paraId="53236320" w14:textId="4727C99E" w:rsidR="001454E9" w:rsidRPr="001E4938" w:rsidRDefault="001454E9" w:rsidP="00E21C89">
            <w:pPr>
              <w:pStyle w:val="EYDocumentpromptsbold"/>
              <w:rPr>
                <w:rFonts w:ascii="Arial" w:hAnsi="Arial" w:cs="Arial"/>
                <w:b w:val="0"/>
                <w:sz w:val="22"/>
                <w:szCs w:val="22"/>
              </w:rPr>
            </w:pPr>
            <w:r w:rsidRPr="001E4938">
              <w:rPr>
                <w:rFonts w:ascii="Arial" w:hAnsi="Arial" w:cs="Arial"/>
                <w:b w:val="0"/>
                <w:sz w:val="22"/>
                <w:szCs w:val="22"/>
              </w:rPr>
              <w:t>Punct de vedere</w:t>
            </w:r>
          </w:p>
          <w:p w14:paraId="542FE407" w14:textId="77777777" w:rsidR="001454E9" w:rsidRPr="001E4938" w:rsidRDefault="001454E9" w:rsidP="00E21C89">
            <w:pPr>
              <w:pStyle w:val="EYDocumentpromptsbold"/>
              <w:rPr>
                <w:rFonts w:ascii="Arial" w:hAnsi="Arial" w:cs="Arial"/>
                <w:b w:val="0"/>
                <w:sz w:val="22"/>
                <w:szCs w:val="22"/>
              </w:rPr>
            </w:pPr>
          </w:p>
          <w:p w14:paraId="4C4BD2BC" w14:textId="7217964A" w:rsidR="001454E9" w:rsidRPr="001E4938" w:rsidRDefault="00D92DC7" w:rsidP="00296658">
            <w:pPr>
              <w:pStyle w:val="EYDocumentpromptsbold"/>
              <w:rPr>
                <w:rFonts w:ascii="Arial" w:hAnsi="Arial" w:cs="Arial"/>
                <w:b w:val="0"/>
                <w:sz w:val="22"/>
                <w:szCs w:val="22"/>
                <w:highlight w:val="yellow"/>
              </w:rPr>
            </w:pPr>
            <w:r>
              <w:rPr>
                <w:rFonts w:ascii="Arial" w:hAnsi="Arial" w:cs="Arial"/>
                <w:b w:val="0"/>
                <w:sz w:val="22"/>
                <w:szCs w:val="22"/>
              </w:rPr>
              <w:t xml:space="preserve">19 </w:t>
            </w:r>
            <w:r w:rsidR="00B67292" w:rsidRPr="001E4938">
              <w:rPr>
                <w:rFonts w:ascii="Arial" w:hAnsi="Arial" w:cs="Arial"/>
                <w:b w:val="0"/>
                <w:sz w:val="22"/>
                <w:szCs w:val="22"/>
              </w:rPr>
              <w:t>ianuari</w:t>
            </w:r>
            <w:r w:rsidR="001A525D" w:rsidRPr="001E4938">
              <w:rPr>
                <w:rFonts w:ascii="Arial" w:hAnsi="Arial" w:cs="Arial"/>
                <w:b w:val="0"/>
                <w:sz w:val="22"/>
                <w:szCs w:val="22"/>
              </w:rPr>
              <w:t xml:space="preserve">e </w:t>
            </w:r>
            <w:r w:rsidR="001454E9" w:rsidRPr="001E4938">
              <w:rPr>
                <w:rFonts w:ascii="Arial" w:hAnsi="Arial" w:cs="Arial"/>
                <w:b w:val="0"/>
                <w:sz w:val="22"/>
                <w:szCs w:val="22"/>
              </w:rPr>
              <w:t>202</w:t>
            </w:r>
            <w:r w:rsidR="00B67292" w:rsidRPr="001E4938">
              <w:rPr>
                <w:rFonts w:ascii="Arial" w:hAnsi="Arial" w:cs="Arial"/>
                <w:b w:val="0"/>
                <w:sz w:val="22"/>
                <w:szCs w:val="22"/>
              </w:rPr>
              <w:t>2</w:t>
            </w:r>
          </w:p>
        </w:tc>
      </w:tr>
      <w:tr w:rsidR="008A2557" w:rsidRPr="001E4938" w14:paraId="513F02F9" w14:textId="77777777" w:rsidTr="00573AA5">
        <w:trPr>
          <w:trHeight w:val="20"/>
        </w:trPr>
        <w:tc>
          <w:tcPr>
            <w:tcW w:w="1701" w:type="dxa"/>
            <w:tcMar>
              <w:top w:w="0" w:type="dxa"/>
              <w:left w:w="0" w:type="dxa"/>
              <w:bottom w:w="0" w:type="dxa"/>
              <w:right w:w="0" w:type="dxa"/>
            </w:tcMar>
            <w:hideMark/>
          </w:tcPr>
          <w:p w14:paraId="200FA5B9" w14:textId="77777777" w:rsidR="008A2557" w:rsidRPr="001E4938" w:rsidRDefault="008A2557" w:rsidP="00573AA5">
            <w:pPr>
              <w:pStyle w:val="EYDocumentprompts"/>
              <w:rPr>
                <w:rFonts w:cs="Arial"/>
                <w:sz w:val="22"/>
                <w:szCs w:val="22"/>
              </w:rPr>
            </w:pPr>
            <w:r w:rsidRPr="001E4938">
              <w:rPr>
                <w:rFonts w:cs="Arial"/>
                <w:sz w:val="22"/>
                <w:szCs w:val="22"/>
              </w:rPr>
              <w:t>Contact:</w:t>
            </w:r>
          </w:p>
        </w:tc>
        <w:tc>
          <w:tcPr>
            <w:tcW w:w="7570" w:type="dxa"/>
            <w:tcMar>
              <w:top w:w="0" w:type="dxa"/>
              <w:left w:w="0" w:type="dxa"/>
              <w:bottom w:w="0" w:type="dxa"/>
              <w:right w:w="0" w:type="dxa"/>
            </w:tcMar>
            <w:hideMark/>
          </w:tcPr>
          <w:p w14:paraId="13557A3C" w14:textId="77777777" w:rsidR="008A2557" w:rsidRPr="001E4938" w:rsidRDefault="008A2557" w:rsidP="00573AA5">
            <w:pPr>
              <w:pStyle w:val="EYDocumentprompts"/>
              <w:rPr>
                <w:rFonts w:cs="Arial"/>
                <w:sz w:val="22"/>
                <w:szCs w:val="22"/>
              </w:rPr>
            </w:pPr>
            <w:r w:rsidRPr="001E4938">
              <w:rPr>
                <w:rFonts w:cs="Arial"/>
                <w:sz w:val="22"/>
                <w:szCs w:val="22"/>
              </w:rPr>
              <w:t>Anda Huțanu</w:t>
            </w:r>
          </w:p>
        </w:tc>
      </w:tr>
      <w:tr w:rsidR="008A2557" w:rsidRPr="001E4938" w14:paraId="1477BB3C" w14:textId="77777777" w:rsidTr="00573AA5">
        <w:trPr>
          <w:trHeight w:val="20"/>
        </w:trPr>
        <w:tc>
          <w:tcPr>
            <w:tcW w:w="1701" w:type="dxa"/>
            <w:tcMar>
              <w:top w:w="0" w:type="dxa"/>
              <w:left w:w="0" w:type="dxa"/>
              <w:bottom w:w="0" w:type="dxa"/>
              <w:right w:w="0" w:type="dxa"/>
            </w:tcMar>
            <w:hideMark/>
          </w:tcPr>
          <w:p w14:paraId="7961E69E" w14:textId="77777777" w:rsidR="008A2557" w:rsidRPr="001E4938" w:rsidRDefault="008A2557" w:rsidP="00573AA5">
            <w:pPr>
              <w:pStyle w:val="EYDocumentprompts"/>
              <w:rPr>
                <w:rFonts w:cs="Arial"/>
                <w:sz w:val="22"/>
                <w:szCs w:val="22"/>
              </w:rPr>
            </w:pPr>
            <w:r w:rsidRPr="001E4938">
              <w:rPr>
                <w:rFonts w:cs="Arial"/>
                <w:sz w:val="22"/>
                <w:szCs w:val="22"/>
              </w:rPr>
              <w:t>Company:</w:t>
            </w:r>
          </w:p>
        </w:tc>
        <w:tc>
          <w:tcPr>
            <w:tcW w:w="7570" w:type="dxa"/>
            <w:tcMar>
              <w:top w:w="0" w:type="dxa"/>
              <w:left w:w="0" w:type="dxa"/>
              <w:bottom w:w="0" w:type="dxa"/>
              <w:right w:w="0" w:type="dxa"/>
            </w:tcMar>
            <w:hideMark/>
          </w:tcPr>
          <w:p w14:paraId="3BD92546" w14:textId="77777777" w:rsidR="008A2557" w:rsidRPr="001E4938" w:rsidRDefault="008A2557" w:rsidP="00573AA5">
            <w:pPr>
              <w:pStyle w:val="EYDocumentprompts"/>
              <w:rPr>
                <w:rFonts w:cs="Arial"/>
                <w:sz w:val="22"/>
                <w:szCs w:val="22"/>
              </w:rPr>
            </w:pPr>
            <w:r w:rsidRPr="001E4938">
              <w:rPr>
                <w:rFonts w:cs="Arial"/>
                <w:sz w:val="22"/>
                <w:szCs w:val="22"/>
              </w:rPr>
              <w:t>EY Romania</w:t>
            </w:r>
          </w:p>
        </w:tc>
      </w:tr>
      <w:tr w:rsidR="008A2557" w:rsidRPr="001E4938" w14:paraId="5FFA89AA" w14:textId="77777777" w:rsidTr="00573AA5">
        <w:trPr>
          <w:trHeight w:val="20"/>
        </w:trPr>
        <w:tc>
          <w:tcPr>
            <w:tcW w:w="1701" w:type="dxa"/>
            <w:tcMar>
              <w:top w:w="0" w:type="dxa"/>
              <w:left w:w="0" w:type="dxa"/>
              <w:bottom w:w="0" w:type="dxa"/>
              <w:right w:w="0" w:type="dxa"/>
            </w:tcMar>
            <w:hideMark/>
          </w:tcPr>
          <w:p w14:paraId="5056A73E" w14:textId="77777777" w:rsidR="008A2557" w:rsidRPr="001E4938" w:rsidRDefault="008A2557" w:rsidP="00573AA5">
            <w:pPr>
              <w:pStyle w:val="EYDocumentprompts"/>
              <w:rPr>
                <w:rFonts w:cs="Arial"/>
                <w:sz w:val="22"/>
                <w:szCs w:val="22"/>
              </w:rPr>
            </w:pPr>
            <w:r w:rsidRPr="001E4938">
              <w:rPr>
                <w:rFonts w:cs="Arial"/>
                <w:sz w:val="22"/>
                <w:szCs w:val="22"/>
              </w:rPr>
              <w:t>Tel.:</w:t>
            </w:r>
          </w:p>
        </w:tc>
        <w:tc>
          <w:tcPr>
            <w:tcW w:w="7570" w:type="dxa"/>
            <w:tcMar>
              <w:top w:w="0" w:type="dxa"/>
              <w:left w:w="0" w:type="dxa"/>
              <w:bottom w:w="0" w:type="dxa"/>
              <w:right w:w="0" w:type="dxa"/>
            </w:tcMar>
            <w:hideMark/>
          </w:tcPr>
          <w:p w14:paraId="275AC313" w14:textId="77777777" w:rsidR="008A2557" w:rsidRPr="001E4938" w:rsidRDefault="008A2557" w:rsidP="00573AA5">
            <w:pPr>
              <w:pStyle w:val="EYDocumentprompts"/>
              <w:rPr>
                <w:rFonts w:cs="Arial"/>
                <w:sz w:val="22"/>
                <w:szCs w:val="22"/>
              </w:rPr>
            </w:pPr>
            <w:r w:rsidRPr="001E4938">
              <w:rPr>
                <w:rFonts w:cs="Arial"/>
                <w:sz w:val="22"/>
                <w:szCs w:val="22"/>
              </w:rPr>
              <w:t>+40 21 402 4000</w:t>
            </w:r>
          </w:p>
        </w:tc>
      </w:tr>
      <w:tr w:rsidR="008A2557" w:rsidRPr="001E4938" w14:paraId="5DFC0C1B" w14:textId="77777777" w:rsidTr="00573AA5">
        <w:trPr>
          <w:trHeight w:val="80"/>
        </w:trPr>
        <w:tc>
          <w:tcPr>
            <w:tcW w:w="1701" w:type="dxa"/>
            <w:tcMar>
              <w:top w:w="0" w:type="dxa"/>
              <w:left w:w="0" w:type="dxa"/>
              <w:bottom w:w="0" w:type="dxa"/>
              <w:right w:w="0" w:type="dxa"/>
            </w:tcMar>
            <w:hideMark/>
          </w:tcPr>
          <w:p w14:paraId="29802FD4" w14:textId="77777777" w:rsidR="008A2557" w:rsidRPr="001E4938" w:rsidRDefault="008A2557" w:rsidP="00573AA5">
            <w:pPr>
              <w:pStyle w:val="EYDocumentprompts"/>
              <w:rPr>
                <w:rFonts w:cs="Arial"/>
                <w:sz w:val="22"/>
                <w:szCs w:val="22"/>
              </w:rPr>
            </w:pPr>
            <w:r w:rsidRPr="001E4938">
              <w:rPr>
                <w:rFonts w:cs="Arial"/>
                <w:sz w:val="22"/>
                <w:szCs w:val="22"/>
              </w:rPr>
              <w:t>Email:</w:t>
            </w:r>
          </w:p>
        </w:tc>
        <w:tc>
          <w:tcPr>
            <w:tcW w:w="7570" w:type="dxa"/>
            <w:tcMar>
              <w:top w:w="0" w:type="dxa"/>
              <w:left w:w="0" w:type="dxa"/>
              <w:bottom w:w="0" w:type="dxa"/>
              <w:right w:w="0" w:type="dxa"/>
            </w:tcMar>
            <w:hideMark/>
          </w:tcPr>
          <w:p w14:paraId="35B78F2A" w14:textId="77777777" w:rsidR="008A2557" w:rsidRPr="001E4938" w:rsidRDefault="00663371" w:rsidP="00573AA5">
            <w:pPr>
              <w:pStyle w:val="EYDocumentprompts"/>
              <w:rPr>
                <w:rFonts w:cs="Arial"/>
                <w:color w:val="0000FF"/>
                <w:sz w:val="22"/>
                <w:szCs w:val="22"/>
                <w:u w:val="single"/>
              </w:rPr>
            </w:pPr>
            <w:hyperlink r:id="rId11" w:history="1">
              <w:r w:rsidR="008A2557" w:rsidRPr="001E4938">
                <w:rPr>
                  <w:rStyle w:val="Hyperlink"/>
                  <w:rFonts w:cs="Arial"/>
                  <w:sz w:val="22"/>
                  <w:szCs w:val="22"/>
                </w:rPr>
                <w:t>anda.hutanu@ro.ey.com</w:t>
              </w:r>
            </w:hyperlink>
          </w:p>
        </w:tc>
      </w:tr>
    </w:tbl>
    <w:p w14:paraId="29695D73" w14:textId="77777777" w:rsidR="008A2557" w:rsidRPr="001E4938" w:rsidRDefault="008A2557" w:rsidP="008A2557">
      <w:pPr>
        <w:pStyle w:val="NormalWeb"/>
        <w:shd w:val="clear" w:color="auto" w:fill="FFFFFF"/>
        <w:spacing w:before="0" w:beforeAutospacing="0" w:after="0" w:afterAutospacing="0"/>
        <w:jc w:val="both"/>
        <w:rPr>
          <w:rStyle w:val="Strong"/>
          <w:rFonts w:ascii="Arial" w:hAnsi="Arial" w:cs="Arial"/>
          <w:b w:val="0"/>
          <w:bCs w:val="0"/>
          <w:sz w:val="22"/>
          <w:szCs w:val="22"/>
          <w:bdr w:val="none" w:sz="0" w:space="0" w:color="auto" w:frame="1"/>
          <w:lang w:val="ro-RO"/>
        </w:rPr>
      </w:pPr>
    </w:p>
    <w:p w14:paraId="44B0747E" w14:textId="77777777" w:rsidR="00CD746A" w:rsidRPr="00D12494" w:rsidRDefault="00CD746A" w:rsidP="001454E9">
      <w:pPr>
        <w:pStyle w:val="NormalWeb"/>
        <w:shd w:val="clear" w:color="auto" w:fill="FFFFFF"/>
        <w:spacing w:before="0" w:beforeAutospacing="0" w:after="0" w:afterAutospacing="0"/>
        <w:jc w:val="both"/>
        <w:rPr>
          <w:rFonts w:ascii="Arial" w:hAnsi="Arial" w:cs="Arial"/>
          <w:b/>
          <w:bCs/>
          <w:sz w:val="28"/>
          <w:szCs w:val="28"/>
          <w:lang w:val="ro-RO"/>
        </w:rPr>
      </w:pPr>
    </w:p>
    <w:p w14:paraId="2E1415DA" w14:textId="0DED9B62" w:rsidR="00877579" w:rsidRPr="003C2FD4" w:rsidRDefault="00323FD4" w:rsidP="004E0D49">
      <w:pPr>
        <w:pStyle w:val="NormalWeb"/>
        <w:shd w:val="clear" w:color="auto" w:fill="FFFFFF"/>
        <w:spacing w:before="0" w:beforeAutospacing="0" w:after="0" w:afterAutospacing="0"/>
        <w:rPr>
          <w:rFonts w:ascii="Arial" w:hAnsi="Arial" w:cs="Arial"/>
          <w:b/>
          <w:bCs/>
          <w:sz w:val="28"/>
          <w:szCs w:val="28"/>
          <w:lang w:val="ro-RO"/>
        </w:rPr>
      </w:pPr>
      <w:bookmarkStart w:id="0" w:name="_GoBack"/>
      <w:r w:rsidRPr="003C2FD4">
        <w:rPr>
          <w:rFonts w:ascii="Arial" w:hAnsi="Arial" w:cs="Arial"/>
          <w:b/>
          <w:bCs/>
          <w:sz w:val="28"/>
          <w:szCs w:val="28"/>
          <w:lang w:val="ro-RO"/>
        </w:rPr>
        <w:t>Impozitarea multinaționalelor cu minim 15% intră în linie dreapt</w:t>
      </w:r>
      <w:r w:rsidR="00D92DC7">
        <w:rPr>
          <w:rFonts w:ascii="Arial" w:hAnsi="Arial" w:cs="Arial"/>
          <w:b/>
          <w:bCs/>
          <w:sz w:val="28"/>
          <w:szCs w:val="28"/>
          <w:lang w:val="ro-RO"/>
        </w:rPr>
        <w:t>ă</w:t>
      </w:r>
      <w:r w:rsidRPr="003C2FD4">
        <w:rPr>
          <w:rFonts w:ascii="Arial" w:hAnsi="Arial" w:cs="Arial"/>
          <w:b/>
          <w:bCs/>
          <w:sz w:val="28"/>
          <w:szCs w:val="28"/>
          <w:lang w:val="ro-RO"/>
        </w:rPr>
        <w:t>. La ce se pot aștepta companiile din România</w:t>
      </w:r>
    </w:p>
    <w:bookmarkEnd w:id="0"/>
    <w:p w14:paraId="669E5101" w14:textId="77777777" w:rsidR="00323FD4" w:rsidRPr="003C2FD4" w:rsidRDefault="00323FD4" w:rsidP="004E0D49">
      <w:pPr>
        <w:pStyle w:val="NormalWeb"/>
        <w:shd w:val="clear" w:color="auto" w:fill="FFFFFF"/>
        <w:spacing w:before="0" w:beforeAutospacing="0" w:after="0" w:afterAutospacing="0"/>
        <w:rPr>
          <w:rStyle w:val="Strong"/>
          <w:rFonts w:ascii="Arial" w:hAnsi="Arial" w:cs="Arial"/>
          <w:b w:val="0"/>
          <w:bCs w:val="0"/>
          <w:sz w:val="22"/>
          <w:szCs w:val="22"/>
          <w:bdr w:val="none" w:sz="0" w:space="0" w:color="auto" w:frame="1"/>
          <w:lang w:val="ro-RO"/>
        </w:rPr>
      </w:pPr>
    </w:p>
    <w:p w14:paraId="589F3CD7" w14:textId="1BF34134" w:rsidR="00B83A45" w:rsidRPr="003C2FD4" w:rsidRDefault="001454E9" w:rsidP="00877579">
      <w:pPr>
        <w:spacing w:after="0" w:line="240" w:lineRule="auto"/>
        <w:jc w:val="both"/>
        <w:rPr>
          <w:rFonts w:ascii="Arial" w:hAnsi="Arial" w:cs="Arial"/>
          <w:i/>
          <w:iCs/>
        </w:rPr>
      </w:pPr>
      <w:r w:rsidRPr="003C2FD4">
        <w:rPr>
          <w:rStyle w:val="Strong"/>
          <w:rFonts w:ascii="Arial" w:hAnsi="Arial" w:cs="Arial"/>
          <w:b w:val="0"/>
          <w:bCs w:val="0"/>
          <w:i/>
          <w:iCs/>
          <w:bdr w:val="none" w:sz="0" w:space="0" w:color="auto" w:frame="1"/>
        </w:rPr>
        <w:t>Autor</w:t>
      </w:r>
      <w:r w:rsidR="00965D56" w:rsidRPr="003C2FD4">
        <w:rPr>
          <w:rStyle w:val="Strong"/>
          <w:rFonts w:ascii="Arial" w:hAnsi="Arial" w:cs="Arial"/>
          <w:b w:val="0"/>
          <w:bCs w:val="0"/>
          <w:i/>
          <w:iCs/>
          <w:bdr w:val="none" w:sz="0" w:space="0" w:color="auto" w:frame="1"/>
        </w:rPr>
        <w:t xml:space="preserve">: </w:t>
      </w:r>
      <w:r w:rsidR="008C382C" w:rsidRPr="003C2FD4">
        <w:rPr>
          <w:rFonts w:ascii="Arial" w:hAnsi="Arial" w:cs="Arial"/>
          <w:i/>
          <w:iCs/>
        </w:rPr>
        <w:t>Miruna Enache, Partener, Liderul Diviziei de Asistență Fiscală în tranzacții</w:t>
      </w:r>
      <w:r w:rsidR="00B83A45" w:rsidRPr="003C2FD4">
        <w:rPr>
          <w:rFonts w:ascii="Arial" w:hAnsi="Arial" w:cs="Arial"/>
          <w:i/>
          <w:iCs/>
        </w:rPr>
        <w:t>, EY România</w:t>
      </w:r>
    </w:p>
    <w:p w14:paraId="5E191FEF" w14:textId="04EB0EEF" w:rsidR="00756176" w:rsidRPr="003C2FD4" w:rsidRDefault="00756176" w:rsidP="00877579">
      <w:pPr>
        <w:spacing w:after="0" w:line="240" w:lineRule="auto"/>
        <w:jc w:val="both"/>
        <w:rPr>
          <w:rFonts w:ascii="Arial" w:hAnsi="Arial" w:cs="Arial"/>
        </w:rPr>
      </w:pPr>
    </w:p>
    <w:p w14:paraId="03275092" w14:textId="04F777D6" w:rsidR="00432D75" w:rsidRPr="003C2FD4" w:rsidRDefault="00217FF5" w:rsidP="00432D75">
      <w:pPr>
        <w:spacing w:after="0" w:line="240" w:lineRule="auto"/>
        <w:jc w:val="both"/>
        <w:rPr>
          <w:rFonts w:ascii="Arial" w:hAnsi="Arial" w:cs="Arial"/>
        </w:rPr>
      </w:pPr>
      <w:r w:rsidRPr="003C2FD4">
        <w:rPr>
          <w:rStyle w:val="Strong"/>
          <w:rFonts w:ascii="Arial" w:hAnsi="Arial" w:cs="Arial"/>
          <w:b w:val="0"/>
          <w:bCs w:val="0"/>
          <w:color w:val="000000"/>
          <w:shd w:val="clear" w:color="auto" w:fill="FFFFFF"/>
        </w:rPr>
        <w:t>Multinaționalel</w:t>
      </w:r>
      <w:r w:rsidR="00432D75" w:rsidRPr="003C2FD4">
        <w:rPr>
          <w:rStyle w:val="Strong"/>
          <w:rFonts w:ascii="Arial" w:hAnsi="Arial" w:cs="Arial"/>
          <w:b w:val="0"/>
          <w:bCs w:val="0"/>
          <w:color w:val="000000"/>
          <w:shd w:val="clear" w:color="auto" w:fill="FFFFFF"/>
        </w:rPr>
        <w:t>e</w:t>
      </w:r>
      <w:r w:rsidRPr="003C2FD4">
        <w:rPr>
          <w:rStyle w:val="Strong"/>
          <w:rFonts w:ascii="Arial" w:hAnsi="Arial" w:cs="Arial"/>
          <w:b w:val="0"/>
          <w:bCs w:val="0"/>
          <w:color w:val="000000"/>
          <w:shd w:val="clear" w:color="auto" w:fill="FFFFFF"/>
        </w:rPr>
        <w:t xml:space="preserve"> trebuie să fie pregătite: </w:t>
      </w:r>
      <w:r w:rsidR="00432D75" w:rsidRPr="003C2FD4">
        <w:rPr>
          <w:rStyle w:val="Strong"/>
          <w:rFonts w:ascii="Arial" w:hAnsi="Arial" w:cs="Arial"/>
          <w:b w:val="0"/>
          <w:bCs w:val="0"/>
          <w:color w:val="000000"/>
          <w:shd w:val="clear" w:color="auto" w:fill="FFFFFF"/>
        </w:rPr>
        <w:t xml:space="preserve">România, </w:t>
      </w:r>
      <w:r w:rsidRPr="003C2FD4">
        <w:rPr>
          <w:rStyle w:val="Strong"/>
          <w:rFonts w:ascii="Arial" w:hAnsi="Arial" w:cs="Arial"/>
          <w:b w:val="0"/>
          <w:bCs w:val="0"/>
          <w:color w:val="000000"/>
          <w:shd w:val="clear" w:color="auto" w:fill="FFFFFF"/>
        </w:rPr>
        <w:t xml:space="preserve">prin vocea ministrului său de Finanțe, Adrian </w:t>
      </w:r>
      <w:proofErr w:type="spellStart"/>
      <w:r w:rsidRPr="003C2FD4">
        <w:rPr>
          <w:rStyle w:val="Strong"/>
          <w:rFonts w:ascii="Arial" w:hAnsi="Arial" w:cs="Arial"/>
          <w:b w:val="0"/>
          <w:bCs w:val="0"/>
          <w:color w:val="000000"/>
          <w:shd w:val="clear" w:color="auto" w:fill="FFFFFF"/>
        </w:rPr>
        <w:t>Câciu</w:t>
      </w:r>
      <w:proofErr w:type="spellEnd"/>
      <w:r w:rsidRPr="003C2FD4">
        <w:rPr>
          <w:rStyle w:val="Strong"/>
          <w:rFonts w:ascii="Arial" w:hAnsi="Arial" w:cs="Arial"/>
          <w:b w:val="0"/>
          <w:bCs w:val="0"/>
          <w:color w:val="000000"/>
          <w:shd w:val="clear" w:color="auto" w:fill="FFFFFF"/>
        </w:rPr>
        <w:t>, începe pregătirile pentru implementarea</w:t>
      </w:r>
      <w:r w:rsidR="00D92DC7">
        <w:rPr>
          <w:rStyle w:val="Strong"/>
          <w:rFonts w:ascii="Arial" w:hAnsi="Arial" w:cs="Arial"/>
          <w:b w:val="0"/>
          <w:bCs w:val="0"/>
          <w:color w:val="000000"/>
          <w:shd w:val="clear" w:color="auto" w:fill="FFFFFF"/>
        </w:rPr>
        <w:t>,</w:t>
      </w:r>
      <w:r w:rsidRPr="003C2FD4">
        <w:rPr>
          <w:rStyle w:val="Strong"/>
          <w:rFonts w:ascii="Arial" w:hAnsi="Arial" w:cs="Arial"/>
          <w:b w:val="0"/>
          <w:bCs w:val="0"/>
          <w:color w:val="000000"/>
          <w:shd w:val="clear" w:color="auto" w:fill="FFFFFF"/>
        </w:rPr>
        <w:t xml:space="preserve"> chiar de la 1 ianuarie 2023</w:t>
      </w:r>
      <w:r w:rsidR="00D92DC7">
        <w:rPr>
          <w:rStyle w:val="Strong"/>
          <w:rFonts w:ascii="Arial" w:hAnsi="Arial" w:cs="Arial"/>
          <w:b w:val="0"/>
          <w:bCs w:val="0"/>
          <w:color w:val="000000"/>
          <w:shd w:val="clear" w:color="auto" w:fill="FFFFFF"/>
        </w:rPr>
        <w:t>,</w:t>
      </w:r>
      <w:r w:rsidRPr="003C2FD4">
        <w:rPr>
          <w:rStyle w:val="Strong"/>
          <w:rFonts w:ascii="Arial" w:hAnsi="Arial" w:cs="Arial"/>
          <w:b w:val="0"/>
          <w:bCs w:val="0"/>
          <w:color w:val="000000"/>
          <w:shd w:val="clear" w:color="auto" w:fill="FFFFFF"/>
        </w:rPr>
        <w:t xml:space="preserve"> a Directivei privind nivelul minim de impozitare. </w:t>
      </w:r>
      <w:r w:rsidR="008C382C" w:rsidRPr="003C2FD4">
        <w:rPr>
          <w:rFonts w:ascii="Arial" w:hAnsi="Arial" w:cs="Arial"/>
        </w:rPr>
        <w:t>C</w:t>
      </w:r>
      <w:r w:rsidRPr="003C2FD4">
        <w:rPr>
          <w:rFonts w:ascii="Arial" w:hAnsi="Arial" w:cs="Arial"/>
        </w:rPr>
        <w:t>um c</w:t>
      </w:r>
      <w:r w:rsidR="008C382C" w:rsidRPr="003C2FD4">
        <w:rPr>
          <w:rFonts w:ascii="Arial" w:hAnsi="Arial" w:cs="Arial"/>
        </w:rPr>
        <w:t xml:space="preserve">osturile administrative și de conformare </w:t>
      </w:r>
      <w:r w:rsidRPr="003C2FD4">
        <w:rPr>
          <w:rFonts w:ascii="Arial" w:hAnsi="Arial" w:cs="Arial"/>
        </w:rPr>
        <w:t>l</w:t>
      </w:r>
      <w:r w:rsidR="008C382C" w:rsidRPr="003C2FD4">
        <w:rPr>
          <w:rFonts w:ascii="Arial" w:hAnsi="Arial" w:cs="Arial"/>
        </w:rPr>
        <w:t>a introducer</w:t>
      </w:r>
      <w:r w:rsidRPr="003C2FD4">
        <w:rPr>
          <w:rFonts w:ascii="Arial" w:hAnsi="Arial" w:cs="Arial"/>
        </w:rPr>
        <w:t xml:space="preserve">ea </w:t>
      </w:r>
      <w:r w:rsidR="008C382C" w:rsidRPr="003C2FD4">
        <w:rPr>
          <w:rFonts w:ascii="Arial" w:hAnsi="Arial" w:cs="Arial"/>
        </w:rPr>
        <w:t>impozitului minim global pe profit (</w:t>
      </w:r>
      <w:proofErr w:type="spellStart"/>
      <w:r w:rsidR="008C382C" w:rsidRPr="003C2FD4">
        <w:rPr>
          <w:rFonts w:ascii="Arial" w:hAnsi="Arial" w:cs="Arial"/>
        </w:rPr>
        <w:t>GloBE</w:t>
      </w:r>
      <w:proofErr w:type="spellEnd"/>
      <w:r w:rsidR="008C382C" w:rsidRPr="003C2FD4">
        <w:rPr>
          <w:rFonts w:ascii="Arial" w:hAnsi="Arial" w:cs="Arial"/>
        </w:rPr>
        <w:t xml:space="preserve">) </w:t>
      </w:r>
      <w:r w:rsidR="00305CBB" w:rsidRPr="003C2FD4">
        <w:rPr>
          <w:rFonts w:ascii="Arial" w:hAnsi="Arial" w:cs="Arial"/>
        </w:rPr>
        <w:t xml:space="preserve">vor fi minime, așa cum dă asigurări Organizația pentru Cooperare și Dezvoltare Economică (OCDE), </w:t>
      </w:r>
      <w:r w:rsidR="00432D75" w:rsidRPr="003C2FD4">
        <w:rPr>
          <w:rFonts w:ascii="Arial" w:hAnsi="Arial" w:cs="Arial"/>
        </w:rPr>
        <w:t>unde va trebui să lucreze cu adevărat Guvernul va fi la adaptarea legislației, astfel încât să ia în calcul toate situațiile specifice și să pregătească  norme clare, care să asigure o aplicare ușoară a Directivei europene</w:t>
      </w:r>
      <w:r w:rsidR="0034482A" w:rsidRPr="003C2FD4">
        <w:rPr>
          <w:rFonts w:ascii="Arial" w:hAnsi="Arial" w:cs="Arial"/>
        </w:rPr>
        <w:t xml:space="preserve">. </w:t>
      </w:r>
    </w:p>
    <w:p w14:paraId="4C20D747" w14:textId="01492589" w:rsidR="00305CBB" w:rsidRPr="003C2FD4" w:rsidRDefault="00305CBB" w:rsidP="00217FF5">
      <w:pPr>
        <w:spacing w:after="0" w:line="240" w:lineRule="auto"/>
        <w:jc w:val="both"/>
        <w:rPr>
          <w:rFonts w:ascii="Arial" w:hAnsi="Arial" w:cs="Arial"/>
        </w:rPr>
      </w:pPr>
    </w:p>
    <w:p w14:paraId="7288D783" w14:textId="65B4CECE" w:rsidR="00305CBB" w:rsidRPr="003C2FD4" w:rsidRDefault="00432D75" w:rsidP="00217FF5">
      <w:pPr>
        <w:spacing w:after="0" w:line="240" w:lineRule="auto"/>
        <w:jc w:val="both"/>
        <w:rPr>
          <w:rFonts w:ascii="Arial" w:hAnsi="Arial" w:cs="Arial"/>
        </w:rPr>
      </w:pPr>
      <w:r w:rsidRPr="003C2FD4">
        <w:rPr>
          <w:rFonts w:ascii="Arial" w:hAnsi="Arial" w:cs="Arial"/>
        </w:rPr>
        <w:t>M</w:t>
      </w:r>
      <w:r w:rsidR="008C382C" w:rsidRPr="003C2FD4">
        <w:rPr>
          <w:rFonts w:ascii="Arial" w:hAnsi="Arial" w:cs="Arial"/>
        </w:rPr>
        <w:t xml:space="preserve">ăsura </w:t>
      </w:r>
      <w:r w:rsidRPr="003C2FD4">
        <w:rPr>
          <w:rFonts w:ascii="Arial" w:hAnsi="Arial" w:cs="Arial"/>
        </w:rPr>
        <w:t>introducerii unui impozit minim global</w:t>
      </w:r>
      <w:r w:rsidR="001E4938" w:rsidRPr="003C2FD4">
        <w:rPr>
          <w:rFonts w:ascii="Arial" w:hAnsi="Arial" w:cs="Arial"/>
        </w:rPr>
        <w:t xml:space="preserve"> a fost</w:t>
      </w:r>
      <w:r w:rsidRPr="003C2FD4">
        <w:rPr>
          <w:rFonts w:ascii="Arial" w:hAnsi="Arial" w:cs="Arial"/>
        </w:rPr>
        <w:t xml:space="preserve"> </w:t>
      </w:r>
      <w:r w:rsidR="008C382C" w:rsidRPr="003C2FD4">
        <w:rPr>
          <w:rFonts w:ascii="Arial" w:hAnsi="Arial" w:cs="Arial"/>
        </w:rPr>
        <w:t>anunțată drept revoluționară de toată lumea fiscală la jumătatea anului trecut</w:t>
      </w:r>
      <w:r w:rsidR="001E4938" w:rsidRPr="003C2FD4">
        <w:rPr>
          <w:rFonts w:ascii="Arial" w:hAnsi="Arial" w:cs="Arial"/>
        </w:rPr>
        <w:t xml:space="preserve"> și</w:t>
      </w:r>
      <w:r w:rsidR="008C382C" w:rsidRPr="003C2FD4">
        <w:rPr>
          <w:rFonts w:ascii="Arial" w:hAnsi="Arial" w:cs="Arial"/>
        </w:rPr>
        <w:t xml:space="preserve"> prevede introducerea unui impozit minim de 15% pe profiturile multinaționalelor și taxarea lor în statele în care realizează profitul</w:t>
      </w:r>
      <w:r w:rsidR="001E4938" w:rsidRPr="003C2FD4">
        <w:rPr>
          <w:rFonts w:ascii="Arial" w:hAnsi="Arial" w:cs="Arial"/>
        </w:rPr>
        <w:t xml:space="preserve">. </w:t>
      </w:r>
      <w:r w:rsidR="008C382C" w:rsidRPr="003C2FD4">
        <w:rPr>
          <w:rFonts w:ascii="Arial" w:hAnsi="Arial" w:cs="Arial"/>
        </w:rPr>
        <w:t xml:space="preserve"> </w:t>
      </w:r>
    </w:p>
    <w:p w14:paraId="5DE8D37E" w14:textId="77777777" w:rsidR="0034482A" w:rsidRPr="003C2FD4" w:rsidRDefault="0034482A" w:rsidP="00217FF5">
      <w:pPr>
        <w:spacing w:after="0" w:line="240" w:lineRule="auto"/>
        <w:jc w:val="both"/>
        <w:rPr>
          <w:rFonts w:ascii="Arial" w:hAnsi="Arial" w:cs="Arial"/>
        </w:rPr>
      </w:pPr>
    </w:p>
    <w:p w14:paraId="082DEB3B" w14:textId="041F9A9A" w:rsidR="008C382C" w:rsidRPr="001E4938" w:rsidRDefault="001E4938" w:rsidP="0034482A">
      <w:pPr>
        <w:spacing w:after="0" w:line="240" w:lineRule="auto"/>
        <w:jc w:val="both"/>
        <w:rPr>
          <w:rFonts w:ascii="Arial" w:hAnsi="Arial" w:cs="Arial"/>
        </w:rPr>
      </w:pPr>
      <w:r w:rsidRPr="003C2FD4">
        <w:rPr>
          <w:rFonts w:ascii="Arial" w:hAnsi="Arial" w:cs="Arial"/>
        </w:rPr>
        <w:t xml:space="preserve">Din punct de vedere </w:t>
      </w:r>
      <w:r w:rsidR="0034482A" w:rsidRPr="003C2FD4">
        <w:rPr>
          <w:rFonts w:ascii="Arial" w:hAnsi="Arial" w:cs="Arial"/>
        </w:rPr>
        <w:t>tehnic, OCDE dă asigurări că ”r</w:t>
      </w:r>
      <w:r w:rsidR="008C382C" w:rsidRPr="003C2FD4">
        <w:rPr>
          <w:rFonts w:ascii="Arial" w:hAnsi="Arial" w:cs="Arial"/>
        </w:rPr>
        <w:t xml:space="preserve">egulile </w:t>
      </w:r>
      <w:proofErr w:type="spellStart"/>
      <w:r w:rsidR="008C382C" w:rsidRPr="003C2FD4">
        <w:rPr>
          <w:rFonts w:ascii="Arial" w:hAnsi="Arial" w:cs="Arial"/>
        </w:rPr>
        <w:t>GloBE</w:t>
      </w:r>
      <w:proofErr w:type="spellEnd"/>
      <w:r w:rsidR="008C382C" w:rsidRPr="003C2FD4">
        <w:rPr>
          <w:rFonts w:ascii="Arial" w:hAnsi="Arial" w:cs="Arial"/>
        </w:rPr>
        <w:t xml:space="preserve"> au fost concepute cu scopul de a minimiza costurile și complexitatea, atât pentru autoritățile fiscale, cât și pentru contribuabili, în contextul obiectivelor politicii fiscale ale pilonului doi</w:t>
      </w:r>
      <w:r w:rsidR="0034482A" w:rsidRPr="003C2FD4">
        <w:rPr>
          <w:rFonts w:ascii="Arial" w:hAnsi="Arial" w:cs="Arial"/>
        </w:rPr>
        <w:t xml:space="preserve">”. </w:t>
      </w:r>
      <w:r w:rsidR="008C382C" w:rsidRPr="003C2FD4">
        <w:rPr>
          <w:rFonts w:ascii="Arial" w:hAnsi="Arial" w:cs="Arial"/>
        </w:rPr>
        <w:t xml:space="preserve">Argumentele Organizației includ </w:t>
      </w:r>
      <w:r w:rsidR="00B65AA3" w:rsidRPr="003C2FD4">
        <w:rPr>
          <w:rFonts w:ascii="Arial" w:hAnsi="Arial" w:cs="Arial"/>
        </w:rPr>
        <w:t xml:space="preserve">faptul că noua măsură </w:t>
      </w:r>
      <w:r w:rsidR="008C382C" w:rsidRPr="003C2FD4">
        <w:rPr>
          <w:rFonts w:ascii="Arial" w:hAnsi="Arial" w:cs="Arial"/>
        </w:rPr>
        <w:t>utilize</w:t>
      </w:r>
      <w:r w:rsidR="00B65AA3" w:rsidRPr="003C2FD4">
        <w:rPr>
          <w:rFonts w:ascii="Arial" w:hAnsi="Arial" w:cs="Arial"/>
        </w:rPr>
        <w:t>ază</w:t>
      </w:r>
      <w:r w:rsidR="008C382C" w:rsidRPr="003C2FD4">
        <w:rPr>
          <w:rFonts w:ascii="Arial" w:hAnsi="Arial" w:cs="Arial"/>
        </w:rPr>
        <w:t xml:space="preserve"> praguril</w:t>
      </w:r>
      <w:r w:rsidR="00D92DC7">
        <w:rPr>
          <w:rFonts w:ascii="Arial" w:hAnsi="Arial" w:cs="Arial"/>
        </w:rPr>
        <w:t>e</w:t>
      </w:r>
      <w:r w:rsidR="008C382C" w:rsidRPr="003C2FD4">
        <w:rPr>
          <w:rFonts w:ascii="Arial" w:hAnsi="Arial" w:cs="Arial"/>
        </w:rPr>
        <w:t xml:space="preserve"> și definițiil</w:t>
      </w:r>
      <w:r w:rsidR="00B65AA3" w:rsidRPr="003C2FD4">
        <w:rPr>
          <w:rFonts w:ascii="Arial" w:hAnsi="Arial" w:cs="Arial"/>
        </w:rPr>
        <w:t>e deja</w:t>
      </w:r>
      <w:r w:rsidR="008C382C" w:rsidRPr="003C2FD4">
        <w:rPr>
          <w:rFonts w:ascii="Arial" w:hAnsi="Arial" w:cs="Arial"/>
        </w:rPr>
        <w:t xml:space="preserve"> cunoscute statelor în raportările</w:t>
      </w:r>
      <w:r w:rsidR="008C382C" w:rsidRPr="001E4938">
        <w:rPr>
          <w:rFonts w:ascii="Arial" w:hAnsi="Arial" w:cs="Arial"/>
        </w:rPr>
        <w:t xml:space="preserve"> pe care trebuie să le realizeze țară cu țară, așa-numitele </w:t>
      </w:r>
      <w:proofErr w:type="spellStart"/>
      <w:r w:rsidR="008C382C" w:rsidRPr="001E4938">
        <w:rPr>
          <w:rFonts w:ascii="Arial" w:hAnsi="Arial" w:cs="Arial"/>
        </w:rPr>
        <w:t>CbCR</w:t>
      </w:r>
      <w:proofErr w:type="spellEnd"/>
      <w:r w:rsidR="00B65AA3">
        <w:rPr>
          <w:rFonts w:ascii="Arial" w:hAnsi="Arial" w:cs="Arial"/>
        </w:rPr>
        <w:t xml:space="preserve">. Adică, vor fi folosite </w:t>
      </w:r>
      <w:r w:rsidR="008C382C" w:rsidRPr="001E4938">
        <w:rPr>
          <w:rFonts w:ascii="Arial" w:hAnsi="Arial" w:cs="Arial"/>
        </w:rPr>
        <w:t>informații</w:t>
      </w:r>
      <w:r w:rsidR="00B65AA3">
        <w:rPr>
          <w:rFonts w:ascii="Arial" w:hAnsi="Arial" w:cs="Arial"/>
        </w:rPr>
        <w:t>le</w:t>
      </w:r>
      <w:r w:rsidR="008C382C" w:rsidRPr="001E4938">
        <w:rPr>
          <w:rFonts w:ascii="Arial" w:hAnsi="Arial" w:cs="Arial"/>
        </w:rPr>
        <w:t xml:space="preserve"> financiare la nivel de entitate și standardele de contabilitate existente, fără ajustări; </w:t>
      </w:r>
      <w:r w:rsidR="00B65AA3">
        <w:rPr>
          <w:rFonts w:ascii="Arial" w:hAnsi="Arial" w:cs="Arial"/>
        </w:rPr>
        <w:t xml:space="preserve">vor fi </w:t>
      </w:r>
      <w:r w:rsidR="008C382C" w:rsidRPr="001E4938">
        <w:rPr>
          <w:rFonts w:ascii="Arial" w:hAnsi="Arial" w:cs="Arial"/>
        </w:rPr>
        <w:t>exclu</w:t>
      </w:r>
      <w:r w:rsidR="00B65AA3">
        <w:rPr>
          <w:rFonts w:ascii="Arial" w:hAnsi="Arial" w:cs="Arial"/>
        </w:rPr>
        <w:t>se</w:t>
      </w:r>
      <w:r w:rsidR="008C382C" w:rsidRPr="001E4938">
        <w:rPr>
          <w:rFonts w:ascii="Arial" w:hAnsi="Arial" w:cs="Arial"/>
        </w:rPr>
        <w:t xml:space="preserve"> </w:t>
      </w:r>
      <w:r w:rsidR="00D92DC7">
        <w:rPr>
          <w:rFonts w:ascii="Arial" w:hAnsi="Arial" w:cs="Arial"/>
        </w:rPr>
        <w:t xml:space="preserve">din </w:t>
      </w:r>
      <w:r w:rsidR="008C382C" w:rsidRPr="001E4938">
        <w:rPr>
          <w:rFonts w:ascii="Arial" w:hAnsi="Arial" w:cs="Arial"/>
        </w:rPr>
        <w:t>operațiunil</w:t>
      </w:r>
      <w:r w:rsidR="00D92DC7">
        <w:rPr>
          <w:rFonts w:ascii="Arial" w:hAnsi="Arial" w:cs="Arial"/>
        </w:rPr>
        <w:t>e</w:t>
      </w:r>
      <w:r w:rsidR="008C382C" w:rsidRPr="001E4938">
        <w:rPr>
          <w:rFonts w:ascii="Arial" w:hAnsi="Arial" w:cs="Arial"/>
        </w:rPr>
        <w:t xml:space="preserve"> dintr-o jurisdicție unde se obțin sub 1 milion euro în profit și 10 milioane euro în venituri. </w:t>
      </w:r>
    </w:p>
    <w:p w14:paraId="2B280877" w14:textId="77777777" w:rsidR="008C382C" w:rsidRPr="001E4938" w:rsidRDefault="008C382C" w:rsidP="008C382C">
      <w:pPr>
        <w:pStyle w:val="NoSpacing"/>
        <w:rPr>
          <w:rFonts w:ascii="Arial" w:hAnsi="Arial" w:cs="Arial"/>
          <w:lang w:val="ro-RO"/>
        </w:rPr>
      </w:pPr>
    </w:p>
    <w:p w14:paraId="64A5ED21" w14:textId="51E44959" w:rsidR="008C382C" w:rsidRPr="001E4938" w:rsidRDefault="008C382C" w:rsidP="008C382C">
      <w:pPr>
        <w:pStyle w:val="NoSpacing"/>
        <w:rPr>
          <w:rFonts w:ascii="Arial" w:hAnsi="Arial" w:cs="Arial"/>
          <w:lang w:val="ro-RO"/>
        </w:rPr>
      </w:pPr>
      <w:r w:rsidRPr="001E4938">
        <w:rPr>
          <w:rFonts w:ascii="Arial" w:hAnsi="Arial" w:cs="Arial"/>
          <w:lang w:val="ro-RO"/>
        </w:rPr>
        <w:t>Intenția este ca entitatea mam</w:t>
      </w:r>
      <w:r w:rsidR="00642B86">
        <w:rPr>
          <w:rFonts w:ascii="Arial" w:hAnsi="Arial" w:cs="Arial"/>
          <w:lang w:val="ro-RO"/>
        </w:rPr>
        <w:t>ă</w:t>
      </w:r>
      <w:r w:rsidRPr="001E4938">
        <w:rPr>
          <w:rFonts w:ascii="Arial" w:hAnsi="Arial" w:cs="Arial"/>
          <w:lang w:val="ro-RO"/>
        </w:rPr>
        <w:t xml:space="preserve"> ultimă, cea care are capacitatea de a plăti suma necesară, să plătească o diferență de impozit </w:t>
      </w:r>
      <w:r w:rsidR="00B65AA3">
        <w:rPr>
          <w:rFonts w:ascii="Arial" w:hAnsi="Arial" w:cs="Arial"/>
          <w:lang w:val="ro-RO"/>
        </w:rPr>
        <w:t xml:space="preserve">doar </w:t>
      </w:r>
      <w:r w:rsidRPr="001E4938">
        <w:rPr>
          <w:rFonts w:ascii="Arial" w:hAnsi="Arial" w:cs="Arial"/>
          <w:lang w:val="ro-RO"/>
        </w:rPr>
        <w:t xml:space="preserve">atunci când este cazul. De altfel, viitorul cadru de implementare va include îndrumări administrative suplimentare cu privire la obligațiile declarative și de plată: țările pot dezvolta anumite reguli, pentru a ajuta la atenuarea sarcinilor de conformitate pentru companiile multinaționale. </w:t>
      </w:r>
    </w:p>
    <w:p w14:paraId="79EB72F6" w14:textId="77777777" w:rsidR="00447140" w:rsidRPr="001E4938" w:rsidRDefault="00447140" w:rsidP="008C382C">
      <w:pPr>
        <w:pStyle w:val="NoSpacing"/>
        <w:rPr>
          <w:rFonts w:ascii="Arial" w:hAnsi="Arial" w:cs="Arial"/>
          <w:lang w:val="ro-RO"/>
        </w:rPr>
      </w:pPr>
    </w:p>
    <w:p w14:paraId="4C86FBC1" w14:textId="7740E0C7" w:rsidR="008C382C" w:rsidRPr="001E4938" w:rsidRDefault="008C382C" w:rsidP="008C382C">
      <w:pPr>
        <w:pStyle w:val="NoSpacing"/>
        <w:rPr>
          <w:rFonts w:ascii="Arial" w:hAnsi="Arial" w:cs="Arial"/>
          <w:lang w:val="ro-RO"/>
        </w:rPr>
      </w:pPr>
      <w:r w:rsidRPr="001E4938">
        <w:rPr>
          <w:rFonts w:ascii="Arial" w:hAnsi="Arial" w:cs="Arial"/>
          <w:lang w:val="ro-RO"/>
        </w:rPr>
        <w:lastRenderedPageBreak/>
        <w:t xml:space="preserve">OCDE ia în considerare și posibilitatea ca nu toate țările, deși majoritatea statelor lumii au aderat la impozitul minim global, să poată aplica reglementarea în același timp și cu privire la același venit cu impozitare redusă. </w:t>
      </w:r>
    </w:p>
    <w:p w14:paraId="6B3D8271" w14:textId="77777777" w:rsidR="008C382C" w:rsidRPr="001E4938" w:rsidRDefault="008C382C" w:rsidP="008C382C">
      <w:pPr>
        <w:pStyle w:val="NoSpacing"/>
        <w:rPr>
          <w:rFonts w:ascii="Arial" w:hAnsi="Arial" w:cs="Arial"/>
          <w:lang w:val="ro-RO"/>
        </w:rPr>
      </w:pPr>
    </w:p>
    <w:p w14:paraId="7175031C" w14:textId="5822B47E" w:rsidR="008C382C" w:rsidRPr="001E4938" w:rsidRDefault="008C382C" w:rsidP="008C382C">
      <w:pPr>
        <w:pStyle w:val="NoSpacing"/>
        <w:rPr>
          <w:rFonts w:ascii="Arial" w:hAnsi="Arial" w:cs="Arial"/>
          <w:lang w:val="ro-RO"/>
        </w:rPr>
      </w:pPr>
      <w:r w:rsidRPr="001E4938">
        <w:rPr>
          <w:rFonts w:ascii="Arial" w:hAnsi="Arial" w:cs="Arial"/>
          <w:lang w:val="ro-RO"/>
        </w:rPr>
        <w:t>Pentru a elimina riscul de supraimpozitare</w:t>
      </w:r>
      <w:r w:rsidR="00D92DC7">
        <w:rPr>
          <w:rFonts w:ascii="Arial" w:hAnsi="Arial" w:cs="Arial"/>
          <w:lang w:val="ro-RO"/>
        </w:rPr>
        <w:t>,</w:t>
      </w:r>
      <w:r w:rsidRPr="001E4938">
        <w:rPr>
          <w:rFonts w:ascii="Arial" w:hAnsi="Arial" w:cs="Arial"/>
          <w:lang w:val="ro-RO"/>
        </w:rPr>
        <w:t xml:space="preserve"> conform regulilor OCDE, se aplică reguli prioritare care asigură dezactivarea regulilor de impozitare minimă globală</w:t>
      </w:r>
      <w:r w:rsidR="00D92DC7">
        <w:rPr>
          <w:rFonts w:ascii="Arial" w:hAnsi="Arial" w:cs="Arial"/>
          <w:lang w:val="ro-RO"/>
        </w:rPr>
        <w:t>,</w:t>
      </w:r>
      <w:r w:rsidRPr="001E4938">
        <w:rPr>
          <w:rFonts w:ascii="Arial" w:hAnsi="Arial" w:cs="Arial"/>
          <w:lang w:val="ro-RO"/>
        </w:rPr>
        <w:t xml:space="preserve"> în situațiile în care venitul cu impozitare redusă este deja supus impozitului minim în altă parte. </w:t>
      </w:r>
      <w:r w:rsidR="008364BF" w:rsidRPr="001E4938">
        <w:rPr>
          <w:rFonts w:ascii="Arial" w:hAnsi="Arial" w:cs="Arial"/>
          <w:lang w:val="ro-RO"/>
        </w:rPr>
        <w:t>În plus, regulile impozitului minim pe profit asigură că toate jurisdicțiile care implementează GLOBE au același punct de plecare, atât cu privire la regim, cât și la interpretare</w:t>
      </w:r>
      <w:r w:rsidRPr="001E4938">
        <w:rPr>
          <w:rFonts w:ascii="Arial" w:hAnsi="Arial" w:cs="Arial"/>
          <w:lang w:val="ro-RO"/>
        </w:rPr>
        <w:t xml:space="preserve">. Cadrul incluziv va asigura, de asemenea, că normele funcționează efectiv într-un mod coordonat pe măsură ce țările trec în faza de implementare.  </w:t>
      </w:r>
    </w:p>
    <w:p w14:paraId="7ED569E1" w14:textId="77777777" w:rsidR="008C382C" w:rsidRPr="001E4938" w:rsidRDefault="008C382C" w:rsidP="008C382C">
      <w:pPr>
        <w:pStyle w:val="NoSpacing"/>
        <w:rPr>
          <w:rFonts w:ascii="Arial" w:hAnsi="Arial" w:cs="Arial"/>
          <w:lang w:val="ro-RO"/>
        </w:rPr>
      </w:pPr>
    </w:p>
    <w:p w14:paraId="31054DDF" w14:textId="4673289B" w:rsidR="008C382C" w:rsidRPr="001E4938" w:rsidRDefault="008C382C" w:rsidP="008C382C">
      <w:pPr>
        <w:pStyle w:val="NoSpacing"/>
        <w:rPr>
          <w:rFonts w:ascii="Arial" w:hAnsi="Arial" w:cs="Arial"/>
          <w:lang w:val="ro-RO"/>
        </w:rPr>
      </w:pPr>
      <w:r w:rsidRPr="001E4938">
        <w:rPr>
          <w:rFonts w:ascii="Arial" w:hAnsi="Arial" w:cs="Arial"/>
          <w:lang w:val="ro-RO"/>
        </w:rPr>
        <w:t>În plus, țările care adoptă regulile OCDE nu vor fi obligate să introducă taxe interne suplimentare asupra propriilor contribuabili rezidenți, dar pot alege să facă acest lucru. În măsura în care o țară alege să implementeze impozitul minim intern calificat, o astfel de taxă va reduce valoarea taxei suplimentare care ar putea fi altfel aplicabilă</w:t>
      </w:r>
      <w:r w:rsidR="00D92DC7">
        <w:rPr>
          <w:rFonts w:ascii="Arial" w:hAnsi="Arial" w:cs="Arial"/>
          <w:lang w:val="ro-RO"/>
        </w:rPr>
        <w:t>,</w:t>
      </w:r>
      <w:r w:rsidRPr="001E4938">
        <w:rPr>
          <w:rFonts w:ascii="Arial" w:hAnsi="Arial" w:cs="Arial"/>
          <w:lang w:val="ro-RO"/>
        </w:rPr>
        <w:t xml:space="preserve"> în conformitate cu regulile </w:t>
      </w:r>
      <w:proofErr w:type="spellStart"/>
      <w:r w:rsidRPr="001E4938">
        <w:rPr>
          <w:rFonts w:ascii="Arial" w:hAnsi="Arial" w:cs="Arial"/>
          <w:lang w:val="ro-RO"/>
        </w:rPr>
        <w:t>GloBE</w:t>
      </w:r>
      <w:proofErr w:type="spellEnd"/>
      <w:r w:rsidRPr="001E4938">
        <w:rPr>
          <w:rFonts w:ascii="Arial" w:hAnsi="Arial" w:cs="Arial"/>
          <w:lang w:val="ro-RO"/>
        </w:rPr>
        <w:t xml:space="preserve"> și plătibilă într-o altă jurisdicție. </w:t>
      </w:r>
    </w:p>
    <w:p w14:paraId="64FD8028" w14:textId="77777777" w:rsidR="008C382C" w:rsidRPr="001E4938" w:rsidRDefault="008C382C" w:rsidP="008C382C">
      <w:pPr>
        <w:pStyle w:val="NoSpacing"/>
        <w:rPr>
          <w:rFonts w:ascii="Arial" w:hAnsi="Arial" w:cs="Arial"/>
          <w:lang w:val="ro-RO"/>
        </w:rPr>
      </w:pPr>
    </w:p>
    <w:p w14:paraId="338931DD" w14:textId="4AE98C30" w:rsidR="008C382C" w:rsidRPr="001E4938" w:rsidRDefault="008C382C" w:rsidP="008C382C">
      <w:pPr>
        <w:pStyle w:val="NoSpacing"/>
        <w:rPr>
          <w:rFonts w:ascii="Arial" w:hAnsi="Arial" w:cs="Arial"/>
          <w:lang w:val="ro-RO"/>
        </w:rPr>
      </w:pPr>
      <w:r w:rsidRPr="001E4938">
        <w:rPr>
          <w:rFonts w:ascii="Arial" w:hAnsi="Arial" w:cs="Arial"/>
          <w:lang w:val="ro-RO"/>
        </w:rPr>
        <w:t>De exemplu, dacă taxa suplimentară de 100 de euro este datorată într-o anumită jurisdicție, dar aceasta impune propriul impozit intern calificat minim tot de 100 de euro, atunci nu va exista taxă suplimentară datorată</w:t>
      </w:r>
      <w:r w:rsidR="00D92DC7">
        <w:rPr>
          <w:rFonts w:ascii="Arial" w:hAnsi="Arial" w:cs="Arial"/>
          <w:lang w:val="ro-RO"/>
        </w:rPr>
        <w:t>,</w:t>
      </w:r>
      <w:r w:rsidRPr="001E4938">
        <w:rPr>
          <w:rFonts w:ascii="Arial" w:hAnsi="Arial" w:cs="Arial"/>
          <w:lang w:val="ro-RO"/>
        </w:rPr>
        <w:t xml:space="preserve"> conform regulilor impozitului minim global (</w:t>
      </w:r>
      <w:proofErr w:type="spellStart"/>
      <w:r w:rsidRPr="001E4938">
        <w:rPr>
          <w:rFonts w:ascii="Arial" w:hAnsi="Arial" w:cs="Arial"/>
          <w:lang w:val="ro-RO"/>
        </w:rPr>
        <w:t>GloBE</w:t>
      </w:r>
      <w:proofErr w:type="spellEnd"/>
      <w:r w:rsidRPr="001E4938">
        <w:rPr>
          <w:rFonts w:ascii="Arial" w:hAnsi="Arial" w:cs="Arial"/>
          <w:lang w:val="ro-RO"/>
        </w:rPr>
        <w:t xml:space="preserve">). </w:t>
      </w:r>
    </w:p>
    <w:p w14:paraId="316D1096" w14:textId="77777777" w:rsidR="008C382C" w:rsidRPr="001E4938" w:rsidRDefault="008C382C" w:rsidP="008C382C">
      <w:pPr>
        <w:pStyle w:val="NoSpacing"/>
        <w:rPr>
          <w:rFonts w:ascii="Arial" w:hAnsi="Arial" w:cs="Arial"/>
          <w:lang w:val="ro-RO"/>
        </w:rPr>
      </w:pPr>
    </w:p>
    <w:p w14:paraId="314ABA8F" w14:textId="77777777" w:rsidR="008C382C" w:rsidRPr="001E4938" w:rsidRDefault="008C382C" w:rsidP="008C382C">
      <w:pPr>
        <w:pStyle w:val="NoSpacing"/>
        <w:rPr>
          <w:rFonts w:ascii="Arial" w:hAnsi="Arial" w:cs="Arial"/>
          <w:lang w:val="ro-RO"/>
        </w:rPr>
      </w:pPr>
      <w:r w:rsidRPr="001E4938">
        <w:rPr>
          <w:rFonts w:ascii="Arial" w:hAnsi="Arial" w:cs="Arial"/>
          <w:lang w:val="ro-RO"/>
        </w:rPr>
        <w:t xml:space="preserve">Cu o rată de impozitare efectivă minimă de 15%, regulile </w:t>
      </w:r>
      <w:proofErr w:type="spellStart"/>
      <w:r w:rsidRPr="001E4938">
        <w:rPr>
          <w:rFonts w:ascii="Arial" w:hAnsi="Arial" w:cs="Arial"/>
          <w:lang w:val="ro-RO"/>
        </w:rPr>
        <w:t>GloBE</w:t>
      </w:r>
      <w:proofErr w:type="spellEnd"/>
      <w:r w:rsidRPr="001E4938">
        <w:rPr>
          <w:rFonts w:ascii="Arial" w:hAnsi="Arial" w:cs="Arial"/>
          <w:lang w:val="ro-RO"/>
        </w:rPr>
        <w:t xml:space="preserve"> sunt de așteptat să genereze aproximativ 150 de miliarde USD în venituri fiscale globale suplimentare pe an. Acestea includ nu doar veniturile așteptate din aplicarea normelor în sine, ci și venituri suplimentare din impozitul pe profit așteptate din reducerea transferărilor de profituri ca urmare a introducerii regulilor. O rată de impozitare efectivă jurisdicțională de 15% reprezintă un pas important față de ratele istorice, adesea foarte scăzute, pentru veniturile din sursele străine ale multinaționalelor.</w:t>
      </w:r>
    </w:p>
    <w:p w14:paraId="1AE3E089" w14:textId="7CB3EB05" w:rsidR="008C382C" w:rsidRPr="001E4938" w:rsidRDefault="006F4A8C" w:rsidP="008C382C">
      <w:pPr>
        <w:pStyle w:val="NoSpacing"/>
        <w:rPr>
          <w:rFonts w:ascii="Arial" w:hAnsi="Arial" w:cs="Arial"/>
          <w:lang w:val="ro-RO"/>
        </w:rPr>
      </w:pPr>
      <w:r w:rsidRPr="001E4938">
        <w:rPr>
          <w:rFonts w:ascii="Arial" w:hAnsi="Arial" w:cs="Arial"/>
          <w:lang w:val="ro-RO"/>
        </w:rPr>
        <w:t xml:space="preserve">Se așteaptă că regulile </w:t>
      </w:r>
      <w:proofErr w:type="spellStart"/>
      <w:r w:rsidRPr="001E4938">
        <w:rPr>
          <w:rFonts w:ascii="Arial" w:hAnsi="Arial" w:cs="Arial"/>
          <w:lang w:val="ro-RO"/>
        </w:rPr>
        <w:t>GloBE</w:t>
      </w:r>
      <w:proofErr w:type="spellEnd"/>
      <w:r w:rsidRPr="001E4938">
        <w:rPr>
          <w:rFonts w:ascii="Arial" w:hAnsi="Arial" w:cs="Arial"/>
          <w:lang w:val="ro-RO"/>
        </w:rPr>
        <w:t xml:space="preserve"> să reducă presiunea resimțită de guverne în a oferi investitorilor stimulente fiscale, reduceri sau eliminări parțiale ale taxelor. </w:t>
      </w:r>
      <w:r w:rsidR="008C382C" w:rsidRPr="001E4938">
        <w:rPr>
          <w:rFonts w:ascii="Arial" w:hAnsi="Arial" w:cs="Arial"/>
          <w:lang w:val="ro-RO"/>
        </w:rPr>
        <w:t>În plus, se așteaptă ca țările în curs de dezvoltare să își poată proteja în continuare baza de impozitare prin aplicarea unui tratat care le va permite țărilor să-și păstreze dreptul de impozitare, pe care, altfel, l-ar fi cedat, în temeiul unui tratat fiscal, asupra anumitor plăți efectuate către părți afiliate din străinătate</w:t>
      </w:r>
      <w:r w:rsidR="00D92DC7">
        <w:rPr>
          <w:rFonts w:ascii="Arial" w:hAnsi="Arial" w:cs="Arial"/>
          <w:lang w:val="ro-RO"/>
        </w:rPr>
        <w:t>,</w:t>
      </w:r>
      <w:r w:rsidR="008C382C" w:rsidRPr="001E4938">
        <w:rPr>
          <w:rFonts w:ascii="Arial" w:hAnsi="Arial" w:cs="Arial"/>
          <w:lang w:val="ro-RO"/>
        </w:rPr>
        <w:t xml:space="preserve"> care prezintă adesea riscuri BEPS, cum ar fi dobânzi și redevențe. </w:t>
      </w:r>
    </w:p>
    <w:p w14:paraId="79235F2F" w14:textId="77777777" w:rsidR="008C382C" w:rsidRPr="001E4938" w:rsidRDefault="008C382C" w:rsidP="008C382C">
      <w:pPr>
        <w:pStyle w:val="NoSpacing"/>
        <w:rPr>
          <w:rFonts w:ascii="Arial" w:hAnsi="Arial" w:cs="Arial"/>
          <w:lang w:val="ro-RO"/>
        </w:rPr>
      </w:pPr>
    </w:p>
    <w:p w14:paraId="3329A06B" w14:textId="4B7AC1AA" w:rsidR="008C382C" w:rsidRPr="001E4938" w:rsidRDefault="008C382C" w:rsidP="008C382C">
      <w:pPr>
        <w:pStyle w:val="NoSpacing"/>
        <w:rPr>
          <w:rFonts w:ascii="Arial" w:hAnsi="Arial" w:cs="Arial"/>
          <w:lang w:val="ro-RO"/>
        </w:rPr>
      </w:pPr>
      <w:r w:rsidRPr="001E4938">
        <w:rPr>
          <w:rFonts w:ascii="Arial" w:hAnsi="Arial" w:cs="Arial"/>
          <w:lang w:val="ro-RO"/>
        </w:rPr>
        <w:t xml:space="preserve">Dar, dincolo de asigurările oferite de OCDE, să vedem care vor fi efectele resimțite de companiile din întreaga lume și din România. </w:t>
      </w:r>
    </w:p>
    <w:p w14:paraId="07097E9C" w14:textId="77777777" w:rsidR="008C382C" w:rsidRPr="001E4938" w:rsidRDefault="008C382C" w:rsidP="008C382C">
      <w:pPr>
        <w:pStyle w:val="NoSpacing"/>
        <w:rPr>
          <w:rFonts w:ascii="Arial" w:hAnsi="Arial" w:cs="Arial"/>
          <w:lang w:val="ro-RO"/>
        </w:rPr>
      </w:pPr>
    </w:p>
    <w:p w14:paraId="5EFBE8A2" w14:textId="7CBCAE75" w:rsidR="008C382C" w:rsidRPr="001E4938" w:rsidRDefault="008C382C" w:rsidP="008C382C">
      <w:pPr>
        <w:pStyle w:val="NoSpacing"/>
        <w:rPr>
          <w:rFonts w:ascii="Arial" w:hAnsi="Arial" w:cs="Arial"/>
          <w:lang w:val="ro-RO"/>
        </w:rPr>
      </w:pPr>
      <w:r w:rsidRPr="001E4938">
        <w:rPr>
          <w:rFonts w:ascii="Arial" w:hAnsi="Arial" w:cs="Arial"/>
          <w:lang w:val="ro-RO"/>
        </w:rPr>
        <w:t>În primul rând, Uniunea European</w:t>
      </w:r>
      <w:r w:rsidR="00D92DC7">
        <w:rPr>
          <w:rFonts w:ascii="Arial" w:hAnsi="Arial" w:cs="Arial"/>
          <w:lang w:val="ro-RO"/>
        </w:rPr>
        <w:t>ă</w:t>
      </w:r>
      <w:r w:rsidRPr="001E4938">
        <w:rPr>
          <w:rFonts w:ascii="Arial" w:hAnsi="Arial" w:cs="Arial"/>
          <w:lang w:val="ro-RO"/>
        </w:rPr>
        <w:t xml:space="preserve"> a aprobat în decembrie 2021 un proiect de </w:t>
      </w:r>
      <w:r w:rsidR="00AD01F6" w:rsidRPr="001E4938">
        <w:rPr>
          <w:rFonts w:ascii="Arial" w:hAnsi="Arial" w:cs="Arial"/>
          <w:lang w:val="ro-RO"/>
        </w:rPr>
        <w:t>d</w:t>
      </w:r>
      <w:r w:rsidRPr="001E4938">
        <w:rPr>
          <w:rFonts w:ascii="Arial" w:hAnsi="Arial" w:cs="Arial"/>
          <w:lang w:val="ro-RO"/>
        </w:rPr>
        <w:t>irectiv</w:t>
      </w:r>
      <w:r w:rsidR="00AD01F6" w:rsidRPr="001E4938">
        <w:rPr>
          <w:rFonts w:ascii="Arial" w:hAnsi="Arial" w:cs="Arial"/>
          <w:lang w:val="ro-RO"/>
        </w:rPr>
        <w:t>ă</w:t>
      </w:r>
      <w:r w:rsidRPr="001E4938">
        <w:rPr>
          <w:rFonts w:ascii="Arial" w:hAnsi="Arial" w:cs="Arial"/>
          <w:lang w:val="ro-RO"/>
        </w:rPr>
        <w:t xml:space="preserve"> vizând BEPS 2.0, care va introduce din 2023 și, respectiv, din 2024, prevederi comune în Statele Membre privind aplicarea Regulii de Includere a Veniturilor și</w:t>
      </w:r>
      <w:r w:rsidR="00AD01F6" w:rsidRPr="001E4938">
        <w:rPr>
          <w:rFonts w:ascii="Arial" w:hAnsi="Arial" w:cs="Arial"/>
          <w:lang w:val="ro-RO"/>
        </w:rPr>
        <w:t>,</w:t>
      </w:r>
      <w:r w:rsidRPr="001E4938">
        <w:rPr>
          <w:rFonts w:ascii="Arial" w:hAnsi="Arial" w:cs="Arial"/>
          <w:lang w:val="ro-RO"/>
        </w:rPr>
        <w:t xml:space="preserve"> respectiv</w:t>
      </w:r>
      <w:r w:rsidR="00AD01F6" w:rsidRPr="001E4938">
        <w:rPr>
          <w:rFonts w:ascii="Arial" w:hAnsi="Arial" w:cs="Arial"/>
          <w:lang w:val="ro-RO"/>
        </w:rPr>
        <w:t>,</w:t>
      </w:r>
      <w:r w:rsidRPr="001E4938">
        <w:rPr>
          <w:rFonts w:ascii="Arial" w:hAnsi="Arial" w:cs="Arial"/>
          <w:lang w:val="ro-RO"/>
        </w:rPr>
        <w:t xml:space="preserve"> a Regulilor de Plăți Sub-impozitate. </w:t>
      </w:r>
      <w:r w:rsidR="00AD01F6" w:rsidRPr="001E4938">
        <w:rPr>
          <w:rFonts w:ascii="Arial" w:hAnsi="Arial" w:cs="Arial"/>
          <w:lang w:val="ro-RO"/>
        </w:rPr>
        <w:t>Astfel, s</w:t>
      </w:r>
      <w:r w:rsidRPr="001E4938">
        <w:rPr>
          <w:rFonts w:ascii="Arial" w:hAnsi="Arial" w:cs="Arial"/>
          <w:lang w:val="ro-RO"/>
        </w:rPr>
        <w:t xml:space="preserve">unt avute în vedere caracteristici proprii Pieței Unice Europene și definițiile și regulile vor trebui implementate în fiecare Stat Membru. </w:t>
      </w:r>
      <w:r w:rsidR="00D92DC7">
        <w:rPr>
          <w:rFonts w:ascii="Arial" w:hAnsi="Arial" w:cs="Arial"/>
          <w:lang w:val="ro-RO"/>
        </w:rPr>
        <w:t>R</w:t>
      </w:r>
      <w:r w:rsidRPr="001E4938">
        <w:rPr>
          <w:rFonts w:ascii="Arial" w:hAnsi="Arial" w:cs="Arial"/>
          <w:lang w:val="ro-RO"/>
        </w:rPr>
        <w:t xml:space="preserve">egulile europene vor acoperi </w:t>
      </w:r>
      <w:r w:rsidR="00D92DC7">
        <w:rPr>
          <w:rFonts w:ascii="Arial" w:hAnsi="Arial" w:cs="Arial"/>
          <w:lang w:val="ro-RO"/>
        </w:rPr>
        <w:t>ș</w:t>
      </w:r>
      <w:r w:rsidRPr="001E4938">
        <w:rPr>
          <w:rFonts w:ascii="Arial" w:hAnsi="Arial" w:cs="Arial"/>
          <w:lang w:val="ro-RO"/>
        </w:rPr>
        <w:t>i grupurile domestice care au o cifr</w:t>
      </w:r>
      <w:r w:rsidR="00D92DC7">
        <w:rPr>
          <w:rFonts w:ascii="Arial" w:hAnsi="Arial" w:cs="Arial"/>
          <w:lang w:val="ro-RO"/>
        </w:rPr>
        <w:t>ă</w:t>
      </w:r>
      <w:r w:rsidRPr="001E4938">
        <w:rPr>
          <w:rFonts w:ascii="Arial" w:hAnsi="Arial" w:cs="Arial"/>
          <w:lang w:val="ro-RO"/>
        </w:rPr>
        <w:t xml:space="preserve"> de afaceri cumulat</w:t>
      </w:r>
      <w:r w:rsidR="00805138" w:rsidRPr="001E4938">
        <w:rPr>
          <w:rFonts w:ascii="Arial" w:hAnsi="Arial" w:cs="Arial"/>
          <w:lang w:val="ro-RO"/>
        </w:rPr>
        <w:t>ă</w:t>
      </w:r>
      <w:r w:rsidRPr="001E4938">
        <w:rPr>
          <w:rFonts w:ascii="Arial" w:hAnsi="Arial" w:cs="Arial"/>
          <w:lang w:val="ro-RO"/>
        </w:rPr>
        <w:t xml:space="preserve"> de peste 750 de milioane de euro, iar entitatea mam</w:t>
      </w:r>
      <w:r w:rsidR="00805138" w:rsidRPr="001E4938">
        <w:rPr>
          <w:rFonts w:ascii="Arial" w:hAnsi="Arial" w:cs="Arial"/>
          <w:lang w:val="ro-RO"/>
        </w:rPr>
        <w:t>ă</w:t>
      </w:r>
      <w:r w:rsidRPr="001E4938">
        <w:rPr>
          <w:rFonts w:ascii="Arial" w:hAnsi="Arial" w:cs="Arial"/>
          <w:lang w:val="ro-RO"/>
        </w:rPr>
        <w:t xml:space="preserve"> care aplic</w:t>
      </w:r>
      <w:r w:rsidR="00805138" w:rsidRPr="001E4938">
        <w:rPr>
          <w:rFonts w:ascii="Arial" w:hAnsi="Arial" w:cs="Arial"/>
          <w:lang w:val="ro-RO"/>
        </w:rPr>
        <w:t>ă</w:t>
      </w:r>
      <w:r w:rsidRPr="001E4938">
        <w:rPr>
          <w:rFonts w:ascii="Arial" w:hAnsi="Arial" w:cs="Arial"/>
          <w:lang w:val="ro-RO"/>
        </w:rPr>
        <w:t xml:space="preserve"> Regula de Includere a Veniturilor va plăti impozitul suplimentar, nu doar pentru filialele din jurisdicții terțe, ci </w:t>
      </w:r>
      <w:proofErr w:type="spellStart"/>
      <w:r w:rsidR="00805138" w:rsidRPr="001E4938">
        <w:rPr>
          <w:rFonts w:ascii="Arial" w:hAnsi="Arial" w:cs="Arial"/>
          <w:lang w:val="ro-RO"/>
        </w:rPr>
        <w:t>ş</w:t>
      </w:r>
      <w:r w:rsidRPr="001E4938">
        <w:rPr>
          <w:rFonts w:ascii="Arial" w:hAnsi="Arial" w:cs="Arial"/>
          <w:lang w:val="ro-RO"/>
        </w:rPr>
        <w:t>i</w:t>
      </w:r>
      <w:proofErr w:type="spellEnd"/>
      <w:r w:rsidRPr="001E4938">
        <w:rPr>
          <w:rFonts w:ascii="Arial" w:hAnsi="Arial" w:cs="Arial"/>
          <w:lang w:val="ro-RO"/>
        </w:rPr>
        <w:t xml:space="preserve"> pentru entități rezidente în state membre. Statele </w:t>
      </w:r>
      <w:r w:rsidRPr="001E4938">
        <w:rPr>
          <w:rFonts w:ascii="Arial" w:hAnsi="Arial" w:cs="Arial"/>
          <w:lang w:val="ro-RO"/>
        </w:rPr>
        <w:lastRenderedPageBreak/>
        <w:t>membre pot alege s</w:t>
      </w:r>
      <w:r w:rsidR="00805138" w:rsidRPr="001E4938">
        <w:rPr>
          <w:rFonts w:ascii="Arial" w:hAnsi="Arial" w:cs="Arial"/>
          <w:lang w:val="ro-RO"/>
        </w:rPr>
        <w:t>ă</w:t>
      </w:r>
      <w:r w:rsidRPr="001E4938">
        <w:rPr>
          <w:rFonts w:ascii="Arial" w:hAnsi="Arial" w:cs="Arial"/>
          <w:lang w:val="ro-RO"/>
        </w:rPr>
        <w:t xml:space="preserve"> implementeze impozitul suplimentar pentru entitățile din grup situate pe teritoriul lor. </w:t>
      </w:r>
    </w:p>
    <w:p w14:paraId="5F153927" w14:textId="77777777" w:rsidR="008C382C" w:rsidRPr="001E4938" w:rsidRDefault="008C382C" w:rsidP="008C382C">
      <w:pPr>
        <w:pStyle w:val="NoSpacing"/>
        <w:rPr>
          <w:rFonts w:ascii="Arial" w:hAnsi="Arial" w:cs="Arial"/>
          <w:lang w:val="ro-RO"/>
        </w:rPr>
      </w:pPr>
    </w:p>
    <w:p w14:paraId="01187ECC" w14:textId="098054BB" w:rsidR="008C382C" w:rsidRPr="001E4938" w:rsidRDefault="008C382C" w:rsidP="008C382C">
      <w:pPr>
        <w:pStyle w:val="NoSpacing"/>
        <w:rPr>
          <w:rFonts w:ascii="Arial" w:hAnsi="Arial" w:cs="Arial"/>
          <w:lang w:val="ro-RO"/>
        </w:rPr>
      </w:pPr>
      <w:r w:rsidRPr="001E4938">
        <w:rPr>
          <w:rFonts w:ascii="Arial" w:hAnsi="Arial" w:cs="Arial"/>
          <w:lang w:val="ro-RO"/>
        </w:rPr>
        <w:t>Rom</w:t>
      </w:r>
      <w:r w:rsidR="00805138" w:rsidRPr="001E4938">
        <w:rPr>
          <w:rFonts w:ascii="Arial" w:hAnsi="Arial" w:cs="Arial"/>
          <w:lang w:val="ro-RO"/>
        </w:rPr>
        <w:t>â</w:t>
      </w:r>
      <w:r w:rsidRPr="001E4938">
        <w:rPr>
          <w:rFonts w:ascii="Arial" w:hAnsi="Arial" w:cs="Arial"/>
          <w:lang w:val="ro-RO"/>
        </w:rPr>
        <w:t>nia va trebui s</w:t>
      </w:r>
      <w:r w:rsidR="00805138" w:rsidRPr="001E4938">
        <w:rPr>
          <w:rFonts w:ascii="Arial" w:hAnsi="Arial" w:cs="Arial"/>
          <w:lang w:val="ro-RO"/>
        </w:rPr>
        <w:t>ă</w:t>
      </w:r>
      <w:r w:rsidRPr="001E4938">
        <w:rPr>
          <w:rFonts w:ascii="Arial" w:hAnsi="Arial" w:cs="Arial"/>
          <w:lang w:val="ro-RO"/>
        </w:rPr>
        <w:t xml:space="preserve"> își adapteze legislația pentru a include aceste noi reguli de impozitare, acoperind și situații specifice (cum ar fi microîntreprinderile, situația în care o entitate din grup </w:t>
      </w:r>
      <w:r w:rsidR="00D92DC7">
        <w:rPr>
          <w:rFonts w:ascii="Arial" w:hAnsi="Arial" w:cs="Arial"/>
          <w:lang w:val="ro-RO"/>
        </w:rPr>
        <w:t xml:space="preserve">aflată </w:t>
      </w:r>
      <w:r w:rsidRPr="001E4938">
        <w:rPr>
          <w:rFonts w:ascii="Arial" w:hAnsi="Arial" w:cs="Arial"/>
          <w:lang w:val="ro-RO"/>
        </w:rPr>
        <w:t>în Rom</w:t>
      </w:r>
      <w:r w:rsidR="00805138" w:rsidRPr="001E4938">
        <w:rPr>
          <w:rFonts w:ascii="Arial" w:hAnsi="Arial" w:cs="Arial"/>
          <w:lang w:val="ro-RO"/>
        </w:rPr>
        <w:t>â</w:t>
      </w:r>
      <w:r w:rsidRPr="001E4938">
        <w:rPr>
          <w:rFonts w:ascii="Arial" w:hAnsi="Arial" w:cs="Arial"/>
          <w:lang w:val="ro-RO"/>
        </w:rPr>
        <w:t>nia trebuie s</w:t>
      </w:r>
      <w:r w:rsidR="00805138" w:rsidRPr="001E4938">
        <w:rPr>
          <w:rFonts w:ascii="Arial" w:hAnsi="Arial" w:cs="Arial"/>
          <w:lang w:val="ro-RO"/>
        </w:rPr>
        <w:t>ă</w:t>
      </w:r>
      <w:r w:rsidRPr="001E4938">
        <w:rPr>
          <w:rFonts w:ascii="Arial" w:hAnsi="Arial" w:cs="Arial"/>
          <w:lang w:val="ro-RO"/>
        </w:rPr>
        <w:t xml:space="preserve"> aplice impozitul minim suplimentar, chiar dac</w:t>
      </w:r>
      <w:r w:rsidR="00805138" w:rsidRPr="001E4938">
        <w:rPr>
          <w:rFonts w:ascii="Arial" w:hAnsi="Arial" w:cs="Arial"/>
          <w:lang w:val="ro-RO"/>
        </w:rPr>
        <w:t>ă</w:t>
      </w:r>
      <w:r w:rsidRPr="001E4938">
        <w:rPr>
          <w:rFonts w:ascii="Arial" w:hAnsi="Arial" w:cs="Arial"/>
          <w:lang w:val="ro-RO"/>
        </w:rPr>
        <w:t xml:space="preserve"> nu este societate holding etc.). Pregătirea unor </w:t>
      </w:r>
      <w:r w:rsidR="00805138" w:rsidRPr="001E4938">
        <w:rPr>
          <w:rFonts w:ascii="Arial" w:hAnsi="Arial" w:cs="Arial"/>
          <w:lang w:val="ro-RO"/>
        </w:rPr>
        <w:t>n</w:t>
      </w:r>
      <w:r w:rsidRPr="001E4938">
        <w:rPr>
          <w:rFonts w:ascii="Arial" w:hAnsi="Arial" w:cs="Arial"/>
          <w:lang w:val="ro-RO"/>
        </w:rPr>
        <w:t>orme clare pentru aplicarea practic</w:t>
      </w:r>
      <w:r w:rsidR="00805138" w:rsidRPr="001E4938">
        <w:rPr>
          <w:rFonts w:ascii="Arial" w:hAnsi="Arial" w:cs="Arial"/>
          <w:lang w:val="ro-RO"/>
        </w:rPr>
        <w:t>ă</w:t>
      </w:r>
      <w:r w:rsidRPr="001E4938">
        <w:rPr>
          <w:rFonts w:ascii="Arial" w:hAnsi="Arial" w:cs="Arial"/>
          <w:lang w:val="ro-RO"/>
        </w:rPr>
        <w:t xml:space="preserve"> a noilor reguli este extrem de important</w:t>
      </w:r>
      <w:r w:rsidR="00805138" w:rsidRPr="001E4938">
        <w:rPr>
          <w:rFonts w:ascii="Arial" w:hAnsi="Arial" w:cs="Arial"/>
          <w:lang w:val="ro-RO"/>
        </w:rPr>
        <w:t>ă</w:t>
      </w:r>
      <w:r w:rsidRPr="001E4938">
        <w:rPr>
          <w:rFonts w:ascii="Arial" w:hAnsi="Arial" w:cs="Arial"/>
          <w:lang w:val="ro-RO"/>
        </w:rPr>
        <w:t xml:space="preserve"> (așa cum s-au dovedit extrem de utile </w:t>
      </w:r>
      <w:r w:rsidR="00805138" w:rsidRPr="001E4938">
        <w:rPr>
          <w:rFonts w:ascii="Arial" w:hAnsi="Arial" w:cs="Arial"/>
          <w:lang w:val="ro-RO"/>
        </w:rPr>
        <w:t>n</w:t>
      </w:r>
      <w:r w:rsidRPr="001E4938">
        <w:rPr>
          <w:rFonts w:ascii="Arial" w:hAnsi="Arial" w:cs="Arial"/>
          <w:lang w:val="ro-RO"/>
        </w:rPr>
        <w:t>ormele de aplicare pentru toat</w:t>
      </w:r>
      <w:r w:rsidR="00805138" w:rsidRPr="001E4938">
        <w:rPr>
          <w:rFonts w:ascii="Arial" w:hAnsi="Arial" w:cs="Arial"/>
          <w:lang w:val="ro-RO"/>
        </w:rPr>
        <w:t>ă</w:t>
      </w:r>
      <w:r w:rsidRPr="001E4938">
        <w:rPr>
          <w:rFonts w:ascii="Arial" w:hAnsi="Arial" w:cs="Arial"/>
          <w:lang w:val="ro-RO"/>
        </w:rPr>
        <w:t xml:space="preserve"> legislația europeană implementată la noi). </w:t>
      </w:r>
    </w:p>
    <w:p w14:paraId="7164B543" w14:textId="77777777" w:rsidR="004A4AB4" w:rsidRPr="001E4938" w:rsidRDefault="004A4AB4" w:rsidP="008C382C">
      <w:pPr>
        <w:rPr>
          <w:rFonts w:ascii="Arial" w:hAnsi="Arial" w:cs="Arial"/>
        </w:rPr>
      </w:pPr>
    </w:p>
    <w:p w14:paraId="250FC64A" w14:textId="5027031C" w:rsidR="00D5580B" w:rsidRPr="00FF1FAE" w:rsidRDefault="00D5580B" w:rsidP="00FC362E">
      <w:pPr>
        <w:spacing w:after="0" w:line="240" w:lineRule="auto"/>
        <w:rPr>
          <w:rFonts w:ascii="Arial" w:hAnsi="Arial" w:cs="Arial"/>
          <w:color w:val="242424"/>
          <w:sz w:val="18"/>
          <w:szCs w:val="18"/>
          <w:shd w:val="clear" w:color="auto" w:fill="FFFFFF"/>
        </w:rPr>
      </w:pPr>
      <w:r w:rsidRPr="00FF1FAE">
        <w:rPr>
          <w:rFonts w:ascii="Arial" w:hAnsi="Arial" w:cs="Arial"/>
          <w:color w:val="242424"/>
          <w:sz w:val="18"/>
          <w:szCs w:val="18"/>
          <w:shd w:val="clear" w:color="auto" w:fill="FFFFFF"/>
        </w:rPr>
        <w:t>***</w:t>
      </w:r>
    </w:p>
    <w:p w14:paraId="63E7A13E" w14:textId="77777777" w:rsidR="001454E9" w:rsidRPr="00FF1FAE" w:rsidRDefault="001454E9" w:rsidP="00FC362E">
      <w:pPr>
        <w:pStyle w:val="EYNormal"/>
        <w:rPr>
          <w:rFonts w:eastAsiaTheme="minorHAnsi" w:cs="Arial"/>
          <w:b/>
          <w:bCs/>
          <w:sz w:val="18"/>
          <w:szCs w:val="18"/>
        </w:rPr>
      </w:pPr>
      <w:r w:rsidRPr="00FF1FAE">
        <w:rPr>
          <w:rFonts w:eastAsiaTheme="minorHAnsi" w:cs="Arial"/>
          <w:b/>
          <w:bCs/>
          <w:sz w:val="18"/>
          <w:szCs w:val="18"/>
        </w:rPr>
        <w:t>Despre EY România</w:t>
      </w:r>
    </w:p>
    <w:p w14:paraId="4821C4BA" w14:textId="4DA77B74" w:rsidR="001454E9" w:rsidRPr="00FF1FAE" w:rsidRDefault="001454E9" w:rsidP="00FC362E">
      <w:pPr>
        <w:pStyle w:val="EYNormal"/>
        <w:rPr>
          <w:rFonts w:eastAsiaTheme="minorHAnsi" w:cs="Arial"/>
          <w:sz w:val="18"/>
          <w:szCs w:val="18"/>
          <w:u w:val="single"/>
        </w:rPr>
      </w:pPr>
      <w:r w:rsidRPr="00FF1FAE">
        <w:rPr>
          <w:rFonts w:eastAsiaTheme="minorHAnsi" w:cs="Arial"/>
          <w:sz w:val="18"/>
          <w:szCs w:val="18"/>
        </w:rPr>
        <w:t xml:space="preserve">EY este una dintre cele mai mari firme de servicii profesionale la nivel global, cu 312.250 de angajați în peste 700 de birouri în 150 de țări și venituri de aproximativ 40 miliarde de USD în anul fiscal încheiat la 30 iunie 2021. Rețeaua </w:t>
      </w:r>
      <w:r w:rsidR="00730A3C" w:rsidRPr="00FF1FAE">
        <w:rPr>
          <w:rFonts w:eastAsiaTheme="minorHAnsi" w:cs="Arial"/>
          <w:sz w:val="18"/>
          <w:szCs w:val="18"/>
        </w:rPr>
        <w:t>lor</w:t>
      </w:r>
      <w:r w:rsidRPr="00FF1FAE">
        <w:rPr>
          <w:rFonts w:eastAsiaTheme="minorHAnsi" w:cs="Arial"/>
          <w:sz w:val="18"/>
          <w:szCs w:val="18"/>
        </w:rPr>
        <w:t xml:space="preserve"> este cea mai integrată la nivel global, iar resursele din cadrul acesteia </w:t>
      </w:r>
      <w:r w:rsidR="00730A3C" w:rsidRPr="00FF1FAE">
        <w:rPr>
          <w:rFonts w:eastAsiaTheme="minorHAnsi" w:cs="Arial"/>
          <w:sz w:val="18"/>
          <w:szCs w:val="18"/>
        </w:rPr>
        <w:t>îi</w:t>
      </w:r>
      <w:r w:rsidRPr="00FF1FAE">
        <w:rPr>
          <w:rFonts w:eastAsiaTheme="minorHAnsi" w:cs="Arial"/>
          <w:sz w:val="18"/>
          <w:szCs w:val="18"/>
        </w:rPr>
        <w:t xml:space="preserve"> ajută să le ofer</w:t>
      </w:r>
      <w:r w:rsidR="00730A3C" w:rsidRPr="00FF1FAE">
        <w:rPr>
          <w:rFonts w:eastAsiaTheme="minorHAnsi" w:cs="Arial"/>
          <w:sz w:val="18"/>
          <w:szCs w:val="18"/>
        </w:rPr>
        <w:t>e</w:t>
      </w:r>
      <w:r w:rsidRPr="00FF1FAE">
        <w:rPr>
          <w:rFonts w:eastAsiaTheme="minorHAnsi" w:cs="Arial"/>
          <w:sz w:val="18"/>
          <w:szCs w:val="18"/>
        </w:rPr>
        <w:t xml:space="preserve"> clienților servicii prin care să beneficieze de oportunitățile din întreaga lume.</w:t>
      </w:r>
      <w:r w:rsidRPr="00FF1FAE">
        <w:rPr>
          <w:rFonts w:eastAsiaTheme="minorHAnsi" w:cs="Arial"/>
          <w:sz w:val="18"/>
          <w:szCs w:val="18"/>
        </w:rPr>
        <w:b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w:t>
      </w:r>
      <w:r w:rsidR="002D3375" w:rsidRPr="00FF1FAE">
        <w:rPr>
          <w:rFonts w:eastAsiaTheme="minorHAnsi" w:cs="Arial"/>
          <w:sz w:val="18"/>
          <w:szCs w:val="18"/>
        </w:rPr>
        <w:t>u</w:t>
      </w:r>
      <w:r w:rsidRPr="00FF1FAE">
        <w:rPr>
          <w:rFonts w:eastAsiaTheme="minorHAnsi" w:cs="Arial"/>
          <w:sz w:val="18"/>
          <w:szCs w:val="18"/>
        </w:rPr>
        <w:t xml:space="preserve"> birouri în București, Cluj-Napoca, Timișoara, Iași și Chișinău. EY România s-a afiliat în 2014 singurei competiții de nivel mondial dedicată antreprenorialului, EY </w:t>
      </w:r>
      <w:proofErr w:type="spellStart"/>
      <w:r w:rsidRPr="00FF1FAE">
        <w:rPr>
          <w:rFonts w:eastAsiaTheme="minorHAnsi" w:cs="Arial"/>
          <w:sz w:val="18"/>
          <w:szCs w:val="18"/>
        </w:rPr>
        <w:t>Entrepreneur</w:t>
      </w:r>
      <w:proofErr w:type="spellEnd"/>
      <w:r w:rsidRPr="00FF1FAE">
        <w:rPr>
          <w:rFonts w:eastAsiaTheme="minorHAnsi" w:cs="Arial"/>
          <w:sz w:val="18"/>
          <w:szCs w:val="18"/>
        </w:rPr>
        <w:t xml:space="preserve"> Of The </w:t>
      </w:r>
      <w:proofErr w:type="spellStart"/>
      <w:r w:rsidRPr="00FF1FAE">
        <w:rPr>
          <w:rFonts w:eastAsiaTheme="minorHAnsi" w:cs="Arial"/>
          <w:sz w:val="18"/>
          <w:szCs w:val="18"/>
        </w:rPr>
        <w:t>Year</w:t>
      </w:r>
      <w:proofErr w:type="spellEnd"/>
      <w:r w:rsidRPr="00FF1FAE">
        <w:rPr>
          <w:rFonts w:eastAsiaTheme="minorHAnsi" w:cs="Arial"/>
          <w:sz w:val="18"/>
          <w:szCs w:val="18"/>
        </w:rPr>
        <w:t xml:space="preserve">. Câștigătorul ediției locale reprezintă România în finala mondială ce are loc în fiecare an, în luna iunie, la Monte </w:t>
      </w:r>
      <w:proofErr w:type="spellStart"/>
      <w:r w:rsidRPr="00FF1FAE">
        <w:rPr>
          <w:rFonts w:eastAsiaTheme="minorHAnsi" w:cs="Arial"/>
          <w:sz w:val="18"/>
          <w:szCs w:val="18"/>
        </w:rPr>
        <w:t>Carlo</w:t>
      </w:r>
      <w:proofErr w:type="spellEnd"/>
      <w:r w:rsidRPr="00FF1FAE">
        <w:rPr>
          <w:rFonts w:eastAsiaTheme="minorHAnsi" w:cs="Arial"/>
          <w:sz w:val="18"/>
          <w:szCs w:val="18"/>
        </w:rPr>
        <w:t xml:space="preserve">. În finala mondială se acordă titlul World </w:t>
      </w:r>
      <w:proofErr w:type="spellStart"/>
      <w:r w:rsidRPr="00FF1FAE">
        <w:rPr>
          <w:rFonts w:eastAsiaTheme="minorHAnsi" w:cs="Arial"/>
          <w:sz w:val="18"/>
          <w:szCs w:val="18"/>
        </w:rPr>
        <w:t>Entrepreneur</w:t>
      </w:r>
      <w:proofErr w:type="spellEnd"/>
      <w:r w:rsidRPr="00FF1FAE">
        <w:rPr>
          <w:rFonts w:eastAsiaTheme="minorHAnsi" w:cs="Arial"/>
          <w:sz w:val="18"/>
          <w:szCs w:val="18"/>
        </w:rPr>
        <w:t xml:space="preserve"> Of The </w:t>
      </w:r>
      <w:proofErr w:type="spellStart"/>
      <w:r w:rsidRPr="00FF1FAE">
        <w:rPr>
          <w:rFonts w:eastAsiaTheme="minorHAnsi" w:cs="Arial"/>
          <w:sz w:val="18"/>
          <w:szCs w:val="18"/>
        </w:rPr>
        <w:t>Year</w:t>
      </w:r>
      <w:proofErr w:type="spellEnd"/>
      <w:r w:rsidR="002D3375" w:rsidRPr="00FF1FAE">
        <w:rPr>
          <w:rFonts w:eastAsiaTheme="minorHAnsi" w:cs="Arial"/>
          <w:sz w:val="18"/>
          <w:szCs w:val="18"/>
        </w:rPr>
        <w:t>.</w:t>
      </w:r>
      <w:r w:rsidR="002D3375" w:rsidRPr="00FF1FAE">
        <w:rPr>
          <w:rFonts w:eastAsiaTheme="minorHAnsi" w:cs="Arial"/>
          <w:sz w:val="18"/>
          <w:szCs w:val="18"/>
          <w:u w:val="single"/>
        </w:rPr>
        <w:t xml:space="preserve"> </w:t>
      </w:r>
    </w:p>
    <w:p w14:paraId="0C3B8EF2" w14:textId="77777777" w:rsidR="001454E9" w:rsidRPr="00FF1FAE" w:rsidRDefault="001454E9" w:rsidP="00FC362E">
      <w:pPr>
        <w:pStyle w:val="NormalWeb"/>
        <w:shd w:val="clear" w:color="auto" w:fill="FFFFFF"/>
        <w:spacing w:before="0" w:beforeAutospacing="0" w:after="0" w:afterAutospacing="0"/>
        <w:rPr>
          <w:rFonts w:ascii="Arial" w:hAnsi="Arial" w:cs="Arial"/>
          <w:sz w:val="18"/>
          <w:szCs w:val="18"/>
          <w:lang w:val="ro-RO"/>
        </w:rPr>
      </w:pPr>
    </w:p>
    <w:p w14:paraId="07CA51B0" w14:textId="77777777" w:rsidR="009C0341" w:rsidRPr="001E4938" w:rsidRDefault="009C0341" w:rsidP="00FC362E">
      <w:pPr>
        <w:pStyle w:val="NormalWeb"/>
        <w:shd w:val="clear" w:color="auto" w:fill="FFFFFF"/>
        <w:spacing w:before="0" w:beforeAutospacing="0" w:after="0" w:afterAutospacing="0"/>
        <w:rPr>
          <w:rFonts w:ascii="Arial" w:hAnsi="Arial" w:cs="Arial"/>
          <w:sz w:val="22"/>
          <w:szCs w:val="22"/>
          <w:lang w:val="ro-RO"/>
        </w:rPr>
      </w:pPr>
    </w:p>
    <w:p w14:paraId="00AE37EB" w14:textId="5DA0F3B2" w:rsidR="00205FE1" w:rsidRPr="001E4938" w:rsidRDefault="00205FE1" w:rsidP="00FC362E">
      <w:pPr>
        <w:spacing w:after="0" w:line="240" w:lineRule="auto"/>
        <w:rPr>
          <w:rFonts w:ascii="Arial" w:hAnsi="Arial" w:cs="Arial"/>
        </w:rPr>
      </w:pPr>
    </w:p>
    <w:sectPr w:rsidR="00205FE1" w:rsidRPr="001E4938" w:rsidSect="000A468F">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0760B" w14:textId="77777777" w:rsidR="00663371" w:rsidRDefault="00663371" w:rsidP="00B8226C">
      <w:pPr>
        <w:spacing w:after="0" w:line="240" w:lineRule="auto"/>
      </w:pPr>
      <w:r>
        <w:separator/>
      </w:r>
    </w:p>
  </w:endnote>
  <w:endnote w:type="continuationSeparator" w:id="0">
    <w:p w14:paraId="596127A5" w14:textId="77777777" w:rsidR="00663371" w:rsidRDefault="00663371"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292076"/>
      <w:docPartObj>
        <w:docPartGallery w:val="Page Numbers (Bottom of Page)"/>
        <w:docPartUnique/>
      </w:docPartObj>
    </w:sdtPr>
    <w:sdtEndPr>
      <w:rPr>
        <w:noProof/>
      </w:rPr>
    </w:sdtEndPr>
    <w:sdtContent>
      <w:p w14:paraId="14DB3943" w14:textId="127DCFEE" w:rsidR="009B4452" w:rsidRDefault="009B4452">
        <w:pPr>
          <w:pStyle w:val="Footer"/>
          <w:jc w:val="right"/>
        </w:pPr>
        <w:r>
          <w:fldChar w:fldCharType="begin"/>
        </w:r>
        <w:r>
          <w:instrText xml:space="preserve"> PAGE   \* MERGEFORMAT </w:instrText>
        </w:r>
        <w:r>
          <w:fldChar w:fldCharType="separate"/>
        </w:r>
        <w:r w:rsidR="00D7380D">
          <w:rPr>
            <w:noProof/>
          </w:rPr>
          <w:t>1</w:t>
        </w:r>
        <w:r>
          <w:rPr>
            <w:noProof/>
          </w:rPr>
          <w:fldChar w:fldCharType="end"/>
        </w:r>
      </w:p>
    </w:sdtContent>
  </w:sdt>
  <w:p w14:paraId="25FA75F3" w14:textId="77777777" w:rsidR="009B4452" w:rsidRDefault="009B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D0021" w14:textId="77777777" w:rsidR="00663371" w:rsidRDefault="00663371" w:rsidP="00B8226C">
      <w:pPr>
        <w:spacing w:after="0" w:line="240" w:lineRule="auto"/>
      </w:pPr>
      <w:r>
        <w:separator/>
      </w:r>
    </w:p>
  </w:footnote>
  <w:footnote w:type="continuationSeparator" w:id="0">
    <w:p w14:paraId="11FE6A62" w14:textId="77777777" w:rsidR="00663371" w:rsidRDefault="00663371" w:rsidP="00B8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C677" w14:textId="5C233488" w:rsidR="00B8226C" w:rsidRDefault="00B8226C">
    <w:pPr>
      <w:pStyle w:val="Header"/>
    </w:pPr>
    <w:r>
      <w:rPr>
        <w:noProof/>
        <w:lang w:val="en-US"/>
      </w:rPr>
      <w:drawing>
        <wp:inline distT="0" distB="0" distL="0" distR="0" wp14:anchorId="4DA3380C" wp14:editId="09A9FAC1">
          <wp:extent cx="847725" cy="996950"/>
          <wp:effectExtent l="0" t="0" r="9525" b="0"/>
          <wp:docPr id="2" name="Picture 2"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C3404E2"/>
    <w:multiLevelType w:val="hybridMultilevel"/>
    <w:tmpl w:val="D1843B32"/>
    <w:lvl w:ilvl="0" w:tplc="59AC9B28">
      <w:numFmt w:val="bullet"/>
      <w:lvlText w:val="-"/>
      <w:lvlJc w:val="left"/>
      <w:pPr>
        <w:ind w:left="720" w:hanging="360"/>
      </w:pPr>
      <w:rPr>
        <w:rFonts w:ascii="Arial" w:eastAsiaTheme="minorHAnsi" w:hAnsi="Arial" w:cs="Arial" w:hint="default"/>
        <w:color w:val="2424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01F0C"/>
    <w:rsid w:val="00010933"/>
    <w:rsid w:val="00023A0B"/>
    <w:rsid w:val="000272BC"/>
    <w:rsid w:val="00027376"/>
    <w:rsid w:val="00033325"/>
    <w:rsid w:val="0003689D"/>
    <w:rsid w:val="00037E06"/>
    <w:rsid w:val="00045BAF"/>
    <w:rsid w:val="00053D09"/>
    <w:rsid w:val="00055F45"/>
    <w:rsid w:val="000578B9"/>
    <w:rsid w:val="00057ED5"/>
    <w:rsid w:val="00062951"/>
    <w:rsid w:val="00063081"/>
    <w:rsid w:val="0006450C"/>
    <w:rsid w:val="00072845"/>
    <w:rsid w:val="00076D9F"/>
    <w:rsid w:val="00084FEC"/>
    <w:rsid w:val="000A13B2"/>
    <w:rsid w:val="000A14B7"/>
    <w:rsid w:val="000A227C"/>
    <w:rsid w:val="000A405B"/>
    <w:rsid w:val="000A468F"/>
    <w:rsid w:val="000A4694"/>
    <w:rsid w:val="000A52E0"/>
    <w:rsid w:val="000A7A8B"/>
    <w:rsid w:val="000B16F7"/>
    <w:rsid w:val="000B2B1F"/>
    <w:rsid w:val="000C483E"/>
    <w:rsid w:val="000C4CBE"/>
    <w:rsid w:val="000C5BDB"/>
    <w:rsid w:val="000C5DFB"/>
    <w:rsid w:val="000C6EB2"/>
    <w:rsid w:val="000D118E"/>
    <w:rsid w:val="000D216E"/>
    <w:rsid w:val="000D5B33"/>
    <w:rsid w:val="000E2FC4"/>
    <w:rsid w:val="000E7C3D"/>
    <w:rsid w:val="000E7FF2"/>
    <w:rsid w:val="000F511E"/>
    <w:rsid w:val="000F6B10"/>
    <w:rsid w:val="00102824"/>
    <w:rsid w:val="00103D43"/>
    <w:rsid w:val="001043E5"/>
    <w:rsid w:val="00110A7F"/>
    <w:rsid w:val="001125CB"/>
    <w:rsid w:val="00115463"/>
    <w:rsid w:val="00116E53"/>
    <w:rsid w:val="00123CBF"/>
    <w:rsid w:val="00124C6A"/>
    <w:rsid w:val="00130170"/>
    <w:rsid w:val="001305E7"/>
    <w:rsid w:val="0013585C"/>
    <w:rsid w:val="00137A85"/>
    <w:rsid w:val="001402EF"/>
    <w:rsid w:val="001454E9"/>
    <w:rsid w:val="00145739"/>
    <w:rsid w:val="0015682F"/>
    <w:rsid w:val="0016586E"/>
    <w:rsid w:val="0016595D"/>
    <w:rsid w:val="00165E14"/>
    <w:rsid w:val="00167B21"/>
    <w:rsid w:val="00172791"/>
    <w:rsid w:val="001756D9"/>
    <w:rsid w:val="001774EB"/>
    <w:rsid w:val="00180676"/>
    <w:rsid w:val="001807DE"/>
    <w:rsid w:val="00182DBF"/>
    <w:rsid w:val="0018390F"/>
    <w:rsid w:val="00191BC8"/>
    <w:rsid w:val="00194C9A"/>
    <w:rsid w:val="00196BDA"/>
    <w:rsid w:val="001A2423"/>
    <w:rsid w:val="001A2DA7"/>
    <w:rsid w:val="001A3B2E"/>
    <w:rsid w:val="001A525D"/>
    <w:rsid w:val="001A5E5E"/>
    <w:rsid w:val="001A793F"/>
    <w:rsid w:val="001B0440"/>
    <w:rsid w:val="001B20FC"/>
    <w:rsid w:val="001B3258"/>
    <w:rsid w:val="001B3F8C"/>
    <w:rsid w:val="001B6120"/>
    <w:rsid w:val="001D25D1"/>
    <w:rsid w:val="001D4D20"/>
    <w:rsid w:val="001D7192"/>
    <w:rsid w:val="001E4938"/>
    <w:rsid w:val="001E75F8"/>
    <w:rsid w:val="001F63BD"/>
    <w:rsid w:val="00200099"/>
    <w:rsid w:val="00201C15"/>
    <w:rsid w:val="00204A02"/>
    <w:rsid w:val="00205FE1"/>
    <w:rsid w:val="0021526E"/>
    <w:rsid w:val="002162CF"/>
    <w:rsid w:val="00217212"/>
    <w:rsid w:val="00217AF9"/>
    <w:rsid w:val="00217FF5"/>
    <w:rsid w:val="00220637"/>
    <w:rsid w:val="002275E2"/>
    <w:rsid w:val="00240BF3"/>
    <w:rsid w:val="00243927"/>
    <w:rsid w:val="0024430E"/>
    <w:rsid w:val="00247BD7"/>
    <w:rsid w:val="00250C64"/>
    <w:rsid w:val="00251293"/>
    <w:rsid w:val="0026670E"/>
    <w:rsid w:val="00266710"/>
    <w:rsid w:val="0027040B"/>
    <w:rsid w:val="00272036"/>
    <w:rsid w:val="00281BA5"/>
    <w:rsid w:val="002827C5"/>
    <w:rsid w:val="00284AD0"/>
    <w:rsid w:val="002878C0"/>
    <w:rsid w:val="0029352F"/>
    <w:rsid w:val="00294B83"/>
    <w:rsid w:val="00296658"/>
    <w:rsid w:val="00297A37"/>
    <w:rsid w:val="002A3864"/>
    <w:rsid w:val="002A6702"/>
    <w:rsid w:val="002A7DDE"/>
    <w:rsid w:val="002B3604"/>
    <w:rsid w:val="002C20CB"/>
    <w:rsid w:val="002C2168"/>
    <w:rsid w:val="002C27F3"/>
    <w:rsid w:val="002C4BBB"/>
    <w:rsid w:val="002D0BBE"/>
    <w:rsid w:val="002D2A42"/>
    <w:rsid w:val="002D3375"/>
    <w:rsid w:val="002D639D"/>
    <w:rsid w:val="002D6815"/>
    <w:rsid w:val="002E002B"/>
    <w:rsid w:val="002E204F"/>
    <w:rsid w:val="002E250F"/>
    <w:rsid w:val="002F3801"/>
    <w:rsid w:val="002F51B4"/>
    <w:rsid w:val="002F780C"/>
    <w:rsid w:val="00302CFE"/>
    <w:rsid w:val="00305CBB"/>
    <w:rsid w:val="00305EFE"/>
    <w:rsid w:val="003138E5"/>
    <w:rsid w:val="00317549"/>
    <w:rsid w:val="0032391D"/>
    <w:rsid w:val="00323B40"/>
    <w:rsid w:val="00323FD4"/>
    <w:rsid w:val="00325C0B"/>
    <w:rsid w:val="00326C9F"/>
    <w:rsid w:val="0033122E"/>
    <w:rsid w:val="00337DA9"/>
    <w:rsid w:val="0034482A"/>
    <w:rsid w:val="0034635D"/>
    <w:rsid w:val="00351CF1"/>
    <w:rsid w:val="00353445"/>
    <w:rsid w:val="00355DDD"/>
    <w:rsid w:val="003610B6"/>
    <w:rsid w:val="0036460E"/>
    <w:rsid w:val="0037268C"/>
    <w:rsid w:val="003730FF"/>
    <w:rsid w:val="00373E97"/>
    <w:rsid w:val="00374A04"/>
    <w:rsid w:val="00381F81"/>
    <w:rsid w:val="00394700"/>
    <w:rsid w:val="003A2CE6"/>
    <w:rsid w:val="003A2FF9"/>
    <w:rsid w:val="003A4BDA"/>
    <w:rsid w:val="003A6E46"/>
    <w:rsid w:val="003A7C84"/>
    <w:rsid w:val="003B0856"/>
    <w:rsid w:val="003B1AC2"/>
    <w:rsid w:val="003B1B11"/>
    <w:rsid w:val="003B25CE"/>
    <w:rsid w:val="003B7B3B"/>
    <w:rsid w:val="003C0AF9"/>
    <w:rsid w:val="003C2FD4"/>
    <w:rsid w:val="003D4282"/>
    <w:rsid w:val="003E0497"/>
    <w:rsid w:val="003E3573"/>
    <w:rsid w:val="003F0C74"/>
    <w:rsid w:val="003F24E2"/>
    <w:rsid w:val="003F2E0E"/>
    <w:rsid w:val="003F3E4C"/>
    <w:rsid w:val="003F45B4"/>
    <w:rsid w:val="003F7ACC"/>
    <w:rsid w:val="00400E6C"/>
    <w:rsid w:val="00402E72"/>
    <w:rsid w:val="00412BE9"/>
    <w:rsid w:val="004134E1"/>
    <w:rsid w:val="00432D75"/>
    <w:rsid w:val="0043541D"/>
    <w:rsid w:val="004373A3"/>
    <w:rsid w:val="004379B1"/>
    <w:rsid w:val="00445096"/>
    <w:rsid w:val="00445F8D"/>
    <w:rsid w:val="00447140"/>
    <w:rsid w:val="004530CB"/>
    <w:rsid w:val="00457394"/>
    <w:rsid w:val="0046146A"/>
    <w:rsid w:val="0046375E"/>
    <w:rsid w:val="00466016"/>
    <w:rsid w:val="00471DB7"/>
    <w:rsid w:val="00472541"/>
    <w:rsid w:val="004807BA"/>
    <w:rsid w:val="0048150C"/>
    <w:rsid w:val="00483495"/>
    <w:rsid w:val="00484A3D"/>
    <w:rsid w:val="0048507B"/>
    <w:rsid w:val="0048734B"/>
    <w:rsid w:val="00487B80"/>
    <w:rsid w:val="00487F99"/>
    <w:rsid w:val="004901BC"/>
    <w:rsid w:val="0049152B"/>
    <w:rsid w:val="00494E59"/>
    <w:rsid w:val="004A4AB4"/>
    <w:rsid w:val="004A4F53"/>
    <w:rsid w:val="004A539E"/>
    <w:rsid w:val="004A54EC"/>
    <w:rsid w:val="004B41A7"/>
    <w:rsid w:val="004B4EF4"/>
    <w:rsid w:val="004B7912"/>
    <w:rsid w:val="004C17AA"/>
    <w:rsid w:val="004C2A89"/>
    <w:rsid w:val="004C3480"/>
    <w:rsid w:val="004D1866"/>
    <w:rsid w:val="004D4590"/>
    <w:rsid w:val="004D60AA"/>
    <w:rsid w:val="004E0D49"/>
    <w:rsid w:val="004E1B75"/>
    <w:rsid w:val="004E6748"/>
    <w:rsid w:val="004F0A8F"/>
    <w:rsid w:val="004F3D70"/>
    <w:rsid w:val="004F627C"/>
    <w:rsid w:val="004F647C"/>
    <w:rsid w:val="004F6BF2"/>
    <w:rsid w:val="00502417"/>
    <w:rsid w:val="005063CC"/>
    <w:rsid w:val="0051077A"/>
    <w:rsid w:val="0051081D"/>
    <w:rsid w:val="00510827"/>
    <w:rsid w:val="0051263A"/>
    <w:rsid w:val="00517C27"/>
    <w:rsid w:val="00523017"/>
    <w:rsid w:val="00525D05"/>
    <w:rsid w:val="0052649E"/>
    <w:rsid w:val="00535012"/>
    <w:rsid w:val="00541A28"/>
    <w:rsid w:val="00543DE7"/>
    <w:rsid w:val="00546FBE"/>
    <w:rsid w:val="00552DC0"/>
    <w:rsid w:val="00561A11"/>
    <w:rsid w:val="00563D86"/>
    <w:rsid w:val="00564434"/>
    <w:rsid w:val="005752E2"/>
    <w:rsid w:val="00581410"/>
    <w:rsid w:val="00581ADA"/>
    <w:rsid w:val="005944DA"/>
    <w:rsid w:val="0059582D"/>
    <w:rsid w:val="00595DE0"/>
    <w:rsid w:val="00596ABD"/>
    <w:rsid w:val="005A1F4F"/>
    <w:rsid w:val="005A2578"/>
    <w:rsid w:val="005A4D44"/>
    <w:rsid w:val="005A5448"/>
    <w:rsid w:val="005B367C"/>
    <w:rsid w:val="005B65F6"/>
    <w:rsid w:val="005C0984"/>
    <w:rsid w:val="005C31EA"/>
    <w:rsid w:val="005C4254"/>
    <w:rsid w:val="005C430F"/>
    <w:rsid w:val="005D598A"/>
    <w:rsid w:val="005D5CAD"/>
    <w:rsid w:val="005D5CBC"/>
    <w:rsid w:val="005D74DA"/>
    <w:rsid w:val="005E103B"/>
    <w:rsid w:val="005E4125"/>
    <w:rsid w:val="005E70B1"/>
    <w:rsid w:val="005E77AB"/>
    <w:rsid w:val="005F022A"/>
    <w:rsid w:val="005F2FD7"/>
    <w:rsid w:val="005F6862"/>
    <w:rsid w:val="0061078F"/>
    <w:rsid w:val="00614DAB"/>
    <w:rsid w:val="00615C15"/>
    <w:rsid w:val="00616DD2"/>
    <w:rsid w:val="00616F07"/>
    <w:rsid w:val="006213F5"/>
    <w:rsid w:val="00624337"/>
    <w:rsid w:val="00626AA3"/>
    <w:rsid w:val="00632C07"/>
    <w:rsid w:val="00633DD1"/>
    <w:rsid w:val="00635451"/>
    <w:rsid w:val="006371C7"/>
    <w:rsid w:val="00640ABB"/>
    <w:rsid w:val="006410E6"/>
    <w:rsid w:val="00642B86"/>
    <w:rsid w:val="00646C60"/>
    <w:rsid w:val="00657073"/>
    <w:rsid w:val="006601DA"/>
    <w:rsid w:val="006623A5"/>
    <w:rsid w:val="00662EEE"/>
    <w:rsid w:val="00663371"/>
    <w:rsid w:val="0066412F"/>
    <w:rsid w:val="006645CE"/>
    <w:rsid w:val="0066462F"/>
    <w:rsid w:val="00666322"/>
    <w:rsid w:val="006777B6"/>
    <w:rsid w:val="00682C7C"/>
    <w:rsid w:val="006835AD"/>
    <w:rsid w:val="00691D95"/>
    <w:rsid w:val="006A3CE3"/>
    <w:rsid w:val="006A5602"/>
    <w:rsid w:val="006B1E0C"/>
    <w:rsid w:val="006B5EE3"/>
    <w:rsid w:val="006B6CF8"/>
    <w:rsid w:val="006B73A2"/>
    <w:rsid w:val="006C2C1E"/>
    <w:rsid w:val="006C40A1"/>
    <w:rsid w:val="006C414C"/>
    <w:rsid w:val="006C45CC"/>
    <w:rsid w:val="006C5D77"/>
    <w:rsid w:val="006D0486"/>
    <w:rsid w:val="006D0C65"/>
    <w:rsid w:val="006D174B"/>
    <w:rsid w:val="006D2C99"/>
    <w:rsid w:val="006D3E75"/>
    <w:rsid w:val="006D55DD"/>
    <w:rsid w:val="006E0AF3"/>
    <w:rsid w:val="006E156A"/>
    <w:rsid w:val="006E1BF8"/>
    <w:rsid w:val="006E283C"/>
    <w:rsid w:val="006E4851"/>
    <w:rsid w:val="006E609E"/>
    <w:rsid w:val="006E70C5"/>
    <w:rsid w:val="006F0076"/>
    <w:rsid w:val="006F1272"/>
    <w:rsid w:val="006F2B98"/>
    <w:rsid w:val="006F4A8C"/>
    <w:rsid w:val="006F54EA"/>
    <w:rsid w:val="007036CA"/>
    <w:rsid w:val="00703A02"/>
    <w:rsid w:val="00703D32"/>
    <w:rsid w:val="00705023"/>
    <w:rsid w:val="00707F7A"/>
    <w:rsid w:val="007140EF"/>
    <w:rsid w:val="0072143C"/>
    <w:rsid w:val="007214B8"/>
    <w:rsid w:val="007215CA"/>
    <w:rsid w:val="00721A43"/>
    <w:rsid w:val="00721CEE"/>
    <w:rsid w:val="00721E07"/>
    <w:rsid w:val="00727854"/>
    <w:rsid w:val="00727879"/>
    <w:rsid w:val="00730A3C"/>
    <w:rsid w:val="00730E6B"/>
    <w:rsid w:val="007321D1"/>
    <w:rsid w:val="007325B5"/>
    <w:rsid w:val="007413E7"/>
    <w:rsid w:val="0074331D"/>
    <w:rsid w:val="00746369"/>
    <w:rsid w:val="00752223"/>
    <w:rsid w:val="007530FA"/>
    <w:rsid w:val="00753988"/>
    <w:rsid w:val="00756176"/>
    <w:rsid w:val="00757B23"/>
    <w:rsid w:val="00761F36"/>
    <w:rsid w:val="00766C8E"/>
    <w:rsid w:val="00771E7A"/>
    <w:rsid w:val="00775778"/>
    <w:rsid w:val="00780122"/>
    <w:rsid w:val="00781430"/>
    <w:rsid w:val="00783A89"/>
    <w:rsid w:val="007842C0"/>
    <w:rsid w:val="007878A1"/>
    <w:rsid w:val="0079037D"/>
    <w:rsid w:val="00792F43"/>
    <w:rsid w:val="00793C74"/>
    <w:rsid w:val="00794447"/>
    <w:rsid w:val="00797CA6"/>
    <w:rsid w:val="007A0BE7"/>
    <w:rsid w:val="007A1DE3"/>
    <w:rsid w:val="007A406B"/>
    <w:rsid w:val="007A551A"/>
    <w:rsid w:val="007A6529"/>
    <w:rsid w:val="007A6A6B"/>
    <w:rsid w:val="007B1DF7"/>
    <w:rsid w:val="007B3777"/>
    <w:rsid w:val="007B3A97"/>
    <w:rsid w:val="007B6A69"/>
    <w:rsid w:val="007C1C47"/>
    <w:rsid w:val="007C4AD7"/>
    <w:rsid w:val="007C550F"/>
    <w:rsid w:val="007C7BC4"/>
    <w:rsid w:val="007D24EF"/>
    <w:rsid w:val="007D4A41"/>
    <w:rsid w:val="007D6F89"/>
    <w:rsid w:val="007E0BCB"/>
    <w:rsid w:val="007E0F28"/>
    <w:rsid w:val="007E1287"/>
    <w:rsid w:val="007E1F77"/>
    <w:rsid w:val="007E4518"/>
    <w:rsid w:val="00802744"/>
    <w:rsid w:val="00805138"/>
    <w:rsid w:val="00807E6B"/>
    <w:rsid w:val="0081612E"/>
    <w:rsid w:val="00823FD0"/>
    <w:rsid w:val="0082432F"/>
    <w:rsid w:val="00825DA0"/>
    <w:rsid w:val="0082781C"/>
    <w:rsid w:val="00827B09"/>
    <w:rsid w:val="008364BF"/>
    <w:rsid w:val="00842F10"/>
    <w:rsid w:val="00845C53"/>
    <w:rsid w:val="008469FC"/>
    <w:rsid w:val="0085094D"/>
    <w:rsid w:val="00855C51"/>
    <w:rsid w:val="008566D0"/>
    <w:rsid w:val="0085682A"/>
    <w:rsid w:val="00865D2B"/>
    <w:rsid w:val="0086619D"/>
    <w:rsid w:val="00867770"/>
    <w:rsid w:val="00873ED9"/>
    <w:rsid w:val="00874EF9"/>
    <w:rsid w:val="0087537C"/>
    <w:rsid w:val="00877579"/>
    <w:rsid w:val="00891C1F"/>
    <w:rsid w:val="00893A33"/>
    <w:rsid w:val="00896378"/>
    <w:rsid w:val="00897112"/>
    <w:rsid w:val="008A2557"/>
    <w:rsid w:val="008A2B6A"/>
    <w:rsid w:val="008B4277"/>
    <w:rsid w:val="008B4B39"/>
    <w:rsid w:val="008B74DA"/>
    <w:rsid w:val="008C10CA"/>
    <w:rsid w:val="008C175F"/>
    <w:rsid w:val="008C382C"/>
    <w:rsid w:val="008D206C"/>
    <w:rsid w:val="008D3305"/>
    <w:rsid w:val="008D43C2"/>
    <w:rsid w:val="008D5777"/>
    <w:rsid w:val="008D61CB"/>
    <w:rsid w:val="008E5362"/>
    <w:rsid w:val="008E7739"/>
    <w:rsid w:val="008F11C6"/>
    <w:rsid w:val="008F136B"/>
    <w:rsid w:val="008F2D5E"/>
    <w:rsid w:val="008F2F02"/>
    <w:rsid w:val="008F5F5A"/>
    <w:rsid w:val="0090042A"/>
    <w:rsid w:val="00904ED8"/>
    <w:rsid w:val="00916533"/>
    <w:rsid w:val="009200C7"/>
    <w:rsid w:val="00926905"/>
    <w:rsid w:val="00931AD5"/>
    <w:rsid w:val="009325D7"/>
    <w:rsid w:val="009342F5"/>
    <w:rsid w:val="009359CE"/>
    <w:rsid w:val="009423C6"/>
    <w:rsid w:val="0094276F"/>
    <w:rsid w:val="009462D0"/>
    <w:rsid w:val="00953F7D"/>
    <w:rsid w:val="009574AD"/>
    <w:rsid w:val="009579A7"/>
    <w:rsid w:val="00964101"/>
    <w:rsid w:val="0096547C"/>
    <w:rsid w:val="00965D56"/>
    <w:rsid w:val="00976D47"/>
    <w:rsid w:val="009802D7"/>
    <w:rsid w:val="00981FB6"/>
    <w:rsid w:val="00982CAE"/>
    <w:rsid w:val="00985F5E"/>
    <w:rsid w:val="00993AA0"/>
    <w:rsid w:val="00996866"/>
    <w:rsid w:val="009A4230"/>
    <w:rsid w:val="009A79AA"/>
    <w:rsid w:val="009B4452"/>
    <w:rsid w:val="009B687B"/>
    <w:rsid w:val="009C0341"/>
    <w:rsid w:val="009C2213"/>
    <w:rsid w:val="009C5539"/>
    <w:rsid w:val="009D12E3"/>
    <w:rsid w:val="009D1BE7"/>
    <w:rsid w:val="009D514B"/>
    <w:rsid w:val="009D647B"/>
    <w:rsid w:val="009D7258"/>
    <w:rsid w:val="009E4AA3"/>
    <w:rsid w:val="009F19CC"/>
    <w:rsid w:val="009F20E1"/>
    <w:rsid w:val="009F3462"/>
    <w:rsid w:val="00A002FF"/>
    <w:rsid w:val="00A01AFC"/>
    <w:rsid w:val="00A03CDF"/>
    <w:rsid w:val="00A07710"/>
    <w:rsid w:val="00A20636"/>
    <w:rsid w:val="00A20BA8"/>
    <w:rsid w:val="00A224A6"/>
    <w:rsid w:val="00A226A3"/>
    <w:rsid w:val="00A22B1D"/>
    <w:rsid w:val="00A233C2"/>
    <w:rsid w:val="00A2490B"/>
    <w:rsid w:val="00A27BFF"/>
    <w:rsid w:val="00A31A4B"/>
    <w:rsid w:val="00A3247E"/>
    <w:rsid w:val="00A33C56"/>
    <w:rsid w:val="00A41208"/>
    <w:rsid w:val="00A45E5F"/>
    <w:rsid w:val="00A53338"/>
    <w:rsid w:val="00A5378C"/>
    <w:rsid w:val="00A53E4F"/>
    <w:rsid w:val="00A5658C"/>
    <w:rsid w:val="00A635A3"/>
    <w:rsid w:val="00A662BC"/>
    <w:rsid w:val="00A66BE7"/>
    <w:rsid w:val="00A76417"/>
    <w:rsid w:val="00A90D17"/>
    <w:rsid w:val="00A91616"/>
    <w:rsid w:val="00AA2F36"/>
    <w:rsid w:val="00AB08F3"/>
    <w:rsid w:val="00AB4BB6"/>
    <w:rsid w:val="00AB6A26"/>
    <w:rsid w:val="00AC229A"/>
    <w:rsid w:val="00AC275C"/>
    <w:rsid w:val="00AC57D0"/>
    <w:rsid w:val="00AD01F6"/>
    <w:rsid w:val="00AD0DE1"/>
    <w:rsid w:val="00AD0E40"/>
    <w:rsid w:val="00AD7CBD"/>
    <w:rsid w:val="00AE18A8"/>
    <w:rsid w:val="00AE26BC"/>
    <w:rsid w:val="00AE2D7D"/>
    <w:rsid w:val="00AE3FE1"/>
    <w:rsid w:val="00AF12D7"/>
    <w:rsid w:val="00AF3EF2"/>
    <w:rsid w:val="00AF444A"/>
    <w:rsid w:val="00AF608C"/>
    <w:rsid w:val="00AF6348"/>
    <w:rsid w:val="00AF67A8"/>
    <w:rsid w:val="00AF7C3F"/>
    <w:rsid w:val="00B02045"/>
    <w:rsid w:val="00B10264"/>
    <w:rsid w:val="00B1026D"/>
    <w:rsid w:val="00B106C8"/>
    <w:rsid w:val="00B1185D"/>
    <w:rsid w:val="00B13EC8"/>
    <w:rsid w:val="00B17450"/>
    <w:rsid w:val="00B25681"/>
    <w:rsid w:val="00B2703D"/>
    <w:rsid w:val="00B30747"/>
    <w:rsid w:val="00B41643"/>
    <w:rsid w:val="00B42EA5"/>
    <w:rsid w:val="00B468BF"/>
    <w:rsid w:val="00B47A0D"/>
    <w:rsid w:val="00B6537E"/>
    <w:rsid w:val="00B65AA3"/>
    <w:rsid w:val="00B6705D"/>
    <w:rsid w:val="00B67292"/>
    <w:rsid w:val="00B7110E"/>
    <w:rsid w:val="00B8226C"/>
    <w:rsid w:val="00B83A45"/>
    <w:rsid w:val="00B84551"/>
    <w:rsid w:val="00B852B8"/>
    <w:rsid w:val="00B8672E"/>
    <w:rsid w:val="00B86A08"/>
    <w:rsid w:val="00B86AC1"/>
    <w:rsid w:val="00B87E00"/>
    <w:rsid w:val="00B91759"/>
    <w:rsid w:val="00B92B1A"/>
    <w:rsid w:val="00B93C49"/>
    <w:rsid w:val="00B9455D"/>
    <w:rsid w:val="00B94ED3"/>
    <w:rsid w:val="00BA17BF"/>
    <w:rsid w:val="00BA650D"/>
    <w:rsid w:val="00BA6A55"/>
    <w:rsid w:val="00BA73DB"/>
    <w:rsid w:val="00BA7FEA"/>
    <w:rsid w:val="00BB05AA"/>
    <w:rsid w:val="00BB0F36"/>
    <w:rsid w:val="00BC2C31"/>
    <w:rsid w:val="00BC2F54"/>
    <w:rsid w:val="00BC34EE"/>
    <w:rsid w:val="00BE180A"/>
    <w:rsid w:val="00BE7513"/>
    <w:rsid w:val="00BF6DC9"/>
    <w:rsid w:val="00BF6FDF"/>
    <w:rsid w:val="00C05969"/>
    <w:rsid w:val="00C15C5E"/>
    <w:rsid w:val="00C24A2B"/>
    <w:rsid w:val="00C33582"/>
    <w:rsid w:val="00C3433F"/>
    <w:rsid w:val="00C34A10"/>
    <w:rsid w:val="00C435E4"/>
    <w:rsid w:val="00C43F04"/>
    <w:rsid w:val="00C52054"/>
    <w:rsid w:val="00C523E4"/>
    <w:rsid w:val="00C52EB1"/>
    <w:rsid w:val="00C54AC6"/>
    <w:rsid w:val="00C56425"/>
    <w:rsid w:val="00C61C48"/>
    <w:rsid w:val="00C75060"/>
    <w:rsid w:val="00C773B9"/>
    <w:rsid w:val="00C77481"/>
    <w:rsid w:val="00C80EA2"/>
    <w:rsid w:val="00C85A64"/>
    <w:rsid w:val="00C921E8"/>
    <w:rsid w:val="00CA3C6C"/>
    <w:rsid w:val="00CA4183"/>
    <w:rsid w:val="00CA5092"/>
    <w:rsid w:val="00CA5ABA"/>
    <w:rsid w:val="00CA7655"/>
    <w:rsid w:val="00CB1540"/>
    <w:rsid w:val="00CB258D"/>
    <w:rsid w:val="00CC067B"/>
    <w:rsid w:val="00CC312F"/>
    <w:rsid w:val="00CC5E4F"/>
    <w:rsid w:val="00CD6B1C"/>
    <w:rsid w:val="00CD746A"/>
    <w:rsid w:val="00CE0745"/>
    <w:rsid w:val="00CE512E"/>
    <w:rsid w:val="00CE6E4A"/>
    <w:rsid w:val="00CF0E6D"/>
    <w:rsid w:val="00CF291C"/>
    <w:rsid w:val="00CF2F05"/>
    <w:rsid w:val="00CF3803"/>
    <w:rsid w:val="00CF41BA"/>
    <w:rsid w:val="00D0412D"/>
    <w:rsid w:val="00D117E3"/>
    <w:rsid w:val="00D12494"/>
    <w:rsid w:val="00D140DF"/>
    <w:rsid w:val="00D22ED3"/>
    <w:rsid w:val="00D23492"/>
    <w:rsid w:val="00D27920"/>
    <w:rsid w:val="00D27BD8"/>
    <w:rsid w:val="00D31DB2"/>
    <w:rsid w:val="00D3337E"/>
    <w:rsid w:val="00D349F2"/>
    <w:rsid w:val="00D34B36"/>
    <w:rsid w:val="00D52B23"/>
    <w:rsid w:val="00D53097"/>
    <w:rsid w:val="00D54AA3"/>
    <w:rsid w:val="00D5580B"/>
    <w:rsid w:val="00D6333C"/>
    <w:rsid w:val="00D67D6E"/>
    <w:rsid w:val="00D713F0"/>
    <w:rsid w:val="00D7380D"/>
    <w:rsid w:val="00D74039"/>
    <w:rsid w:val="00D759E4"/>
    <w:rsid w:val="00D80822"/>
    <w:rsid w:val="00D82D3C"/>
    <w:rsid w:val="00D8734E"/>
    <w:rsid w:val="00D90310"/>
    <w:rsid w:val="00D92DC7"/>
    <w:rsid w:val="00DA02D3"/>
    <w:rsid w:val="00DA37B4"/>
    <w:rsid w:val="00DB0380"/>
    <w:rsid w:val="00DB1672"/>
    <w:rsid w:val="00DB30B7"/>
    <w:rsid w:val="00DB3937"/>
    <w:rsid w:val="00DB42BF"/>
    <w:rsid w:val="00DB43EA"/>
    <w:rsid w:val="00DB5616"/>
    <w:rsid w:val="00DC0B5A"/>
    <w:rsid w:val="00DC0E12"/>
    <w:rsid w:val="00DD2164"/>
    <w:rsid w:val="00DD4B77"/>
    <w:rsid w:val="00DD72D1"/>
    <w:rsid w:val="00DE7145"/>
    <w:rsid w:val="00DE7C60"/>
    <w:rsid w:val="00E027EE"/>
    <w:rsid w:val="00E056E6"/>
    <w:rsid w:val="00E125D7"/>
    <w:rsid w:val="00E23ACF"/>
    <w:rsid w:val="00E27F36"/>
    <w:rsid w:val="00E33B0A"/>
    <w:rsid w:val="00E34D16"/>
    <w:rsid w:val="00E34F2E"/>
    <w:rsid w:val="00E37A3C"/>
    <w:rsid w:val="00E41593"/>
    <w:rsid w:val="00E42EFF"/>
    <w:rsid w:val="00E55A7A"/>
    <w:rsid w:val="00E57600"/>
    <w:rsid w:val="00E57C8C"/>
    <w:rsid w:val="00E67E73"/>
    <w:rsid w:val="00E718EF"/>
    <w:rsid w:val="00E72674"/>
    <w:rsid w:val="00E85110"/>
    <w:rsid w:val="00E902B2"/>
    <w:rsid w:val="00E960E7"/>
    <w:rsid w:val="00E96B9E"/>
    <w:rsid w:val="00EA1489"/>
    <w:rsid w:val="00EA1BC3"/>
    <w:rsid w:val="00EA2569"/>
    <w:rsid w:val="00EA2EBB"/>
    <w:rsid w:val="00EB088F"/>
    <w:rsid w:val="00EB42A8"/>
    <w:rsid w:val="00EB52E7"/>
    <w:rsid w:val="00EB5479"/>
    <w:rsid w:val="00EB72D3"/>
    <w:rsid w:val="00EC1D8A"/>
    <w:rsid w:val="00EC2CCC"/>
    <w:rsid w:val="00ED148A"/>
    <w:rsid w:val="00ED1D52"/>
    <w:rsid w:val="00ED2F1F"/>
    <w:rsid w:val="00ED7DB6"/>
    <w:rsid w:val="00EE3827"/>
    <w:rsid w:val="00EE4080"/>
    <w:rsid w:val="00EE5126"/>
    <w:rsid w:val="00EE5F61"/>
    <w:rsid w:val="00EF3627"/>
    <w:rsid w:val="00EF6784"/>
    <w:rsid w:val="00EF781B"/>
    <w:rsid w:val="00F01D2C"/>
    <w:rsid w:val="00F0517D"/>
    <w:rsid w:val="00F07ED4"/>
    <w:rsid w:val="00F1382F"/>
    <w:rsid w:val="00F145FF"/>
    <w:rsid w:val="00F17D12"/>
    <w:rsid w:val="00F2325F"/>
    <w:rsid w:val="00F23C0C"/>
    <w:rsid w:val="00F25A82"/>
    <w:rsid w:val="00F27EFA"/>
    <w:rsid w:val="00F33C19"/>
    <w:rsid w:val="00F34299"/>
    <w:rsid w:val="00F37C5F"/>
    <w:rsid w:val="00F4431C"/>
    <w:rsid w:val="00F44B03"/>
    <w:rsid w:val="00F44E7C"/>
    <w:rsid w:val="00F46EE2"/>
    <w:rsid w:val="00F550A3"/>
    <w:rsid w:val="00F5677C"/>
    <w:rsid w:val="00F570B7"/>
    <w:rsid w:val="00F5771D"/>
    <w:rsid w:val="00F67691"/>
    <w:rsid w:val="00F73361"/>
    <w:rsid w:val="00F8533F"/>
    <w:rsid w:val="00F854B2"/>
    <w:rsid w:val="00F86DA2"/>
    <w:rsid w:val="00F8705B"/>
    <w:rsid w:val="00F93EC9"/>
    <w:rsid w:val="00FA00A0"/>
    <w:rsid w:val="00FA0736"/>
    <w:rsid w:val="00FA1DC4"/>
    <w:rsid w:val="00FA50A2"/>
    <w:rsid w:val="00FA7D92"/>
    <w:rsid w:val="00FB053C"/>
    <w:rsid w:val="00FB1895"/>
    <w:rsid w:val="00FB2FBD"/>
    <w:rsid w:val="00FB3453"/>
    <w:rsid w:val="00FB7D6C"/>
    <w:rsid w:val="00FC362E"/>
    <w:rsid w:val="00FC4935"/>
    <w:rsid w:val="00FC4A6F"/>
    <w:rsid w:val="00FC6C80"/>
    <w:rsid w:val="00FD0A7A"/>
    <w:rsid w:val="00FD0C32"/>
    <w:rsid w:val="00FE1A85"/>
    <w:rsid w:val="00FE1DC9"/>
    <w:rsid w:val="00FF0136"/>
    <w:rsid w:val="00FF0736"/>
    <w:rsid w:val="00FF1FAE"/>
    <w:rsid w:val="00FF2294"/>
    <w:rsid w:val="00FF2649"/>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MeniuneNerezolvat2">
    <w:name w:val="Mențiune Nerezolvat2"/>
    <w:basedOn w:val="DefaultParagraphFont"/>
    <w:uiPriority w:val="99"/>
    <w:semiHidden/>
    <w:unhideWhenUsed/>
    <w:rsid w:val="0029352F"/>
    <w:rPr>
      <w:color w:val="605E5C"/>
      <w:shd w:val="clear" w:color="auto" w:fill="E1DFDD"/>
    </w:rPr>
  </w:style>
  <w:style w:type="character" w:customStyle="1" w:styleId="MeniuneNerezolvat3">
    <w:name w:val="Mențiune Nerezolvat3"/>
    <w:basedOn w:val="DefaultParagraphFont"/>
    <w:uiPriority w:val="99"/>
    <w:semiHidden/>
    <w:unhideWhenUsed/>
    <w:rsid w:val="00BA7FEA"/>
    <w:rPr>
      <w:color w:val="605E5C"/>
      <w:shd w:val="clear" w:color="auto" w:fill="E1DFDD"/>
    </w:rPr>
  </w:style>
  <w:style w:type="paragraph" w:styleId="NoSpacing">
    <w:name w:val="No Spacing"/>
    <w:uiPriority w:val="1"/>
    <w:qFormat/>
    <w:rsid w:val="008C3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5904">
      <w:bodyDiv w:val="1"/>
      <w:marLeft w:val="0"/>
      <w:marRight w:val="0"/>
      <w:marTop w:val="0"/>
      <w:marBottom w:val="0"/>
      <w:divBdr>
        <w:top w:val="none" w:sz="0" w:space="0" w:color="auto"/>
        <w:left w:val="none" w:sz="0" w:space="0" w:color="auto"/>
        <w:bottom w:val="none" w:sz="0" w:space="0" w:color="auto"/>
        <w:right w:val="none" w:sz="0" w:space="0" w:color="auto"/>
      </w:divBdr>
    </w:div>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365644430">
      <w:bodyDiv w:val="1"/>
      <w:marLeft w:val="0"/>
      <w:marRight w:val="0"/>
      <w:marTop w:val="0"/>
      <w:marBottom w:val="0"/>
      <w:divBdr>
        <w:top w:val="none" w:sz="0" w:space="0" w:color="auto"/>
        <w:left w:val="none" w:sz="0" w:space="0" w:color="auto"/>
        <w:bottom w:val="none" w:sz="0" w:space="0" w:color="auto"/>
        <w:right w:val="none" w:sz="0" w:space="0" w:color="auto"/>
      </w:divBdr>
    </w:div>
    <w:div w:id="476070532">
      <w:bodyDiv w:val="1"/>
      <w:marLeft w:val="0"/>
      <w:marRight w:val="0"/>
      <w:marTop w:val="0"/>
      <w:marBottom w:val="0"/>
      <w:divBdr>
        <w:top w:val="none" w:sz="0" w:space="0" w:color="auto"/>
        <w:left w:val="none" w:sz="0" w:space="0" w:color="auto"/>
        <w:bottom w:val="none" w:sz="0" w:space="0" w:color="auto"/>
        <w:right w:val="none" w:sz="0" w:space="0" w:color="auto"/>
      </w:divBdr>
    </w:div>
    <w:div w:id="634213695">
      <w:bodyDiv w:val="1"/>
      <w:marLeft w:val="0"/>
      <w:marRight w:val="0"/>
      <w:marTop w:val="0"/>
      <w:marBottom w:val="0"/>
      <w:divBdr>
        <w:top w:val="none" w:sz="0" w:space="0" w:color="auto"/>
        <w:left w:val="none" w:sz="0" w:space="0" w:color="auto"/>
        <w:bottom w:val="none" w:sz="0" w:space="0" w:color="auto"/>
        <w:right w:val="none" w:sz="0" w:space="0" w:color="auto"/>
      </w:divBdr>
    </w:div>
    <w:div w:id="635068051">
      <w:bodyDiv w:val="1"/>
      <w:marLeft w:val="0"/>
      <w:marRight w:val="0"/>
      <w:marTop w:val="0"/>
      <w:marBottom w:val="0"/>
      <w:divBdr>
        <w:top w:val="none" w:sz="0" w:space="0" w:color="auto"/>
        <w:left w:val="none" w:sz="0" w:space="0" w:color="auto"/>
        <w:bottom w:val="none" w:sz="0" w:space="0" w:color="auto"/>
        <w:right w:val="none" w:sz="0" w:space="0" w:color="auto"/>
      </w:divBdr>
    </w:div>
    <w:div w:id="760642801">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118915135">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 w:id="19519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3.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A233D-9A3E-4CCB-B712-C520FAF3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1159</Words>
  <Characters>6610</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Microsoft account</cp:lastModifiedBy>
  <cp:revision>5</cp:revision>
  <dcterms:created xsi:type="dcterms:W3CDTF">2022-01-19T07:58:00Z</dcterms:created>
  <dcterms:modified xsi:type="dcterms:W3CDTF">2022-01-19T10:36:00Z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