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F4B9" w14:textId="198FA716" w:rsidR="00C2187C" w:rsidRPr="00C2187C" w:rsidRDefault="00C2187C" w:rsidP="00C2187C">
      <w:pPr>
        <w:spacing w:after="0" w:line="276" w:lineRule="auto"/>
        <w:jc w:val="center"/>
        <w:rPr>
          <w:rFonts w:ascii="Trebuchet MS" w:eastAsia="Calibri" w:hAnsi="Trebuchet MS" w:cs="Times New Roman"/>
          <w:b/>
        </w:rPr>
      </w:pPr>
    </w:p>
    <w:p w14:paraId="14C3175B" w14:textId="77777777" w:rsidR="00C2187C" w:rsidRPr="00C2187C" w:rsidRDefault="00C2187C" w:rsidP="00C2187C">
      <w:pPr>
        <w:spacing w:after="0" w:line="276" w:lineRule="auto"/>
        <w:jc w:val="center"/>
        <w:rPr>
          <w:rFonts w:ascii="Trebuchet MS" w:eastAsia="Calibri" w:hAnsi="Trebuchet MS" w:cs="Times New Roman"/>
          <w:b/>
        </w:rPr>
      </w:pPr>
      <w:r w:rsidRPr="00C2187C">
        <w:rPr>
          <w:rFonts w:ascii="Trebuchet MS" w:eastAsia="Calibri" w:hAnsi="Trebuchet MS" w:cs="Times New Roman"/>
          <w:b/>
        </w:rPr>
        <w:t>PARLAMENTUL ROMÂNIEI</w:t>
      </w:r>
    </w:p>
    <w:p w14:paraId="1B63AFBD" w14:textId="77777777" w:rsidR="00C2187C" w:rsidRPr="00C2187C" w:rsidRDefault="00C2187C" w:rsidP="00C2187C">
      <w:pPr>
        <w:spacing w:after="0" w:line="276" w:lineRule="auto"/>
        <w:jc w:val="center"/>
        <w:rPr>
          <w:rFonts w:ascii="Trebuchet MS" w:eastAsia="Calibri" w:hAnsi="Trebuchet MS" w:cs="Times New Roman"/>
          <w:b/>
        </w:rPr>
      </w:pPr>
    </w:p>
    <w:p w14:paraId="5A59A98B" w14:textId="77777777" w:rsidR="00C2187C" w:rsidRPr="00C2187C" w:rsidRDefault="00C2187C" w:rsidP="00C2187C">
      <w:pPr>
        <w:spacing w:after="0" w:line="276" w:lineRule="auto"/>
        <w:jc w:val="center"/>
        <w:rPr>
          <w:rFonts w:ascii="Trebuchet MS" w:eastAsia="Calibri" w:hAnsi="Trebuchet MS" w:cs="Times New Roman"/>
          <w:b/>
        </w:rPr>
      </w:pPr>
    </w:p>
    <w:p w14:paraId="3CCA2911" w14:textId="77777777" w:rsidR="00C2187C" w:rsidRPr="00C2187C" w:rsidRDefault="00C2187C" w:rsidP="00C2187C">
      <w:pPr>
        <w:spacing w:after="0" w:line="276" w:lineRule="auto"/>
        <w:jc w:val="center"/>
        <w:rPr>
          <w:rFonts w:ascii="Trebuchet MS" w:eastAsia="Calibri" w:hAnsi="Trebuchet MS" w:cs="Times New Roman"/>
          <w:b/>
        </w:rPr>
      </w:pPr>
      <w:r w:rsidRPr="00C2187C">
        <w:rPr>
          <w:rFonts w:ascii="Trebuchet MS" w:eastAsia="Calibri" w:hAnsi="Trebuchet MS" w:cs="Times New Roman"/>
          <w:b/>
        </w:rPr>
        <w:t>CAMERA DEPUTAȚILOR</w:t>
      </w:r>
      <w:r w:rsidRPr="00C2187C">
        <w:rPr>
          <w:rFonts w:ascii="Trebuchet MS" w:eastAsia="Calibri" w:hAnsi="Trebuchet MS" w:cs="Times New Roman"/>
          <w:b/>
        </w:rPr>
        <w:tab/>
      </w:r>
      <w:r w:rsidRPr="00C2187C">
        <w:rPr>
          <w:rFonts w:ascii="Trebuchet MS" w:eastAsia="Calibri" w:hAnsi="Trebuchet MS" w:cs="Times New Roman"/>
          <w:b/>
        </w:rPr>
        <w:tab/>
      </w:r>
      <w:r w:rsidRPr="00C2187C">
        <w:rPr>
          <w:rFonts w:ascii="Trebuchet MS" w:eastAsia="Calibri" w:hAnsi="Trebuchet MS" w:cs="Times New Roman"/>
          <w:b/>
        </w:rPr>
        <w:tab/>
      </w:r>
      <w:r w:rsidRPr="00C2187C">
        <w:rPr>
          <w:rFonts w:ascii="Trebuchet MS" w:eastAsia="Calibri" w:hAnsi="Trebuchet MS" w:cs="Times New Roman"/>
          <w:b/>
        </w:rPr>
        <w:tab/>
      </w:r>
      <w:r w:rsidRPr="00C2187C">
        <w:rPr>
          <w:rFonts w:ascii="Trebuchet MS" w:eastAsia="Calibri" w:hAnsi="Trebuchet MS" w:cs="Times New Roman"/>
          <w:b/>
        </w:rPr>
        <w:tab/>
      </w:r>
      <w:r w:rsidRPr="00C2187C">
        <w:rPr>
          <w:rFonts w:ascii="Trebuchet MS" w:eastAsia="Calibri" w:hAnsi="Trebuchet MS" w:cs="Times New Roman"/>
          <w:b/>
        </w:rPr>
        <w:tab/>
      </w:r>
      <w:r w:rsidRPr="00C2187C">
        <w:rPr>
          <w:rFonts w:ascii="Trebuchet MS" w:eastAsia="Calibri" w:hAnsi="Trebuchet MS" w:cs="Times New Roman"/>
          <w:b/>
        </w:rPr>
        <w:tab/>
        <w:t>SENAT</w:t>
      </w:r>
    </w:p>
    <w:p w14:paraId="32963669" w14:textId="77777777" w:rsidR="00C2187C" w:rsidRPr="00C2187C" w:rsidRDefault="00C2187C" w:rsidP="00C2187C">
      <w:pPr>
        <w:spacing w:after="0" w:line="276" w:lineRule="auto"/>
        <w:jc w:val="both"/>
        <w:rPr>
          <w:rFonts w:ascii="Trebuchet MS" w:eastAsia="Calibri" w:hAnsi="Trebuchet MS" w:cs="Times New Roman"/>
          <w:b/>
        </w:rPr>
      </w:pPr>
    </w:p>
    <w:p w14:paraId="47B22DB0" w14:textId="77777777" w:rsidR="00C2187C" w:rsidRDefault="00C2187C" w:rsidP="00C2187C">
      <w:pPr>
        <w:autoSpaceDE w:val="0"/>
        <w:autoSpaceDN w:val="0"/>
        <w:adjustRightInd w:val="0"/>
        <w:spacing w:line="260" w:lineRule="exact"/>
        <w:rPr>
          <w:rFonts w:ascii="Trebuchet MS" w:hAnsi="Trebuchet MS" w:cs="Arial"/>
          <w:b/>
          <w:color w:val="000000"/>
        </w:rPr>
      </w:pPr>
    </w:p>
    <w:p w14:paraId="73FDBCB5" w14:textId="77777777" w:rsidR="00516354" w:rsidRPr="00B9220B" w:rsidRDefault="00516354" w:rsidP="00516354">
      <w:pPr>
        <w:autoSpaceDE w:val="0"/>
        <w:autoSpaceDN w:val="0"/>
        <w:adjustRightInd w:val="0"/>
        <w:spacing w:line="260" w:lineRule="exact"/>
        <w:jc w:val="center"/>
        <w:rPr>
          <w:rFonts w:ascii="Trebuchet MS" w:hAnsi="Trebuchet MS" w:cs="Arial"/>
          <w:b/>
          <w:color w:val="000000"/>
        </w:rPr>
      </w:pPr>
      <w:r w:rsidRPr="00B9220B">
        <w:rPr>
          <w:rFonts w:ascii="Trebuchet MS" w:hAnsi="Trebuchet MS" w:cs="Arial"/>
          <w:b/>
          <w:color w:val="000000"/>
        </w:rPr>
        <w:t xml:space="preserve">Lege </w:t>
      </w:r>
    </w:p>
    <w:p w14:paraId="41E25732" w14:textId="683D6AAE" w:rsidR="005E0AF0" w:rsidRPr="00DC6364" w:rsidRDefault="00516354" w:rsidP="00516354">
      <w:pPr>
        <w:spacing w:after="120" w:line="276" w:lineRule="auto"/>
        <w:jc w:val="center"/>
        <w:rPr>
          <w:rFonts w:ascii="Trebuchet MS" w:hAnsi="Trebuchet MS"/>
          <w:i/>
        </w:rPr>
      </w:pPr>
      <w:r w:rsidRPr="00B9220B">
        <w:rPr>
          <w:rFonts w:ascii="Trebuchet MS" w:hAnsi="Trebuchet MS" w:cs="Arial"/>
          <w:b/>
          <w:color w:val="000000"/>
        </w:rPr>
        <w:t>pentru modificarea Legii nr. 134/2010 privind Codul de procedură civilă</w:t>
      </w:r>
    </w:p>
    <w:p w14:paraId="7A6D8141" w14:textId="77777777" w:rsidR="00285268" w:rsidRDefault="00285268" w:rsidP="00285268">
      <w:pPr>
        <w:spacing w:after="0" w:line="276" w:lineRule="auto"/>
        <w:rPr>
          <w:rFonts w:ascii="Trebuchet MS" w:eastAsia="Calibri" w:hAnsi="Trebuchet MS" w:cs="Times New Roman"/>
        </w:rPr>
      </w:pPr>
    </w:p>
    <w:p w14:paraId="1930A66E" w14:textId="0FD70901" w:rsidR="00285268" w:rsidRPr="00285268" w:rsidRDefault="00285268" w:rsidP="00285268">
      <w:pPr>
        <w:spacing w:after="0" w:line="276" w:lineRule="auto"/>
        <w:rPr>
          <w:rFonts w:ascii="Trebuchet MS" w:eastAsia="Calibri" w:hAnsi="Trebuchet MS" w:cs="Times New Roman"/>
          <w:lang w:val="en-US"/>
        </w:rPr>
      </w:pPr>
      <w:r w:rsidRPr="00285268">
        <w:rPr>
          <w:rFonts w:ascii="Trebuchet MS" w:eastAsia="Calibri" w:hAnsi="Trebuchet MS" w:cs="Times New Roman"/>
        </w:rPr>
        <w:t>Parlamentu</w:t>
      </w:r>
      <w:r>
        <w:rPr>
          <w:rFonts w:ascii="Trebuchet MS" w:eastAsia="Calibri" w:hAnsi="Trebuchet MS" w:cs="Times New Roman"/>
        </w:rPr>
        <w:t>l României adoptă prezenta lege</w:t>
      </w:r>
      <w:r>
        <w:rPr>
          <w:rFonts w:ascii="Trebuchet MS" w:eastAsia="Calibri" w:hAnsi="Trebuchet MS" w:cs="Times New Roman"/>
          <w:lang w:val="en-US"/>
        </w:rPr>
        <w:t>:</w:t>
      </w:r>
    </w:p>
    <w:p w14:paraId="34063CDF" w14:textId="77777777" w:rsidR="00285268" w:rsidRPr="00285268" w:rsidRDefault="00285268" w:rsidP="00FB313B">
      <w:pPr>
        <w:spacing w:after="120" w:line="276" w:lineRule="auto"/>
        <w:jc w:val="both"/>
        <w:rPr>
          <w:rFonts w:ascii="Trebuchet MS" w:hAnsi="Trebuchet MS"/>
          <w:color w:val="FF0000"/>
        </w:rPr>
      </w:pPr>
    </w:p>
    <w:p w14:paraId="46C53E9E" w14:textId="5CB774B6" w:rsidR="00516354" w:rsidRDefault="00516354" w:rsidP="00516354">
      <w:pPr>
        <w:spacing w:after="120" w:line="276" w:lineRule="auto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ART. I </w:t>
      </w:r>
      <w:r w:rsidRPr="00516354">
        <w:rPr>
          <w:rFonts w:ascii="Trebuchet MS" w:eastAsia="MS Mincho" w:hAnsi="Trebuchet MS" w:cs="Times New Roman"/>
        </w:rPr>
        <w:t xml:space="preserve">Legea nr. 134/2010 privind Codul de procedură civilă, republicată în Monitorul Oficial al României, Partea I, nr. 247 din 10 aprilie 2015, cu modificările </w:t>
      </w:r>
      <w:r w:rsidR="00AD575C">
        <w:rPr>
          <w:rFonts w:ascii="Trebuchet MS" w:eastAsia="MS Mincho" w:hAnsi="Trebuchet MS" w:cs="Times New Roman"/>
        </w:rPr>
        <w:t xml:space="preserve">și completările </w:t>
      </w:r>
      <w:r w:rsidRPr="00516354">
        <w:rPr>
          <w:rFonts w:ascii="Trebuchet MS" w:eastAsia="MS Mincho" w:hAnsi="Trebuchet MS" w:cs="Times New Roman"/>
        </w:rPr>
        <w:t>ulterioare</w:t>
      </w:r>
      <w:r>
        <w:rPr>
          <w:rFonts w:ascii="Trebuchet MS" w:eastAsia="MS Mincho" w:hAnsi="Trebuchet MS" w:cs="Times New Roman"/>
        </w:rPr>
        <w:t xml:space="preserve">, se modifică </w:t>
      </w:r>
      <w:r w:rsidRPr="00516354">
        <w:rPr>
          <w:rFonts w:ascii="Trebuchet MS" w:eastAsia="MS Mincho" w:hAnsi="Trebuchet MS" w:cs="Times New Roman"/>
        </w:rPr>
        <w:t>după cum urmează:</w:t>
      </w:r>
    </w:p>
    <w:p w14:paraId="63393ADF" w14:textId="75C72EBB" w:rsidR="00516354" w:rsidRPr="00516354" w:rsidRDefault="00516354" w:rsidP="00516354">
      <w:pPr>
        <w:spacing w:after="120" w:line="276" w:lineRule="auto"/>
        <w:jc w:val="both"/>
        <w:rPr>
          <w:rFonts w:ascii="Trebuchet MS" w:eastAsia="MS Mincho" w:hAnsi="Trebuchet MS" w:cs="Times New Roman"/>
          <w:b/>
        </w:rPr>
      </w:pPr>
      <w:r w:rsidRPr="00516354">
        <w:rPr>
          <w:rFonts w:ascii="Trebuchet MS" w:eastAsia="MS Mincho" w:hAnsi="Trebuchet MS" w:cs="Times New Roman"/>
          <w:b/>
        </w:rPr>
        <w:t xml:space="preserve">1. </w:t>
      </w:r>
      <w:r>
        <w:rPr>
          <w:rFonts w:ascii="Trebuchet MS" w:eastAsia="MS Mincho" w:hAnsi="Trebuchet MS" w:cs="Times New Roman"/>
          <w:b/>
        </w:rPr>
        <w:t xml:space="preserve">Articolul 524 </w:t>
      </w:r>
      <w:r w:rsidRPr="00516354">
        <w:rPr>
          <w:rFonts w:ascii="Trebuchet MS" w:eastAsia="MS Mincho" w:hAnsi="Trebuchet MS" w:cs="Times New Roman"/>
          <w:b/>
        </w:rPr>
        <w:t>va avea următorul cuprins:</w:t>
      </w:r>
    </w:p>
    <w:p w14:paraId="259469BC" w14:textId="77777777" w:rsidR="00516354" w:rsidRPr="00516354" w:rsidRDefault="00516354" w:rsidP="00516354">
      <w:pPr>
        <w:spacing w:after="120" w:line="276" w:lineRule="auto"/>
        <w:jc w:val="both"/>
        <w:rPr>
          <w:rFonts w:ascii="Trebuchet MS" w:eastAsia="MS Mincho" w:hAnsi="Trebuchet MS" w:cs="Times New Roman"/>
        </w:rPr>
      </w:pPr>
      <w:r w:rsidRPr="00516354">
        <w:rPr>
          <w:rFonts w:ascii="Trebuchet MS" w:eastAsia="MS Mincho" w:hAnsi="Trebuchet MS" w:cs="Times New Roman"/>
        </w:rPr>
        <w:t>“</w:t>
      </w:r>
      <w:r w:rsidRPr="00516354">
        <w:rPr>
          <w:rFonts w:ascii="Trebuchet MS" w:eastAsia="MS Mincho" w:hAnsi="Trebuchet MS" w:cs="Times New Roman"/>
          <w:b/>
        </w:rPr>
        <w:t>Art. 524. Forma contestației</w:t>
      </w:r>
    </w:p>
    <w:p w14:paraId="49A91A47" w14:textId="77777777" w:rsidR="00516354" w:rsidRPr="00516354" w:rsidRDefault="00516354" w:rsidP="00516354">
      <w:pPr>
        <w:spacing w:after="120" w:line="276" w:lineRule="auto"/>
        <w:jc w:val="both"/>
        <w:rPr>
          <w:rFonts w:ascii="Trebuchet MS" w:eastAsia="MS Mincho" w:hAnsi="Trebuchet MS" w:cs="Times New Roman"/>
        </w:rPr>
      </w:pPr>
      <w:proofErr w:type="spellStart"/>
      <w:r w:rsidRPr="00516354">
        <w:rPr>
          <w:rFonts w:ascii="Trebuchet MS" w:eastAsia="MS Mincho" w:hAnsi="Trebuchet MS" w:cs="Times New Roman"/>
        </w:rPr>
        <w:t>Contestaţia</w:t>
      </w:r>
      <w:proofErr w:type="spellEnd"/>
      <w:r w:rsidRPr="00516354">
        <w:rPr>
          <w:rFonts w:ascii="Trebuchet MS" w:eastAsia="MS Mincho" w:hAnsi="Trebuchet MS" w:cs="Times New Roman"/>
        </w:rPr>
        <w:t xml:space="preserve"> se formulează în scris </w:t>
      </w:r>
      <w:proofErr w:type="spellStart"/>
      <w:r w:rsidRPr="00516354">
        <w:rPr>
          <w:rFonts w:ascii="Trebuchet MS" w:eastAsia="MS Mincho" w:hAnsi="Trebuchet MS" w:cs="Times New Roman"/>
        </w:rPr>
        <w:t>şi</w:t>
      </w:r>
      <w:proofErr w:type="spellEnd"/>
      <w:r w:rsidRPr="00516354">
        <w:rPr>
          <w:rFonts w:ascii="Trebuchet MS" w:eastAsia="MS Mincho" w:hAnsi="Trebuchet MS" w:cs="Times New Roman"/>
        </w:rPr>
        <w:t xml:space="preserve"> se depune la </w:t>
      </w:r>
      <w:proofErr w:type="spellStart"/>
      <w:r w:rsidRPr="00516354">
        <w:rPr>
          <w:rFonts w:ascii="Trebuchet MS" w:eastAsia="MS Mincho" w:hAnsi="Trebuchet MS" w:cs="Times New Roman"/>
        </w:rPr>
        <w:t>instanţa</w:t>
      </w:r>
      <w:proofErr w:type="spellEnd"/>
      <w:r w:rsidRPr="00516354">
        <w:rPr>
          <w:rFonts w:ascii="Trebuchet MS" w:eastAsia="MS Mincho" w:hAnsi="Trebuchet MS" w:cs="Times New Roman"/>
        </w:rPr>
        <w:t xml:space="preserve"> învestită cu </w:t>
      </w:r>
      <w:proofErr w:type="spellStart"/>
      <w:r w:rsidRPr="00516354">
        <w:rPr>
          <w:rFonts w:ascii="Trebuchet MS" w:eastAsia="MS Mincho" w:hAnsi="Trebuchet MS" w:cs="Times New Roman"/>
        </w:rPr>
        <w:t>soluţionarea</w:t>
      </w:r>
      <w:proofErr w:type="spellEnd"/>
      <w:r w:rsidRPr="00516354">
        <w:rPr>
          <w:rFonts w:ascii="Trebuchet MS" w:eastAsia="MS Mincho" w:hAnsi="Trebuchet MS" w:cs="Times New Roman"/>
        </w:rPr>
        <w:t xml:space="preserve"> procesului în legătură cu care se invocă tergiversarea </w:t>
      </w:r>
      <w:proofErr w:type="spellStart"/>
      <w:r w:rsidRPr="00516354">
        <w:rPr>
          <w:rFonts w:ascii="Trebuchet MS" w:eastAsia="MS Mincho" w:hAnsi="Trebuchet MS" w:cs="Times New Roman"/>
        </w:rPr>
        <w:t>judecăţii</w:t>
      </w:r>
      <w:proofErr w:type="spellEnd"/>
      <w:r w:rsidRPr="00516354">
        <w:rPr>
          <w:rFonts w:ascii="Trebuchet MS" w:eastAsia="MS Mincho" w:hAnsi="Trebuchet MS" w:cs="Times New Roman"/>
        </w:rPr>
        <w:t xml:space="preserve">. </w:t>
      </w:r>
      <w:proofErr w:type="spellStart"/>
      <w:r w:rsidRPr="00516354">
        <w:rPr>
          <w:rFonts w:ascii="Trebuchet MS" w:eastAsia="MS Mincho" w:hAnsi="Trebuchet MS" w:cs="Times New Roman"/>
        </w:rPr>
        <w:t>Contestaţia</w:t>
      </w:r>
      <w:proofErr w:type="spellEnd"/>
      <w:r w:rsidRPr="00516354">
        <w:rPr>
          <w:rFonts w:ascii="Trebuchet MS" w:eastAsia="MS Mincho" w:hAnsi="Trebuchet MS" w:cs="Times New Roman"/>
        </w:rPr>
        <w:t xml:space="preserve"> se poate face </w:t>
      </w:r>
      <w:proofErr w:type="spellStart"/>
      <w:r w:rsidRPr="00516354">
        <w:rPr>
          <w:rFonts w:ascii="Trebuchet MS" w:eastAsia="MS Mincho" w:hAnsi="Trebuchet MS" w:cs="Times New Roman"/>
        </w:rPr>
        <w:t>şi</w:t>
      </w:r>
      <w:proofErr w:type="spellEnd"/>
      <w:r w:rsidRPr="00516354">
        <w:rPr>
          <w:rFonts w:ascii="Trebuchet MS" w:eastAsia="MS Mincho" w:hAnsi="Trebuchet MS" w:cs="Times New Roman"/>
        </w:rPr>
        <w:t xml:space="preserve"> verbal în </w:t>
      </w:r>
      <w:proofErr w:type="spellStart"/>
      <w:r w:rsidRPr="00516354">
        <w:rPr>
          <w:rFonts w:ascii="Trebuchet MS" w:eastAsia="MS Mincho" w:hAnsi="Trebuchet MS" w:cs="Times New Roman"/>
        </w:rPr>
        <w:t>şedinţă</w:t>
      </w:r>
      <w:proofErr w:type="spellEnd"/>
      <w:r w:rsidRPr="00516354">
        <w:rPr>
          <w:rFonts w:ascii="Trebuchet MS" w:eastAsia="MS Mincho" w:hAnsi="Trebuchet MS" w:cs="Times New Roman"/>
        </w:rPr>
        <w:t xml:space="preserve">, caz în care va fi consemnată, împreună cu motivele arătate de parte, în încheierea de </w:t>
      </w:r>
      <w:proofErr w:type="spellStart"/>
      <w:r w:rsidRPr="00516354">
        <w:rPr>
          <w:rFonts w:ascii="Trebuchet MS" w:eastAsia="MS Mincho" w:hAnsi="Trebuchet MS" w:cs="Times New Roman"/>
        </w:rPr>
        <w:t>şedinţă</w:t>
      </w:r>
      <w:proofErr w:type="spellEnd"/>
      <w:r w:rsidRPr="00516354">
        <w:rPr>
          <w:rFonts w:ascii="Trebuchet MS" w:eastAsia="MS Mincho" w:hAnsi="Trebuchet MS" w:cs="Times New Roman"/>
        </w:rPr>
        <w:t>.”</w:t>
      </w:r>
    </w:p>
    <w:p w14:paraId="7761EC7B" w14:textId="3683E9E3" w:rsidR="00516354" w:rsidRPr="00030CAF" w:rsidRDefault="00516354" w:rsidP="00030CAF">
      <w:pPr>
        <w:spacing w:after="120" w:line="276" w:lineRule="auto"/>
        <w:jc w:val="both"/>
        <w:rPr>
          <w:rFonts w:ascii="Trebuchet MS" w:eastAsia="MS Mincho" w:hAnsi="Trebuchet MS" w:cs="Times New Roman"/>
          <w:b/>
        </w:rPr>
      </w:pPr>
      <w:r w:rsidRPr="00030CAF">
        <w:rPr>
          <w:rFonts w:ascii="Trebuchet MS" w:eastAsia="MS Mincho" w:hAnsi="Trebuchet MS" w:cs="Times New Roman"/>
          <w:b/>
        </w:rPr>
        <w:t>2. Articolul 525 va avea următorul cuprins:</w:t>
      </w:r>
    </w:p>
    <w:p w14:paraId="44C9322B" w14:textId="77777777" w:rsidR="00030CAF" w:rsidRPr="00030CAF" w:rsidRDefault="00516354" w:rsidP="00030CAF">
      <w:pPr>
        <w:jc w:val="both"/>
        <w:rPr>
          <w:rFonts w:ascii="Trebuchet MS" w:hAnsi="Trebuchet MS"/>
        </w:rPr>
      </w:pPr>
      <w:r w:rsidRPr="00030CAF">
        <w:rPr>
          <w:rFonts w:ascii="Trebuchet MS" w:eastAsia="MS Mincho" w:hAnsi="Trebuchet MS" w:cs="Times New Roman"/>
        </w:rPr>
        <w:t>“</w:t>
      </w:r>
      <w:r w:rsidR="00030CAF" w:rsidRPr="00030CAF">
        <w:rPr>
          <w:rFonts w:ascii="Trebuchet MS" w:hAnsi="Trebuchet MS"/>
        </w:rPr>
        <w:t>“</w:t>
      </w:r>
      <w:r w:rsidR="00030CAF" w:rsidRPr="00030CAF">
        <w:rPr>
          <w:rFonts w:ascii="Trebuchet MS" w:hAnsi="Trebuchet MS"/>
          <w:b/>
        </w:rPr>
        <w:t>Art. 525.</w:t>
      </w:r>
      <w:r w:rsidR="00030CAF" w:rsidRPr="00030CAF">
        <w:rPr>
          <w:rFonts w:ascii="Trebuchet MS" w:hAnsi="Trebuchet MS"/>
        </w:rPr>
        <w:t xml:space="preserve"> </w:t>
      </w:r>
      <w:r w:rsidR="00030CAF" w:rsidRPr="00030CAF">
        <w:rPr>
          <w:rFonts w:ascii="Trebuchet MS" w:hAnsi="Trebuchet MS"/>
          <w:b/>
        </w:rPr>
        <w:t xml:space="preserve">Competența. </w:t>
      </w:r>
      <w:r w:rsidR="00030CAF" w:rsidRPr="00030CAF">
        <w:rPr>
          <w:rFonts w:ascii="Trebuchet MS" w:hAnsi="Trebuchet MS"/>
        </w:rPr>
        <w:t xml:space="preserve">Procedura de </w:t>
      </w:r>
      <w:proofErr w:type="spellStart"/>
      <w:r w:rsidR="00030CAF" w:rsidRPr="00030CAF">
        <w:rPr>
          <w:rFonts w:ascii="Trebuchet MS" w:hAnsi="Trebuchet MS"/>
        </w:rPr>
        <w:t>soluţionare</w:t>
      </w:r>
      <w:proofErr w:type="spellEnd"/>
    </w:p>
    <w:p w14:paraId="759687F7" w14:textId="77777777" w:rsidR="00030CAF" w:rsidRPr="00030CAF" w:rsidRDefault="00030CAF" w:rsidP="00030CAF">
      <w:pPr>
        <w:jc w:val="both"/>
        <w:rPr>
          <w:rFonts w:ascii="Trebuchet MS" w:hAnsi="Trebuchet MS"/>
          <w:b/>
        </w:rPr>
      </w:pPr>
      <w:r w:rsidRPr="00030CAF">
        <w:rPr>
          <w:rFonts w:ascii="Trebuchet MS" w:hAnsi="Trebuchet MS"/>
          <w:b/>
        </w:rPr>
        <w:t xml:space="preserve">(1) Contestația este de competența instanței ierarhic superioare. Când procesul se judecă la Înalta Curte de </w:t>
      </w:r>
      <w:proofErr w:type="spellStart"/>
      <w:r w:rsidRPr="00030CAF">
        <w:rPr>
          <w:rFonts w:ascii="Trebuchet MS" w:hAnsi="Trebuchet MS"/>
          <w:b/>
        </w:rPr>
        <w:t>Casaţie</w:t>
      </w:r>
      <w:proofErr w:type="spellEnd"/>
      <w:r w:rsidRPr="00030CAF">
        <w:rPr>
          <w:rFonts w:ascii="Trebuchet MS" w:hAnsi="Trebuchet MS"/>
          <w:b/>
        </w:rPr>
        <w:t xml:space="preserve"> </w:t>
      </w:r>
      <w:proofErr w:type="spellStart"/>
      <w:r w:rsidRPr="00030CAF">
        <w:rPr>
          <w:rFonts w:ascii="Trebuchet MS" w:hAnsi="Trebuchet MS"/>
          <w:b/>
        </w:rPr>
        <w:t>şi</w:t>
      </w:r>
      <w:proofErr w:type="spellEnd"/>
      <w:r w:rsidRPr="00030CAF">
        <w:rPr>
          <w:rFonts w:ascii="Trebuchet MS" w:hAnsi="Trebuchet MS"/>
          <w:b/>
        </w:rPr>
        <w:t xml:space="preserve"> </w:t>
      </w:r>
      <w:proofErr w:type="spellStart"/>
      <w:r w:rsidRPr="00030CAF">
        <w:rPr>
          <w:rFonts w:ascii="Trebuchet MS" w:hAnsi="Trebuchet MS"/>
          <w:b/>
        </w:rPr>
        <w:t>Justiţie</w:t>
      </w:r>
      <w:proofErr w:type="spellEnd"/>
      <w:r w:rsidRPr="00030CAF">
        <w:rPr>
          <w:rFonts w:ascii="Trebuchet MS" w:hAnsi="Trebuchet MS"/>
          <w:b/>
        </w:rPr>
        <w:t xml:space="preserve">, contestația se </w:t>
      </w:r>
      <w:proofErr w:type="spellStart"/>
      <w:r w:rsidRPr="00030CAF">
        <w:rPr>
          <w:rFonts w:ascii="Trebuchet MS" w:hAnsi="Trebuchet MS"/>
          <w:b/>
        </w:rPr>
        <w:t>soluţionează</w:t>
      </w:r>
      <w:proofErr w:type="spellEnd"/>
      <w:r w:rsidRPr="00030CAF">
        <w:rPr>
          <w:rFonts w:ascii="Trebuchet MS" w:hAnsi="Trebuchet MS"/>
          <w:b/>
        </w:rPr>
        <w:t xml:space="preserve"> de un alt complet al </w:t>
      </w:r>
      <w:proofErr w:type="spellStart"/>
      <w:r w:rsidRPr="00030CAF">
        <w:rPr>
          <w:rFonts w:ascii="Trebuchet MS" w:hAnsi="Trebuchet MS"/>
          <w:b/>
        </w:rPr>
        <w:t>aceleiaşi</w:t>
      </w:r>
      <w:proofErr w:type="spellEnd"/>
      <w:r w:rsidRPr="00030CAF">
        <w:rPr>
          <w:rFonts w:ascii="Trebuchet MS" w:hAnsi="Trebuchet MS"/>
          <w:b/>
        </w:rPr>
        <w:t xml:space="preserve"> </w:t>
      </w:r>
      <w:proofErr w:type="spellStart"/>
      <w:r w:rsidRPr="00030CAF">
        <w:rPr>
          <w:rFonts w:ascii="Trebuchet MS" w:hAnsi="Trebuchet MS"/>
          <w:b/>
        </w:rPr>
        <w:t>secţii</w:t>
      </w:r>
      <w:proofErr w:type="spellEnd"/>
      <w:r w:rsidRPr="00030CAF">
        <w:rPr>
          <w:rFonts w:ascii="Trebuchet MS" w:hAnsi="Trebuchet MS"/>
          <w:b/>
        </w:rPr>
        <w:t>.</w:t>
      </w:r>
    </w:p>
    <w:p w14:paraId="2AEB0199" w14:textId="77777777" w:rsidR="00030CAF" w:rsidRPr="00030CAF" w:rsidRDefault="00030CAF" w:rsidP="00030CAF">
      <w:pPr>
        <w:jc w:val="both"/>
        <w:rPr>
          <w:rFonts w:ascii="Trebuchet MS" w:hAnsi="Trebuchet MS"/>
        </w:rPr>
      </w:pPr>
      <w:r w:rsidRPr="00030CAF">
        <w:rPr>
          <w:rFonts w:ascii="Trebuchet MS" w:hAnsi="Trebuchet MS"/>
          <w:b/>
        </w:rPr>
        <w:t>(2) Instanța învestită cu judecarea procesului va înainta de îndată contestația instanței competente, împreună cu o copie certificată de pe dosarul cauzei. Atunci când este posibil, acestea se trimit instanței ierarhic superioare în format electronic.</w:t>
      </w:r>
    </w:p>
    <w:p w14:paraId="14A90F98" w14:textId="77777777" w:rsidR="00030CAF" w:rsidRPr="00030CAF" w:rsidRDefault="00030CAF" w:rsidP="00030CAF">
      <w:pPr>
        <w:jc w:val="both"/>
        <w:rPr>
          <w:rFonts w:ascii="Trebuchet MS" w:hAnsi="Trebuchet MS"/>
          <w:b/>
        </w:rPr>
      </w:pPr>
      <w:r w:rsidRPr="00030CAF">
        <w:rPr>
          <w:rFonts w:ascii="Trebuchet MS" w:hAnsi="Trebuchet MS"/>
          <w:b/>
        </w:rPr>
        <w:t xml:space="preserve">(3) Formularea </w:t>
      </w:r>
      <w:proofErr w:type="spellStart"/>
      <w:r w:rsidRPr="00030CAF">
        <w:rPr>
          <w:rFonts w:ascii="Trebuchet MS" w:hAnsi="Trebuchet MS"/>
          <w:b/>
        </w:rPr>
        <w:t>contestaţiei</w:t>
      </w:r>
      <w:proofErr w:type="spellEnd"/>
      <w:r w:rsidRPr="00030CAF">
        <w:rPr>
          <w:rFonts w:ascii="Trebuchet MS" w:hAnsi="Trebuchet MS"/>
          <w:b/>
        </w:rPr>
        <w:t xml:space="preserve"> nu suspendă judecata.</w:t>
      </w:r>
    </w:p>
    <w:p w14:paraId="34C7F8DC" w14:textId="77777777" w:rsidR="00030CAF" w:rsidRPr="00030CAF" w:rsidRDefault="00030CAF" w:rsidP="00030CAF">
      <w:pPr>
        <w:jc w:val="both"/>
        <w:rPr>
          <w:rFonts w:ascii="Trebuchet MS" w:hAnsi="Trebuchet MS"/>
        </w:rPr>
      </w:pPr>
      <w:r w:rsidRPr="00030CAF">
        <w:rPr>
          <w:rFonts w:ascii="Trebuchet MS" w:hAnsi="Trebuchet MS"/>
          <w:b/>
        </w:rPr>
        <w:t>(4)</w:t>
      </w:r>
      <w:r w:rsidRPr="00030CAF">
        <w:rPr>
          <w:rFonts w:ascii="Trebuchet MS" w:hAnsi="Trebuchet MS"/>
        </w:rPr>
        <w:t xml:space="preserve"> </w:t>
      </w:r>
      <w:proofErr w:type="spellStart"/>
      <w:r w:rsidRPr="00030CAF">
        <w:rPr>
          <w:rFonts w:ascii="Trebuchet MS" w:hAnsi="Trebuchet MS"/>
        </w:rPr>
        <w:t>Instanţa</w:t>
      </w:r>
      <w:proofErr w:type="spellEnd"/>
      <w:r w:rsidRPr="00030CAF">
        <w:rPr>
          <w:rFonts w:ascii="Trebuchet MS" w:hAnsi="Trebuchet MS"/>
        </w:rPr>
        <w:t xml:space="preserve"> </w:t>
      </w:r>
      <w:proofErr w:type="spellStart"/>
      <w:r w:rsidRPr="00030CAF">
        <w:rPr>
          <w:rFonts w:ascii="Trebuchet MS" w:hAnsi="Trebuchet MS"/>
        </w:rPr>
        <w:t>soluţionează</w:t>
      </w:r>
      <w:proofErr w:type="spellEnd"/>
      <w:r w:rsidRPr="00030CAF">
        <w:rPr>
          <w:rFonts w:ascii="Trebuchet MS" w:hAnsi="Trebuchet MS"/>
        </w:rPr>
        <w:t xml:space="preserve"> </w:t>
      </w:r>
      <w:r w:rsidRPr="00030CAF">
        <w:rPr>
          <w:rFonts w:ascii="Trebuchet MS" w:hAnsi="Trebuchet MS"/>
          <w:b/>
        </w:rPr>
        <w:t>contestația</w:t>
      </w:r>
      <w:r w:rsidRPr="00030CAF">
        <w:rPr>
          <w:rFonts w:ascii="Trebuchet MS" w:hAnsi="Trebuchet MS"/>
        </w:rPr>
        <w:t xml:space="preserve"> în termen de 10 zile de la primirea dosarului, în complet format din 3 judecători.</w:t>
      </w:r>
    </w:p>
    <w:p w14:paraId="76A2E410" w14:textId="77777777" w:rsidR="00030CAF" w:rsidRPr="00030CAF" w:rsidRDefault="00030CAF" w:rsidP="00030CAF">
      <w:pPr>
        <w:jc w:val="both"/>
        <w:rPr>
          <w:rFonts w:ascii="Trebuchet MS" w:hAnsi="Trebuchet MS"/>
        </w:rPr>
      </w:pPr>
      <w:r w:rsidRPr="00030CAF">
        <w:rPr>
          <w:rFonts w:ascii="Trebuchet MS" w:hAnsi="Trebuchet MS"/>
        </w:rPr>
        <w:t xml:space="preserve">(5) Judecata se face </w:t>
      </w:r>
      <w:r w:rsidRPr="00030CAF">
        <w:rPr>
          <w:rFonts w:ascii="Trebuchet MS" w:hAnsi="Trebuchet MS"/>
          <w:b/>
        </w:rPr>
        <w:t>în camera de consiliu, cu citarea părților</w:t>
      </w:r>
      <w:r w:rsidRPr="00030CAF">
        <w:rPr>
          <w:rFonts w:ascii="Trebuchet MS" w:hAnsi="Trebuchet MS"/>
        </w:rPr>
        <w:t xml:space="preserve">, printr-o hotărâre care nu este supusă niciunei căi de atac, ce trebuie motivată în termen de 5 zile de la </w:t>
      </w:r>
      <w:proofErr w:type="spellStart"/>
      <w:r w:rsidRPr="00030CAF">
        <w:rPr>
          <w:rFonts w:ascii="Trebuchet MS" w:hAnsi="Trebuchet MS"/>
        </w:rPr>
        <w:t>pronunţare</w:t>
      </w:r>
      <w:proofErr w:type="spellEnd"/>
      <w:r w:rsidRPr="00030CAF">
        <w:rPr>
          <w:rFonts w:ascii="Trebuchet MS" w:hAnsi="Trebuchet MS"/>
        </w:rPr>
        <w:t>.</w:t>
      </w:r>
    </w:p>
    <w:p w14:paraId="431314BD" w14:textId="4946F263" w:rsidR="00030CAF" w:rsidRPr="00030CAF" w:rsidRDefault="00030CAF" w:rsidP="00030CAF">
      <w:pPr>
        <w:jc w:val="both"/>
        <w:rPr>
          <w:rFonts w:ascii="Trebuchet MS" w:hAnsi="Trebuchet MS"/>
        </w:rPr>
      </w:pPr>
      <w:bookmarkStart w:id="0" w:name="_GoBack"/>
      <w:bookmarkEnd w:id="0"/>
      <w:r w:rsidRPr="00030CAF">
        <w:rPr>
          <w:rFonts w:ascii="Trebuchet MS" w:hAnsi="Trebuchet MS"/>
          <w:b/>
        </w:rPr>
        <w:t>(6)</w:t>
      </w:r>
      <w:r w:rsidRPr="00030CAF">
        <w:rPr>
          <w:rFonts w:ascii="Trebuchet MS" w:hAnsi="Trebuchet MS"/>
        </w:rPr>
        <w:t xml:space="preserve"> Dacă </w:t>
      </w:r>
      <w:proofErr w:type="spellStart"/>
      <w:r w:rsidRPr="00030CAF">
        <w:rPr>
          <w:rFonts w:ascii="Trebuchet MS" w:hAnsi="Trebuchet MS"/>
        </w:rPr>
        <w:t>instanţa</w:t>
      </w:r>
      <w:proofErr w:type="spellEnd"/>
      <w:r w:rsidRPr="00030CAF">
        <w:rPr>
          <w:rFonts w:ascii="Trebuchet MS" w:hAnsi="Trebuchet MS"/>
        </w:rPr>
        <w:t xml:space="preserve"> </w:t>
      </w:r>
      <w:proofErr w:type="spellStart"/>
      <w:r w:rsidRPr="00030CAF">
        <w:rPr>
          <w:rFonts w:ascii="Trebuchet MS" w:hAnsi="Trebuchet MS"/>
        </w:rPr>
        <w:t>găseşte</w:t>
      </w:r>
      <w:proofErr w:type="spellEnd"/>
      <w:r w:rsidRPr="00030CAF">
        <w:rPr>
          <w:rFonts w:ascii="Trebuchet MS" w:hAnsi="Trebuchet MS"/>
        </w:rPr>
        <w:t xml:space="preserve"> </w:t>
      </w:r>
      <w:r w:rsidRPr="00030CAF">
        <w:rPr>
          <w:rFonts w:ascii="Trebuchet MS" w:hAnsi="Trebuchet MS"/>
          <w:b/>
        </w:rPr>
        <w:t>contestația</w:t>
      </w:r>
      <w:r w:rsidRPr="00030CAF">
        <w:rPr>
          <w:rFonts w:ascii="Trebuchet MS" w:hAnsi="Trebuchet MS"/>
        </w:rPr>
        <w:t xml:space="preserve"> întemeiată, va dispune ca </w:t>
      </w:r>
      <w:proofErr w:type="spellStart"/>
      <w:r w:rsidRPr="00030CAF">
        <w:rPr>
          <w:rFonts w:ascii="Trebuchet MS" w:hAnsi="Trebuchet MS"/>
        </w:rPr>
        <w:t>instanţa</w:t>
      </w:r>
      <w:proofErr w:type="spellEnd"/>
      <w:r w:rsidRPr="00030CAF">
        <w:rPr>
          <w:rFonts w:ascii="Trebuchet MS" w:hAnsi="Trebuchet MS"/>
        </w:rPr>
        <w:t xml:space="preserve"> care judecă procesul să îndeplinească actul de procedură sau să ia măsurile legale necesare, arătând care sunt acestea </w:t>
      </w:r>
      <w:proofErr w:type="spellStart"/>
      <w:r w:rsidRPr="00030CAF">
        <w:rPr>
          <w:rFonts w:ascii="Trebuchet MS" w:hAnsi="Trebuchet MS"/>
        </w:rPr>
        <w:t>şi</w:t>
      </w:r>
      <w:proofErr w:type="spellEnd"/>
      <w:r w:rsidRPr="00030CAF">
        <w:rPr>
          <w:rFonts w:ascii="Trebuchet MS" w:hAnsi="Trebuchet MS"/>
        </w:rPr>
        <w:t xml:space="preserve"> stabilind, când este cazul, un termen pentru îndeplinirea lor.</w:t>
      </w:r>
    </w:p>
    <w:p w14:paraId="4E0F7FA2" w14:textId="77777777" w:rsidR="00030CAF" w:rsidRPr="00030CAF" w:rsidRDefault="00030CAF" w:rsidP="00030CAF">
      <w:pPr>
        <w:jc w:val="both"/>
        <w:rPr>
          <w:rFonts w:ascii="Trebuchet MS" w:hAnsi="Trebuchet MS"/>
        </w:rPr>
      </w:pPr>
      <w:r w:rsidRPr="00030CAF">
        <w:rPr>
          <w:rFonts w:ascii="Trebuchet MS" w:hAnsi="Trebuchet MS"/>
          <w:b/>
        </w:rPr>
        <w:t>(7)</w:t>
      </w:r>
      <w:r w:rsidRPr="00030CAF">
        <w:rPr>
          <w:rFonts w:ascii="Trebuchet MS" w:hAnsi="Trebuchet MS"/>
        </w:rPr>
        <w:t xml:space="preserve"> În toate cazurile, </w:t>
      </w:r>
      <w:proofErr w:type="spellStart"/>
      <w:r w:rsidRPr="00030CAF">
        <w:rPr>
          <w:rFonts w:ascii="Trebuchet MS" w:hAnsi="Trebuchet MS"/>
        </w:rPr>
        <w:t>instanţa</w:t>
      </w:r>
      <w:proofErr w:type="spellEnd"/>
      <w:r w:rsidRPr="00030CAF">
        <w:rPr>
          <w:rFonts w:ascii="Trebuchet MS" w:hAnsi="Trebuchet MS"/>
        </w:rPr>
        <w:t xml:space="preserve"> care </w:t>
      </w:r>
      <w:proofErr w:type="spellStart"/>
      <w:r w:rsidRPr="00030CAF">
        <w:rPr>
          <w:rFonts w:ascii="Trebuchet MS" w:hAnsi="Trebuchet MS"/>
        </w:rPr>
        <w:t>soluţionează</w:t>
      </w:r>
      <w:proofErr w:type="spellEnd"/>
      <w:r w:rsidRPr="00030CAF">
        <w:rPr>
          <w:rFonts w:ascii="Trebuchet MS" w:hAnsi="Trebuchet MS"/>
        </w:rPr>
        <w:t xml:space="preserve"> </w:t>
      </w:r>
      <w:r w:rsidRPr="00030CAF">
        <w:rPr>
          <w:rFonts w:ascii="Trebuchet MS" w:hAnsi="Trebuchet MS"/>
          <w:b/>
        </w:rPr>
        <w:t>contestația</w:t>
      </w:r>
      <w:r w:rsidRPr="00030CAF">
        <w:rPr>
          <w:rFonts w:ascii="Trebuchet MS" w:hAnsi="Trebuchet MS"/>
        </w:rPr>
        <w:t xml:space="preserve"> nu va putea da îndrumări </w:t>
      </w:r>
      <w:proofErr w:type="spellStart"/>
      <w:r w:rsidRPr="00030CAF">
        <w:rPr>
          <w:rFonts w:ascii="Trebuchet MS" w:hAnsi="Trebuchet MS"/>
        </w:rPr>
        <w:t>şi</w:t>
      </w:r>
      <w:proofErr w:type="spellEnd"/>
      <w:r w:rsidRPr="00030CAF">
        <w:rPr>
          <w:rFonts w:ascii="Trebuchet MS" w:hAnsi="Trebuchet MS"/>
        </w:rPr>
        <w:t xml:space="preserve"> nici nu va putea oferi dezlegări asupra unor probleme de fapt sau de drept care să anticipeze modul de </w:t>
      </w:r>
      <w:proofErr w:type="spellStart"/>
      <w:r w:rsidRPr="00030CAF">
        <w:rPr>
          <w:rFonts w:ascii="Trebuchet MS" w:hAnsi="Trebuchet MS"/>
        </w:rPr>
        <w:lastRenderedPageBreak/>
        <w:t>soluţionare</w:t>
      </w:r>
      <w:proofErr w:type="spellEnd"/>
      <w:r w:rsidRPr="00030CAF">
        <w:rPr>
          <w:rFonts w:ascii="Trebuchet MS" w:hAnsi="Trebuchet MS"/>
        </w:rPr>
        <w:t xml:space="preserve"> a pricinii ori care să aducă atingere </w:t>
      </w:r>
      <w:proofErr w:type="spellStart"/>
      <w:r w:rsidRPr="00030CAF">
        <w:rPr>
          <w:rFonts w:ascii="Trebuchet MS" w:hAnsi="Trebuchet MS"/>
        </w:rPr>
        <w:t>libertăţii</w:t>
      </w:r>
      <w:proofErr w:type="spellEnd"/>
      <w:r w:rsidRPr="00030CAF">
        <w:rPr>
          <w:rFonts w:ascii="Trebuchet MS" w:hAnsi="Trebuchet MS"/>
        </w:rPr>
        <w:t xml:space="preserve"> judecătorului cauzei de a hotărî, conform legii, cu privire la </w:t>
      </w:r>
      <w:proofErr w:type="spellStart"/>
      <w:r w:rsidRPr="00030CAF">
        <w:rPr>
          <w:rFonts w:ascii="Trebuchet MS" w:hAnsi="Trebuchet MS"/>
        </w:rPr>
        <w:t>soluţia</w:t>
      </w:r>
      <w:proofErr w:type="spellEnd"/>
      <w:r w:rsidRPr="00030CAF">
        <w:rPr>
          <w:rFonts w:ascii="Trebuchet MS" w:hAnsi="Trebuchet MS"/>
        </w:rPr>
        <w:t xml:space="preserve"> ce trebuie dată procesului.”.</w:t>
      </w:r>
    </w:p>
    <w:p w14:paraId="65C99291" w14:textId="66E18B69" w:rsidR="00516354" w:rsidRPr="00516354" w:rsidRDefault="00516354" w:rsidP="00516354">
      <w:pPr>
        <w:spacing w:after="120" w:line="276" w:lineRule="auto"/>
        <w:jc w:val="both"/>
        <w:rPr>
          <w:rFonts w:ascii="Trebuchet MS" w:eastAsia="MS Mincho" w:hAnsi="Trebuchet MS" w:cs="Times New Roman"/>
          <w:b/>
        </w:rPr>
      </w:pPr>
      <w:r w:rsidRPr="00516354">
        <w:rPr>
          <w:rFonts w:ascii="Trebuchet MS" w:eastAsia="MS Mincho" w:hAnsi="Trebuchet MS" w:cs="Times New Roman"/>
          <w:b/>
        </w:rPr>
        <w:t xml:space="preserve">3. </w:t>
      </w:r>
      <w:r>
        <w:rPr>
          <w:rFonts w:ascii="Trebuchet MS" w:eastAsia="MS Mincho" w:hAnsi="Trebuchet MS" w:cs="Times New Roman"/>
          <w:b/>
        </w:rPr>
        <w:t xml:space="preserve">Articolul 526 </w:t>
      </w:r>
      <w:r w:rsidRPr="00516354">
        <w:rPr>
          <w:rFonts w:ascii="Trebuchet MS" w:eastAsia="MS Mincho" w:hAnsi="Trebuchet MS" w:cs="Times New Roman"/>
          <w:b/>
        </w:rPr>
        <w:t>va avea următorul cuprins:</w:t>
      </w:r>
    </w:p>
    <w:p w14:paraId="0108C39C" w14:textId="77777777" w:rsidR="00516354" w:rsidRPr="00516354" w:rsidRDefault="00516354" w:rsidP="00516354">
      <w:pPr>
        <w:spacing w:after="120" w:line="276" w:lineRule="auto"/>
        <w:jc w:val="both"/>
        <w:rPr>
          <w:rFonts w:ascii="Trebuchet MS" w:eastAsia="MS Mincho" w:hAnsi="Trebuchet MS" w:cs="Times New Roman"/>
        </w:rPr>
      </w:pPr>
      <w:r w:rsidRPr="00516354">
        <w:rPr>
          <w:rFonts w:ascii="Trebuchet MS" w:eastAsia="MS Mincho" w:hAnsi="Trebuchet MS" w:cs="Times New Roman"/>
        </w:rPr>
        <w:t>“</w:t>
      </w:r>
      <w:r w:rsidRPr="00516354">
        <w:rPr>
          <w:rFonts w:ascii="Trebuchet MS" w:eastAsia="MS Mincho" w:hAnsi="Trebuchet MS" w:cs="Times New Roman"/>
          <w:b/>
        </w:rPr>
        <w:t>Art. 526</w:t>
      </w:r>
      <w:r w:rsidRPr="00516354">
        <w:rPr>
          <w:rFonts w:ascii="Trebuchet MS" w:eastAsia="MS Mincho" w:hAnsi="Trebuchet MS" w:cs="Times New Roman"/>
        </w:rPr>
        <w:t xml:space="preserve"> </w:t>
      </w:r>
      <w:proofErr w:type="spellStart"/>
      <w:r w:rsidRPr="00516354">
        <w:rPr>
          <w:rFonts w:ascii="Trebuchet MS" w:eastAsia="MS Mincho" w:hAnsi="Trebuchet MS" w:cs="Times New Roman"/>
          <w:b/>
        </w:rPr>
        <w:t>Sancţionarea</w:t>
      </w:r>
      <w:proofErr w:type="spellEnd"/>
      <w:r w:rsidRPr="00516354">
        <w:rPr>
          <w:rFonts w:ascii="Trebuchet MS" w:eastAsia="MS Mincho" w:hAnsi="Trebuchet MS" w:cs="Times New Roman"/>
          <w:b/>
        </w:rPr>
        <w:t xml:space="preserve"> contestatorului de rea-</w:t>
      </w:r>
      <w:proofErr w:type="spellStart"/>
      <w:r w:rsidRPr="00516354">
        <w:rPr>
          <w:rFonts w:ascii="Trebuchet MS" w:eastAsia="MS Mincho" w:hAnsi="Trebuchet MS" w:cs="Times New Roman"/>
          <w:b/>
        </w:rPr>
        <w:t>credinţă</w:t>
      </w:r>
      <w:proofErr w:type="spellEnd"/>
      <w:r w:rsidRPr="00516354">
        <w:rPr>
          <w:rFonts w:ascii="Trebuchet MS" w:eastAsia="MS Mincho" w:hAnsi="Trebuchet MS" w:cs="Times New Roman"/>
        </w:rPr>
        <w:t xml:space="preserve"> </w:t>
      </w:r>
    </w:p>
    <w:p w14:paraId="4844DF9C" w14:textId="77777777" w:rsidR="00516354" w:rsidRPr="00516354" w:rsidRDefault="00516354" w:rsidP="00516354">
      <w:pPr>
        <w:spacing w:after="120" w:line="276" w:lineRule="auto"/>
        <w:jc w:val="both"/>
        <w:rPr>
          <w:rFonts w:ascii="Trebuchet MS" w:eastAsia="MS Mincho" w:hAnsi="Trebuchet MS" w:cs="Times New Roman"/>
        </w:rPr>
      </w:pPr>
      <w:r w:rsidRPr="00516354">
        <w:rPr>
          <w:rFonts w:ascii="Trebuchet MS" w:eastAsia="MS Mincho" w:hAnsi="Trebuchet MS" w:cs="Times New Roman"/>
        </w:rPr>
        <w:t xml:space="preserve">(1) Atunci când </w:t>
      </w:r>
      <w:proofErr w:type="spellStart"/>
      <w:r w:rsidRPr="00516354">
        <w:rPr>
          <w:rFonts w:ascii="Trebuchet MS" w:eastAsia="MS Mincho" w:hAnsi="Trebuchet MS" w:cs="Times New Roman"/>
        </w:rPr>
        <w:t>contestaţia</w:t>
      </w:r>
      <w:proofErr w:type="spellEnd"/>
      <w:r w:rsidRPr="00516354">
        <w:rPr>
          <w:rFonts w:ascii="Trebuchet MS" w:eastAsia="MS Mincho" w:hAnsi="Trebuchet MS" w:cs="Times New Roman"/>
        </w:rPr>
        <w:t xml:space="preserve"> a fost făcută cu rea-</w:t>
      </w:r>
      <w:proofErr w:type="spellStart"/>
      <w:r w:rsidRPr="00516354">
        <w:rPr>
          <w:rFonts w:ascii="Trebuchet MS" w:eastAsia="MS Mincho" w:hAnsi="Trebuchet MS" w:cs="Times New Roman"/>
        </w:rPr>
        <w:t>credinţă</w:t>
      </w:r>
      <w:proofErr w:type="spellEnd"/>
      <w:r w:rsidRPr="00516354">
        <w:rPr>
          <w:rFonts w:ascii="Trebuchet MS" w:eastAsia="MS Mincho" w:hAnsi="Trebuchet MS" w:cs="Times New Roman"/>
        </w:rPr>
        <w:t xml:space="preserve">, autorul acesteia poate fi obligat la plata unei amenzi judiciare de la 500 lei la 2.000 lei, precum </w:t>
      </w:r>
      <w:proofErr w:type="spellStart"/>
      <w:r w:rsidRPr="00516354">
        <w:rPr>
          <w:rFonts w:ascii="Trebuchet MS" w:eastAsia="MS Mincho" w:hAnsi="Trebuchet MS" w:cs="Times New Roman"/>
        </w:rPr>
        <w:t>şi</w:t>
      </w:r>
      <w:proofErr w:type="spellEnd"/>
      <w:r w:rsidRPr="00516354">
        <w:rPr>
          <w:rFonts w:ascii="Trebuchet MS" w:eastAsia="MS Mincho" w:hAnsi="Trebuchet MS" w:cs="Times New Roman"/>
        </w:rPr>
        <w:t xml:space="preserve">, la cererea </w:t>
      </w:r>
      <w:proofErr w:type="spellStart"/>
      <w:r w:rsidRPr="00516354">
        <w:rPr>
          <w:rFonts w:ascii="Trebuchet MS" w:eastAsia="MS Mincho" w:hAnsi="Trebuchet MS" w:cs="Times New Roman"/>
        </w:rPr>
        <w:t>părţii</w:t>
      </w:r>
      <w:proofErr w:type="spellEnd"/>
      <w:r w:rsidRPr="00516354">
        <w:rPr>
          <w:rFonts w:ascii="Trebuchet MS" w:eastAsia="MS Mincho" w:hAnsi="Trebuchet MS" w:cs="Times New Roman"/>
        </w:rPr>
        <w:t xml:space="preserve"> interesate, la plata de despăgubiri pentru repararea prejudiciului cauzat prin introducerea </w:t>
      </w:r>
      <w:proofErr w:type="spellStart"/>
      <w:r w:rsidRPr="00516354">
        <w:rPr>
          <w:rFonts w:ascii="Trebuchet MS" w:eastAsia="MS Mincho" w:hAnsi="Trebuchet MS" w:cs="Times New Roman"/>
        </w:rPr>
        <w:t>contestaţiei</w:t>
      </w:r>
      <w:proofErr w:type="spellEnd"/>
      <w:r w:rsidRPr="00516354">
        <w:rPr>
          <w:rFonts w:ascii="Trebuchet MS" w:eastAsia="MS Mincho" w:hAnsi="Trebuchet MS" w:cs="Times New Roman"/>
        </w:rPr>
        <w:t>.</w:t>
      </w:r>
    </w:p>
    <w:p w14:paraId="15433666" w14:textId="77777777" w:rsidR="00516354" w:rsidRPr="00516354" w:rsidRDefault="00516354" w:rsidP="00516354">
      <w:pPr>
        <w:spacing w:after="120" w:line="276" w:lineRule="auto"/>
        <w:jc w:val="both"/>
        <w:rPr>
          <w:rFonts w:ascii="Trebuchet MS" w:eastAsia="MS Mincho" w:hAnsi="Trebuchet MS" w:cs="Times New Roman"/>
        </w:rPr>
      </w:pPr>
      <w:r w:rsidRPr="00516354">
        <w:rPr>
          <w:rFonts w:ascii="Trebuchet MS" w:eastAsia="MS Mincho" w:hAnsi="Trebuchet MS" w:cs="Times New Roman"/>
        </w:rPr>
        <w:t>(2) Reaua-</w:t>
      </w:r>
      <w:proofErr w:type="spellStart"/>
      <w:r w:rsidRPr="00516354">
        <w:rPr>
          <w:rFonts w:ascii="Trebuchet MS" w:eastAsia="MS Mincho" w:hAnsi="Trebuchet MS" w:cs="Times New Roman"/>
        </w:rPr>
        <w:t>credinţă</w:t>
      </w:r>
      <w:proofErr w:type="spellEnd"/>
      <w:r w:rsidRPr="00516354">
        <w:rPr>
          <w:rFonts w:ascii="Trebuchet MS" w:eastAsia="MS Mincho" w:hAnsi="Trebuchet MS" w:cs="Times New Roman"/>
        </w:rPr>
        <w:t xml:space="preserve"> rezultă din caracterul vădit nefondat al </w:t>
      </w:r>
      <w:proofErr w:type="spellStart"/>
      <w:r w:rsidRPr="00516354">
        <w:rPr>
          <w:rFonts w:ascii="Trebuchet MS" w:eastAsia="MS Mincho" w:hAnsi="Trebuchet MS" w:cs="Times New Roman"/>
        </w:rPr>
        <w:t>contestaţiei</w:t>
      </w:r>
      <w:proofErr w:type="spellEnd"/>
      <w:r w:rsidRPr="00516354">
        <w:rPr>
          <w:rFonts w:ascii="Trebuchet MS" w:eastAsia="MS Mincho" w:hAnsi="Trebuchet MS" w:cs="Times New Roman"/>
        </w:rPr>
        <w:t xml:space="preserve">, precum </w:t>
      </w:r>
      <w:proofErr w:type="spellStart"/>
      <w:r w:rsidRPr="00516354">
        <w:rPr>
          <w:rFonts w:ascii="Trebuchet MS" w:eastAsia="MS Mincho" w:hAnsi="Trebuchet MS" w:cs="Times New Roman"/>
        </w:rPr>
        <w:t>şi</w:t>
      </w:r>
      <w:proofErr w:type="spellEnd"/>
      <w:r w:rsidRPr="00516354">
        <w:rPr>
          <w:rFonts w:ascii="Trebuchet MS" w:eastAsia="MS Mincho" w:hAnsi="Trebuchet MS" w:cs="Times New Roman"/>
        </w:rPr>
        <w:t xml:space="preserve"> din orice alte împrejurări care </w:t>
      </w:r>
      <w:proofErr w:type="spellStart"/>
      <w:r w:rsidRPr="00516354">
        <w:rPr>
          <w:rFonts w:ascii="Trebuchet MS" w:eastAsia="MS Mincho" w:hAnsi="Trebuchet MS" w:cs="Times New Roman"/>
        </w:rPr>
        <w:t>îndreptăţesc</w:t>
      </w:r>
      <w:proofErr w:type="spellEnd"/>
      <w:r w:rsidRPr="00516354">
        <w:rPr>
          <w:rFonts w:ascii="Trebuchet MS" w:eastAsia="MS Mincho" w:hAnsi="Trebuchet MS" w:cs="Times New Roman"/>
        </w:rPr>
        <w:t xml:space="preserve"> constatarea că exercitarea acesteia s-a făcut în alt scop decât acela pentru care legea o </w:t>
      </w:r>
      <w:proofErr w:type="spellStart"/>
      <w:r w:rsidRPr="00516354">
        <w:rPr>
          <w:rFonts w:ascii="Trebuchet MS" w:eastAsia="MS Mincho" w:hAnsi="Trebuchet MS" w:cs="Times New Roman"/>
        </w:rPr>
        <w:t>recunoaşte</w:t>
      </w:r>
      <w:proofErr w:type="spellEnd"/>
      <w:r w:rsidRPr="00516354">
        <w:rPr>
          <w:rFonts w:ascii="Trebuchet MS" w:eastAsia="MS Mincho" w:hAnsi="Trebuchet MS" w:cs="Times New Roman"/>
        </w:rPr>
        <w:t>.”</w:t>
      </w:r>
    </w:p>
    <w:p w14:paraId="4E8A9403" w14:textId="77777777" w:rsidR="00516354" w:rsidRPr="00516354" w:rsidRDefault="00516354" w:rsidP="00516354">
      <w:pPr>
        <w:spacing w:after="120" w:line="276" w:lineRule="auto"/>
        <w:jc w:val="both"/>
        <w:rPr>
          <w:rFonts w:ascii="Trebuchet MS" w:eastAsia="MS Mincho" w:hAnsi="Trebuchet MS" w:cs="Times New Roman"/>
        </w:rPr>
      </w:pPr>
      <w:r w:rsidRPr="00516354">
        <w:rPr>
          <w:rFonts w:ascii="Trebuchet MS" w:eastAsia="MS Mincho" w:hAnsi="Trebuchet MS" w:cs="Times New Roman"/>
        </w:rPr>
        <w:t>Art. II Dispozițiile art. I sunt aplicabile și contestaților formulate după data intrării în vigoare a prezentei legi.</w:t>
      </w:r>
    </w:p>
    <w:p w14:paraId="6EEBBADC" w14:textId="77777777" w:rsidR="00516354" w:rsidRPr="00516354" w:rsidRDefault="00516354" w:rsidP="00FB313B">
      <w:pPr>
        <w:spacing w:after="120" w:line="276" w:lineRule="auto"/>
        <w:jc w:val="both"/>
        <w:rPr>
          <w:rFonts w:ascii="Trebuchet MS" w:hAnsi="Trebuchet MS"/>
          <w:color w:val="FF0000"/>
        </w:rPr>
      </w:pPr>
    </w:p>
    <w:sectPr w:rsidR="00516354" w:rsidRPr="00516354" w:rsidSect="00D075E6">
      <w:footerReference w:type="default" r:id="rId8"/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66AF" w14:textId="77777777" w:rsidR="006221CD" w:rsidRDefault="006221CD" w:rsidP="00E757F9">
      <w:pPr>
        <w:spacing w:after="0" w:line="240" w:lineRule="auto"/>
      </w:pPr>
      <w:r>
        <w:separator/>
      </w:r>
    </w:p>
  </w:endnote>
  <w:endnote w:type="continuationSeparator" w:id="0">
    <w:p w14:paraId="6C304A95" w14:textId="77777777" w:rsidR="006221CD" w:rsidRDefault="006221CD" w:rsidP="00E7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190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1BCAF" w14:textId="77777777" w:rsidR="00E757F9" w:rsidRDefault="00E75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F05BE5" w14:textId="77777777" w:rsidR="00E757F9" w:rsidRDefault="00E7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DAA8" w14:textId="77777777" w:rsidR="006221CD" w:rsidRDefault="006221CD" w:rsidP="00E757F9">
      <w:pPr>
        <w:spacing w:after="0" w:line="240" w:lineRule="auto"/>
      </w:pPr>
      <w:r>
        <w:separator/>
      </w:r>
    </w:p>
  </w:footnote>
  <w:footnote w:type="continuationSeparator" w:id="0">
    <w:p w14:paraId="7D559BFB" w14:textId="77777777" w:rsidR="006221CD" w:rsidRDefault="006221CD" w:rsidP="00E7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0F3"/>
    <w:multiLevelType w:val="hybridMultilevel"/>
    <w:tmpl w:val="97089080"/>
    <w:lvl w:ilvl="0" w:tplc="D8DE6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C42"/>
    <w:multiLevelType w:val="hybridMultilevel"/>
    <w:tmpl w:val="4A48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7A9B"/>
    <w:multiLevelType w:val="hybridMultilevel"/>
    <w:tmpl w:val="9FAACF86"/>
    <w:lvl w:ilvl="0" w:tplc="7AD8152C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F9"/>
    <w:rsid w:val="00030CAF"/>
    <w:rsid w:val="000717F5"/>
    <w:rsid w:val="00087862"/>
    <w:rsid w:val="000B1F0E"/>
    <w:rsid w:val="00157DAF"/>
    <w:rsid w:val="001727C0"/>
    <w:rsid w:val="001A6868"/>
    <w:rsid w:val="001B3802"/>
    <w:rsid w:val="002059C4"/>
    <w:rsid w:val="002728EC"/>
    <w:rsid w:val="00285268"/>
    <w:rsid w:val="0029239D"/>
    <w:rsid w:val="002E4846"/>
    <w:rsid w:val="002E5821"/>
    <w:rsid w:val="003254E8"/>
    <w:rsid w:val="00330ACA"/>
    <w:rsid w:val="00336731"/>
    <w:rsid w:val="003475E9"/>
    <w:rsid w:val="00354EA1"/>
    <w:rsid w:val="00395AED"/>
    <w:rsid w:val="003A6D69"/>
    <w:rsid w:val="003E4590"/>
    <w:rsid w:val="003F1FD2"/>
    <w:rsid w:val="00434FB7"/>
    <w:rsid w:val="00466087"/>
    <w:rsid w:val="004736F4"/>
    <w:rsid w:val="00477895"/>
    <w:rsid w:val="00484954"/>
    <w:rsid w:val="004B4B67"/>
    <w:rsid w:val="004B6CB7"/>
    <w:rsid w:val="004C3D32"/>
    <w:rsid w:val="00516354"/>
    <w:rsid w:val="005552B9"/>
    <w:rsid w:val="0059158C"/>
    <w:rsid w:val="005B3D73"/>
    <w:rsid w:val="005E0AF0"/>
    <w:rsid w:val="006221CD"/>
    <w:rsid w:val="006A2BC6"/>
    <w:rsid w:val="006B0592"/>
    <w:rsid w:val="006C570A"/>
    <w:rsid w:val="006F075C"/>
    <w:rsid w:val="00712E00"/>
    <w:rsid w:val="0071552A"/>
    <w:rsid w:val="00726E34"/>
    <w:rsid w:val="0077589D"/>
    <w:rsid w:val="00777CBD"/>
    <w:rsid w:val="007B1BB0"/>
    <w:rsid w:val="007C76DD"/>
    <w:rsid w:val="007D2A6E"/>
    <w:rsid w:val="007F43C2"/>
    <w:rsid w:val="0085012D"/>
    <w:rsid w:val="0086393E"/>
    <w:rsid w:val="00881C4C"/>
    <w:rsid w:val="00881D5C"/>
    <w:rsid w:val="008A3162"/>
    <w:rsid w:val="0090609A"/>
    <w:rsid w:val="00980636"/>
    <w:rsid w:val="009B5DEF"/>
    <w:rsid w:val="009E596A"/>
    <w:rsid w:val="009F53D9"/>
    <w:rsid w:val="00A05B43"/>
    <w:rsid w:val="00A53289"/>
    <w:rsid w:val="00A7079C"/>
    <w:rsid w:val="00AD575C"/>
    <w:rsid w:val="00B3179F"/>
    <w:rsid w:val="00B31B00"/>
    <w:rsid w:val="00B36A3D"/>
    <w:rsid w:val="00B752E5"/>
    <w:rsid w:val="00BA0CEE"/>
    <w:rsid w:val="00BB20AE"/>
    <w:rsid w:val="00BB77B9"/>
    <w:rsid w:val="00C0547B"/>
    <w:rsid w:val="00C2187C"/>
    <w:rsid w:val="00C324D8"/>
    <w:rsid w:val="00C450DD"/>
    <w:rsid w:val="00C71497"/>
    <w:rsid w:val="00CE49E0"/>
    <w:rsid w:val="00CF16EC"/>
    <w:rsid w:val="00D075E6"/>
    <w:rsid w:val="00D3717C"/>
    <w:rsid w:val="00D9208B"/>
    <w:rsid w:val="00DB58C8"/>
    <w:rsid w:val="00DC6364"/>
    <w:rsid w:val="00DE34E2"/>
    <w:rsid w:val="00E379BA"/>
    <w:rsid w:val="00E47878"/>
    <w:rsid w:val="00E757F9"/>
    <w:rsid w:val="00EC28DE"/>
    <w:rsid w:val="00EF3C46"/>
    <w:rsid w:val="00F12E72"/>
    <w:rsid w:val="00F32C7D"/>
    <w:rsid w:val="00FB313B"/>
    <w:rsid w:val="00FE1C10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3A14A"/>
  <w15:docId w15:val="{31041FD0-453F-49EC-B05B-20A8ED3E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7F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5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7F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F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7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F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7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F9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087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087"/>
    <w:rPr>
      <w:b/>
      <w:bCs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C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87D4-1E7D-417D-A581-34CFA01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George Miclaus</cp:lastModifiedBy>
  <cp:revision>6</cp:revision>
  <cp:lastPrinted>2020-12-09T08:24:00Z</cp:lastPrinted>
  <dcterms:created xsi:type="dcterms:W3CDTF">2020-08-31T10:00:00Z</dcterms:created>
  <dcterms:modified xsi:type="dcterms:W3CDTF">2021-01-08T08:08:00Z</dcterms:modified>
</cp:coreProperties>
</file>