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84" w:rsidRPr="00B9220B" w:rsidRDefault="00B20384" w:rsidP="00BB286A">
      <w:pPr>
        <w:tabs>
          <w:tab w:val="left" w:pos="3960"/>
        </w:tabs>
        <w:spacing w:after="0" w:line="240" w:lineRule="auto"/>
        <w:jc w:val="center"/>
        <w:rPr>
          <w:rFonts w:ascii="Trebuchet MS" w:hAnsi="Trebuchet MS" w:cs="Times New Roman"/>
          <w:b/>
          <w:bCs/>
          <w:u w:val="single"/>
        </w:rPr>
      </w:pPr>
    </w:p>
    <w:p w:rsidR="00731DC3" w:rsidRPr="00B9220B" w:rsidRDefault="007E7836" w:rsidP="00BB286A">
      <w:pPr>
        <w:tabs>
          <w:tab w:val="left" w:pos="3960"/>
        </w:tabs>
        <w:spacing w:after="0" w:line="240" w:lineRule="auto"/>
        <w:jc w:val="center"/>
        <w:rPr>
          <w:rFonts w:ascii="Trebuchet MS" w:hAnsi="Trebuchet MS" w:cs="Times New Roman"/>
          <w:b/>
          <w:bCs/>
          <w:u w:val="single"/>
        </w:rPr>
      </w:pPr>
      <w:r w:rsidRPr="00B9220B">
        <w:rPr>
          <w:rFonts w:ascii="Trebuchet MS" w:hAnsi="Trebuchet MS" w:cs="Times New Roman"/>
          <w:b/>
          <w:bCs/>
          <w:u w:val="single"/>
        </w:rPr>
        <w:t>EXPUNERE DE MOTIVE</w:t>
      </w:r>
    </w:p>
    <w:p w:rsidR="00731DC3" w:rsidRPr="00B9220B" w:rsidRDefault="00731DC3" w:rsidP="00BB286A">
      <w:pPr>
        <w:tabs>
          <w:tab w:val="left" w:pos="3960"/>
        </w:tabs>
        <w:spacing w:after="0" w:line="240" w:lineRule="auto"/>
        <w:jc w:val="center"/>
        <w:rPr>
          <w:rFonts w:ascii="Trebuchet MS" w:hAnsi="Trebuchet MS" w:cs="Times New Roman"/>
          <w:b/>
          <w:bCs/>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1261"/>
        <w:gridCol w:w="507"/>
        <w:gridCol w:w="321"/>
        <w:gridCol w:w="340"/>
        <w:gridCol w:w="535"/>
        <w:gridCol w:w="77"/>
        <w:gridCol w:w="1511"/>
      </w:tblGrid>
      <w:tr w:rsidR="00731DC3" w:rsidRPr="00B9220B" w:rsidTr="00497023">
        <w:tc>
          <w:tcPr>
            <w:tcW w:w="9487" w:type="dxa"/>
            <w:gridSpan w:val="8"/>
          </w:tcPr>
          <w:p w:rsidR="00731DC3" w:rsidRPr="00B9220B" w:rsidRDefault="00731DC3" w:rsidP="00BB286A">
            <w:pPr>
              <w:tabs>
                <w:tab w:val="left" w:pos="3960"/>
              </w:tabs>
              <w:spacing w:after="0" w:line="240" w:lineRule="auto"/>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1</w:t>
            </w:r>
          </w:p>
          <w:p w:rsidR="00731DC3" w:rsidRPr="00B9220B" w:rsidRDefault="00731DC3" w:rsidP="00BB286A">
            <w:pPr>
              <w:tabs>
                <w:tab w:val="left" w:pos="3960"/>
              </w:tabs>
              <w:spacing w:after="0" w:line="240" w:lineRule="auto"/>
              <w:jc w:val="center"/>
              <w:rPr>
                <w:rFonts w:ascii="Trebuchet MS" w:hAnsi="Trebuchet MS" w:cs="Times New Roman"/>
                <w:b/>
                <w:bCs/>
              </w:rPr>
            </w:pPr>
            <w:r w:rsidRPr="00B9220B">
              <w:rPr>
                <w:rFonts w:ascii="Trebuchet MS" w:hAnsi="Trebuchet MS" w:cs="Times New Roman"/>
                <w:b/>
                <w:bCs/>
              </w:rPr>
              <w:t xml:space="preserve">Titlul  </w:t>
            </w:r>
            <w:r w:rsidR="001E11AA" w:rsidRPr="00B9220B">
              <w:rPr>
                <w:rFonts w:ascii="Trebuchet MS" w:hAnsi="Trebuchet MS" w:cs="Times New Roman"/>
                <w:b/>
                <w:bCs/>
              </w:rPr>
              <w:t>proiect</w:t>
            </w:r>
            <w:r w:rsidR="00C967A6">
              <w:rPr>
                <w:rFonts w:ascii="Trebuchet MS" w:hAnsi="Trebuchet MS" w:cs="Times New Roman"/>
                <w:b/>
                <w:bCs/>
              </w:rPr>
              <w:t>ului</w:t>
            </w:r>
            <w:r w:rsidR="001E11AA" w:rsidRPr="00B9220B">
              <w:rPr>
                <w:rFonts w:ascii="Trebuchet MS" w:hAnsi="Trebuchet MS" w:cs="Times New Roman"/>
                <w:b/>
                <w:bCs/>
              </w:rPr>
              <w:t xml:space="preserve"> de </w:t>
            </w:r>
            <w:r w:rsidRPr="00B9220B">
              <w:rPr>
                <w:rFonts w:ascii="Trebuchet MS" w:hAnsi="Trebuchet MS" w:cs="Times New Roman"/>
                <w:b/>
                <w:bCs/>
              </w:rPr>
              <w:t>act normativ</w:t>
            </w:r>
          </w:p>
          <w:p w:rsidR="00731DC3" w:rsidRPr="00B9220B" w:rsidRDefault="00731DC3" w:rsidP="00BB286A">
            <w:pPr>
              <w:spacing w:after="0" w:line="240" w:lineRule="auto"/>
              <w:jc w:val="center"/>
              <w:rPr>
                <w:rFonts w:ascii="Trebuchet MS" w:hAnsi="Trebuchet MS" w:cs="Times New Roman"/>
                <w:b/>
                <w:bCs/>
                <w:lang w:eastAsia="ro-RO"/>
              </w:rPr>
            </w:pPr>
          </w:p>
          <w:p w:rsidR="00226A32" w:rsidRPr="00B9220B" w:rsidRDefault="00226A32" w:rsidP="00226A32">
            <w:pPr>
              <w:autoSpaceDE w:val="0"/>
              <w:autoSpaceDN w:val="0"/>
              <w:adjustRightInd w:val="0"/>
              <w:spacing w:line="260" w:lineRule="exact"/>
              <w:jc w:val="center"/>
              <w:rPr>
                <w:rFonts w:ascii="Trebuchet MS" w:hAnsi="Trebuchet MS" w:cs="Arial"/>
                <w:b/>
                <w:color w:val="000000"/>
              </w:rPr>
            </w:pPr>
            <w:r w:rsidRPr="00B9220B">
              <w:rPr>
                <w:rFonts w:ascii="Trebuchet MS" w:hAnsi="Trebuchet MS" w:cs="Arial"/>
                <w:b/>
                <w:color w:val="000000"/>
              </w:rPr>
              <w:t xml:space="preserve">Lege </w:t>
            </w:r>
          </w:p>
          <w:p w:rsidR="00ED59F4" w:rsidRPr="00B9220B" w:rsidRDefault="00C308C6" w:rsidP="00B9220B">
            <w:pPr>
              <w:autoSpaceDE w:val="0"/>
              <w:autoSpaceDN w:val="0"/>
              <w:adjustRightInd w:val="0"/>
              <w:spacing w:line="260" w:lineRule="exact"/>
              <w:jc w:val="center"/>
              <w:rPr>
                <w:rFonts w:ascii="Trebuchet MS" w:hAnsi="Trebuchet MS" w:cs="Times New Roman"/>
              </w:rPr>
            </w:pPr>
            <w:r w:rsidRPr="00B9220B">
              <w:rPr>
                <w:rFonts w:ascii="Trebuchet MS" w:hAnsi="Trebuchet MS" w:cs="Arial"/>
                <w:b/>
                <w:color w:val="000000"/>
              </w:rPr>
              <w:t>pentru modificarea Legii nr. 134/2010 privind Codul de procedură civilă</w:t>
            </w:r>
          </w:p>
        </w:tc>
      </w:tr>
      <w:tr w:rsidR="00731DC3" w:rsidRPr="00B9220B" w:rsidTr="00497023">
        <w:trPr>
          <w:trHeight w:val="566"/>
        </w:trPr>
        <w:tc>
          <w:tcPr>
            <w:tcW w:w="9487" w:type="dxa"/>
            <w:gridSpan w:val="8"/>
          </w:tcPr>
          <w:p w:rsidR="00B20384" w:rsidRPr="00B9220B" w:rsidRDefault="00B20384" w:rsidP="00BB286A">
            <w:pPr>
              <w:tabs>
                <w:tab w:val="left" w:pos="3960"/>
              </w:tabs>
              <w:spacing w:after="0" w:line="240" w:lineRule="auto"/>
              <w:jc w:val="center"/>
              <w:rPr>
                <w:rFonts w:ascii="Trebuchet MS" w:hAnsi="Trebuchet MS" w:cs="Times New Roman"/>
                <w:b/>
                <w:bCs/>
              </w:rPr>
            </w:pPr>
          </w:p>
          <w:p w:rsidR="00731DC3" w:rsidRPr="00B9220B" w:rsidRDefault="00731DC3" w:rsidP="00BB286A">
            <w:pPr>
              <w:tabs>
                <w:tab w:val="left" w:pos="3960"/>
              </w:tabs>
              <w:spacing w:after="0" w:line="240" w:lineRule="auto"/>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2 – a</w:t>
            </w:r>
          </w:p>
          <w:p w:rsidR="007B09FA" w:rsidRPr="00B9220B" w:rsidRDefault="00731DC3" w:rsidP="001C6F04">
            <w:pPr>
              <w:tabs>
                <w:tab w:val="left" w:pos="3960"/>
              </w:tabs>
              <w:spacing w:after="0" w:line="240" w:lineRule="auto"/>
              <w:jc w:val="center"/>
              <w:rPr>
                <w:rFonts w:ascii="Trebuchet MS" w:hAnsi="Trebuchet MS" w:cs="Times New Roman"/>
                <w:b/>
                <w:bCs/>
              </w:rPr>
            </w:pPr>
            <w:r w:rsidRPr="00B9220B">
              <w:rPr>
                <w:rFonts w:ascii="Trebuchet MS" w:hAnsi="Trebuchet MS" w:cs="Times New Roman"/>
                <w:b/>
                <w:bCs/>
              </w:rPr>
              <w:t xml:space="preserve">Motivul emiterii </w:t>
            </w:r>
            <w:r w:rsidR="001E11AA" w:rsidRPr="00B9220B">
              <w:rPr>
                <w:rFonts w:ascii="Trebuchet MS" w:hAnsi="Trebuchet MS" w:cs="Times New Roman"/>
                <w:b/>
                <w:bCs/>
              </w:rPr>
              <w:t>act</w:t>
            </w:r>
            <w:r w:rsidR="001C6F04" w:rsidRPr="00B9220B">
              <w:rPr>
                <w:rFonts w:ascii="Trebuchet MS" w:hAnsi="Trebuchet MS" w:cs="Times New Roman"/>
                <w:b/>
                <w:bCs/>
              </w:rPr>
              <w:t>ului</w:t>
            </w:r>
            <w:r w:rsidRPr="00B9220B">
              <w:rPr>
                <w:rFonts w:ascii="Trebuchet MS" w:hAnsi="Trebuchet MS" w:cs="Times New Roman"/>
                <w:b/>
                <w:bCs/>
              </w:rPr>
              <w:t xml:space="preserve"> normativ</w:t>
            </w:r>
          </w:p>
          <w:p w:rsidR="00B20384" w:rsidRPr="00B9220B" w:rsidRDefault="00B20384" w:rsidP="001C6F04">
            <w:pPr>
              <w:tabs>
                <w:tab w:val="left" w:pos="3960"/>
              </w:tabs>
              <w:spacing w:after="0" w:line="240" w:lineRule="auto"/>
              <w:jc w:val="center"/>
              <w:rPr>
                <w:rFonts w:ascii="Trebuchet MS" w:hAnsi="Trebuchet MS" w:cs="Times New Roman"/>
                <w:b/>
                <w:bCs/>
              </w:rPr>
            </w:pPr>
          </w:p>
        </w:tc>
      </w:tr>
      <w:tr w:rsidR="00731DC3" w:rsidRPr="00B9220B" w:rsidTr="0091268B">
        <w:trPr>
          <w:trHeight w:val="620"/>
        </w:trPr>
        <w:tc>
          <w:tcPr>
            <w:tcW w:w="9487" w:type="dxa"/>
            <w:gridSpan w:val="8"/>
          </w:tcPr>
          <w:p w:rsidR="00FE5602" w:rsidRPr="00B9220B" w:rsidRDefault="00FE5602" w:rsidP="00545705">
            <w:pPr>
              <w:autoSpaceDE w:val="0"/>
              <w:autoSpaceDN w:val="0"/>
              <w:adjustRightInd w:val="0"/>
              <w:spacing w:after="0"/>
              <w:jc w:val="both"/>
              <w:rPr>
                <w:rFonts w:ascii="Trebuchet MS" w:hAnsi="Trebuchet MS"/>
                <w:b/>
              </w:rPr>
            </w:pPr>
            <w:r w:rsidRPr="00B9220B">
              <w:rPr>
                <w:rFonts w:ascii="Trebuchet MS" w:hAnsi="Trebuchet MS"/>
                <w:b/>
              </w:rPr>
              <w:t>1. Descrierea situației actuale</w:t>
            </w:r>
            <w:r w:rsidR="000D7431" w:rsidRPr="00B9220B">
              <w:rPr>
                <w:rFonts w:ascii="Trebuchet MS" w:hAnsi="Trebuchet MS"/>
                <w:b/>
              </w:rPr>
              <w:t>.</w:t>
            </w:r>
          </w:p>
          <w:p w:rsidR="000D7431" w:rsidRPr="00B9220B" w:rsidRDefault="000D7431" w:rsidP="000D7431">
            <w:pPr>
              <w:tabs>
                <w:tab w:val="left" w:pos="3960"/>
              </w:tabs>
              <w:spacing w:after="0" w:line="240" w:lineRule="auto"/>
              <w:jc w:val="center"/>
              <w:rPr>
                <w:rFonts w:ascii="Trebuchet MS" w:hAnsi="Trebuchet MS" w:cs="Times New Roman"/>
                <w:b/>
                <w:bCs/>
              </w:rPr>
            </w:pPr>
          </w:p>
          <w:p w:rsidR="000D7431" w:rsidRPr="00B9220B" w:rsidRDefault="00C967A6" w:rsidP="000D7431">
            <w:pPr>
              <w:autoSpaceDE w:val="0"/>
              <w:autoSpaceDN w:val="0"/>
              <w:adjustRightInd w:val="0"/>
              <w:spacing w:after="0"/>
              <w:jc w:val="both"/>
              <w:rPr>
                <w:rFonts w:ascii="Trebuchet MS" w:hAnsi="Trebuchet MS"/>
              </w:rPr>
            </w:pPr>
            <w:r>
              <w:rPr>
                <w:rFonts w:ascii="Trebuchet MS" w:hAnsi="Trebuchet MS"/>
              </w:rPr>
              <w:t xml:space="preserve">Prin Decizia </w:t>
            </w:r>
            <w:r w:rsidRPr="00B9220B">
              <w:rPr>
                <w:rFonts w:ascii="Trebuchet MS" w:hAnsi="Trebuchet MS"/>
              </w:rPr>
              <w:t>nr. 604/2020 referitoare la excepția de neconstituționalitate a dispozițiilor art. 524 alin. (3) din Legea 134/2010 privind Codul de procedură civilă, republicată, cu modificările și completările ulterioare (în continuare, NCPC)</w:t>
            </w:r>
            <w:r>
              <w:rPr>
                <w:rFonts w:ascii="Trebuchet MS" w:hAnsi="Trebuchet MS"/>
              </w:rPr>
              <w:t>,</w:t>
            </w:r>
            <w:r w:rsidR="000D7431" w:rsidRPr="00B9220B">
              <w:rPr>
                <w:rFonts w:ascii="Trebuchet MS" w:hAnsi="Trebuchet MS"/>
              </w:rPr>
              <w:t>publicată în Monitorul Oficial al României, Partea I, nr. 976 din 22 octombrie 2020,,instanța de contencios constituțional a constatat neconformitatea dispozițiilor care stabilesc competența de soluționare, în primă instanță, a contestației privind tergiversarea procesului în sarcina completului care judecă cererea principală cu prevederile art. 21 alin. (3) și art. 124 alin. (2) din Legea fundamentală, precum și</w:t>
            </w:r>
            <w:r w:rsidR="009B7F2A">
              <w:rPr>
                <w:rFonts w:ascii="Trebuchet MS" w:hAnsi="Trebuchet MS"/>
              </w:rPr>
              <w:t xml:space="preserve"> cu</w:t>
            </w:r>
            <w:r w:rsidR="000D7431" w:rsidRPr="00B9220B">
              <w:rPr>
                <w:rFonts w:ascii="Trebuchet MS" w:hAnsi="Trebuchet MS"/>
              </w:rPr>
              <w:t xml:space="preserve"> cele ale art. 6 par. 1 din Convenția pentru apărarea drepturilor omului și a libertăților fundamentale; totodată, Curtea a constatat și nerespectarea dispozițiilor art. 47 privind dreptul la o cale de atac eficientă și la un proces echitabil din Carta drepturilor fundamentale ale Uniunii Europene.</w:t>
            </w:r>
          </w:p>
          <w:p w:rsidR="000D7431" w:rsidRPr="00B9220B" w:rsidRDefault="00B9220B" w:rsidP="000D7431">
            <w:pPr>
              <w:autoSpaceDE w:val="0"/>
              <w:autoSpaceDN w:val="0"/>
              <w:adjustRightInd w:val="0"/>
              <w:spacing w:after="0"/>
              <w:jc w:val="both"/>
              <w:rPr>
                <w:rFonts w:ascii="Trebuchet MS" w:hAnsi="Trebuchet MS"/>
              </w:rPr>
            </w:pPr>
            <w:r w:rsidRPr="00B9220B">
              <w:rPr>
                <w:rFonts w:ascii="Trebuchet MS" w:hAnsi="Trebuchet MS"/>
              </w:rPr>
              <w:t xml:space="preserve">În Decizia amintită, </w:t>
            </w:r>
            <w:r w:rsidR="000D7431" w:rsidRPr="00B9220B">
              <w:rPr>
                <w:rFonts w:ascii="Trebuchet MS" w:hAnsi="Trebuchet MS"/>
              </w:rPr>
              <w:t xml:space="preserve">Curtea a statuat că “24. […] faptul că o </w:t>
            </w:r>
            <w:proofErr w:type="spellStart"/>
            <w:r w:rsidR="000D7431" w:rsidRPr="00B9220B">
              <w:rPr>
                <w:rFonts w:ascii="Trebuchet MS" w:hAnsi="Trebuchet MS"/>
              </w:rPr>
              <w:t>contestaţie</w:t>
            </w:r>
            <w:proofErr w:type="spellEnd"/>
            <w:r w:rsidR="000D7431" w:rsidRPr="00B9220B">
              <w:rPr>
                <w:rFonts w:ascii="Trebuchet MS" w:hAnsi="Trebuchet MS"/>
              </w:rPr>
              <w:t xml:space="preserve"> s-ar judeca mai repede de către completul învestit cu judecarea cauzei în fond sau că acesta </w:t>
            </w:r>
            <w:proofErr w:type="spellStart"/>
            <w:r w:rsidR="000D7431" w:rsidRPr="00B9220B">
              <w:rPr>
                <w:rFonts w:ascii="Trebuchet MS" w:hAnsi="Trebuchet MS"/>
              </w:rPr>
              <w:t>cunoaşte</w:t>
            </w:r>
            <w:proofErr w:type="spellEnd"/>
            <w:r w:rsidR="000D7431" w:rsidRPr="00B9220B">
              <w:rPr>
                <w:rFonts w:ascii="Trebuchet MS" w:hAnsi="Trebuchet MS"/>
              </w:rPr>
              <w:t xml:space="preserve"> mai bine problemele apărute în judecarea cauzei de fond nu justifică </w:t>
            </w:r>
            <w:proofErr w:type="spellStart"/>
            <w:r w:rsidR="000D7431" w:rsidRPr="00B9220B">
              <w:rPr>
                <w:rFonts w:ascii="Trebuchet MS" w:hAnsi="Trebuchet MS"/>
              </w:rPr>
              <w:t>soluţionarea</w:t>
            </w:r>
            <w:proofErr w:type="spellEnd"/>
            <w:r w:rsidR="000D7431" w:rsidRPr="00B9220B">
              <w:rPr>
                <w:rFonts w:ascii="Trebuchet MS" w:hAnsi="Trebuchet MS"/>
              </w:rPr>
              <w:t xml:space="preserve"> </w:t>
            </w:r>
            <w:proofErr w:type="spellStart"/>
            <w:r w:rsidR="000D7431" w:rsidRPr="00B9220B">
              <w:rPr>
                <w:rFonts w:ascii="Trebuchet MS" w:hAnsi="Trebuchet MS"/>
              </w:rPr>
              <w:t>contestaţiei</w:t>
            </w:r>
            <w:proofErr w:type="spellEnd"/>
            <w:r w:rsidR="000D7431" w:rsidRPr="00B9220B">
              <w:rPr>
                <w:rFonts w:ascii="Trebuchet MS" w:hAnsi="Trebuchet MS"/>
              </w:rPr>
              <w:t xml:space="preserve"> cu încălcarea </w:t>
            </w:r>
            <w:proofErr w:type="spellStart"/>
            <w:r w:rsidR="000D7431" w:rsidRPr="00B9220B">
              <w:rPr>
                <w:rFonts w:ascii="Trebuchet MS" w:hAnsi="Trebuchet MS"/>
              </w:rPr>
              <w:t>garanţiilor</w:t>
            </w:r>
            <w:proofErr w:type="spellEnd"/>
            <w:r w:rsidR="000D7431" w:rsidRPr="00B9220B">
              <w:rPr>
                <w:rFonts w:ascii="Trebuchet MS" w:hAnsi="Trebuchet MS"/>
              </w:rPr>
              <w:t xml:space="preserve"> procesuale asociate dreptului la un proces echitabil, </w:t>
            </w:r>
            <w:proofErr w:type="spellStart"/>
            <w:r w:rsidR="000D7431" w:rsidRPr="00B9220B">
              <w:rPr>
                <w:rFonts w:ascii="Trebuchet MS" w:hAnsi="Trebuchet MS"/>
              </w:rPr>
              <w:t>şi</w:t>
            </w:r>
            <w:proofErr w:type="spellEnd"/>
            <w:r w:rsidR="000D7431" w:rsidRPr="00B9220B">
              <w:rPr>
                <w:rFonts w:ascii="Trebuchet MS" w:hAnsi="Trebuchet MS"/>
              </w:rPr>
              <w:t xml:space="preserve"> anume </w:t>
            </w:r>
            <w:proofErr w:type="spellStart"/>
            <w:r w:rsidR="000D7431" w:rsidRPr="00B9220B">
              <w:rPr>
                <w:rFonts w:ascii="Trebuchet MS" w:hAnsi="Trebuchet MS"/>
              </w:rPr>
              <w:t>imparţialitatea</w:t>
            </w:r>
            <w:proofErr w:type="spellEnd"/>
            <w:r w:rsidR="000D7431" w:rsidRPr="00B9220B">
              <w:rPr>
                <w:rFonts w:ascii="Trebuchet MS" w:hAnsi="Trebuchet MS"/>
              </w:rPr>
              <w:t xml:space="preserve"> obiectivă a </w:t>
            </w:r>
            <w:proofErr w:type="spellStart"/>
            <w:r w:rsidR="000D7431" w:rsidRPr="00B9220B">
              <w:rPr>
                <w:rFonts w:ascii="Trebuchet MS" w:hAnsi="Trebuchet MS"/>
              </w:rPr>
              <w:t>instanţei</w:t>
            </w:r>
            <w:proofErr w:type="spellEnd"/>
            <w:r w:rsidR="000D7431" w:rsidRPr="00B9220B">
              <w:rPr>
                <w:rFonts w:ascii="Trebuchet MS" w:hAnsi="Trebuchet MS"/>
              </w:rPr>
              <w:t xml:space="preserve">.”, fiind “25. […] exclusă posibilitatea ca aceasta să fie judecată de </w:t>
            </w:r>
            <w:proofErr w:type="spellStart"/>
            <w:r w:rsidR="000D7431" w:rsidRPr="00B9220B">
              <w:rPr>
                <w:rFonts w:ascii="Trebuchet MS" w:hAnsi="Trebuchet MS"/>
              </w:rPr>
              <w:t>acelaşi</w:t>
            </w:r>
            <w:proofErr w:type="spellEnd"/>
            <w:r w:rsidR="000D7431" w:rsidRPr="00B9220B">
              <w:rPr>
                <w:rFonts w:ascii="Trebuchet MS" w:hAnsi="Trebuchet MS"/>
              </w:rPr>
              <w:t xml:space="preserve"> complet care </w:t>
            </w:r>
            <w:proofErr w:type="spellStart"/>
            <w:r w:rsidR="000D7431" w:rsidRPr="00B9220B">
              <w:rPr>
                <w:rFonts w:ascii="Trebuchet MS" w:hAnsi="Trebuchet MS"/>
              </w:rPr>
              <w:t>soluţionează</w:t>
            </w:r>
            <w:proofErr w:type="spellEnd"/>
            <w:r w:rsidR="000D7431" w:rsidRPr="00B9220B">
              <w:rPr>
                <w:rFonts w:ascii="Trebuchet MS" w:hAnsi="Trebuchet MS"/>
              </w:rPr>
              <w:t xml:space="preserve"> fondul, acestuia lipsindu-i </w:t>
            </w:r>
            <w:proofErr w:type="spellStart"/>
            <w:r w:rsidR="000D7431" w:rsidRPr="00B9220B">
              <w:rPr>
                <w:rFonts w:ascii="Trebuchet MS" w:hAnsi="Trebuchet MS"/>
              </w:rPr>
              <w:t>imparţialitatea</w:t>
            </w:r>
            <w:proofErr w:type="spellEnd"/>
            <w:r w:rsidR="000D7431" w:rsidRPr="00B9220B">
              <w:rPr>
                <w:rFonts w:ascii="Trebuchet MS" w:hAnsi="Trebuchet MS"/>
              </w:rPr>
              <w:t xml:space="preserve"> obiectivă.”. În decizia amintită, instanța de contencios constituțional a arătat și că “26. Faptul că hotărârea de respingere astfel </w:t>
            </w:r>
            <w:proofErr w:type="spellStart"/>
            <w:r w:rsidR="000D7431" w:rsidRPr="00B9220B">
              <w:rPr>
                <w:rFonts w:ascii="Trebuchet MS" w:hAnsi="Trebuchet MS"/>
              </w:rPr>
              <w:t>pronunţată</w:t>
            </w:r>
            <w:proofErr w:type="spellEnd"/>
            <w:r w:rsidR="000D7431" w:rsidRPr="00B9220B">
              <w:rPr>
                <w:rFonts w:ascii="Trebuchet MS" w:hAnsi="Trebuchet MS"/>
              </w:rPr>
              <w:t xml:space="preserve"> poate fi atacată cu plângere la </w:t>
            </w:r>
            <w:proofErr w:type="spellStart"/>
            <w:r w:rsidR="000D7431" w:rsidRPr="00B9220B">
              <w:rPr>
                <w:rFonts w:ascii="Trebuchet MS" w:hAnsi="Trebuchet MS"/>
              </w:rPr>
              <w:t>instanţa</w:t>
            </w:r>
            <w:proofErr w:type="spellEnd"/>
            <w:r w:rsidR="000D7431" w:rsidRPr="00B9220B">
              <w:rPr>
                <w:rFonts w:ascii="Trebuchet MS" w:hAnsi="Trebuchet MS"/>
              </w:rPr>
              <w:t xml:space="preserve"> ierarhic superioară nu echivalează cu înlăturarea sau acoperirea lipsei de </w:t>
            </w:r>
            <w:proofErr w:type="spellStart"/>
            <w:r w:rsidR="000D7431" w:rsidRPr="00B9220B">
              <w:rPr>
                <w:rFonts w:ascii="Trebuchet MS" w:hAnsi="Trebuchet MS"/>
              </w:rPr>
              <w:t>imparţialitate</w:t>
            </w:r>
            <w:proofErr w:type="spellEnd"/>
            <w:r w:rsidR="000D7431" w:rsidRPr="00B9220B">
              <w:rPr>
                <w:rFonts w:ascii="Trebuchet MS" w:hAnsi="Trebuchet MS"/>
              </w:rPr>
              <w:t xml:space="preserve"> obiectivă a primei </w:t>
            </w:r>
            <w:proofErr w:type="spellStart"/>
            <w:r w:rsidR="000D7431" w:rsidRPr="00B9220B">
              <w:rPr>
                <w:rFonts w:ascii="Trebuchet MS" w:hAnsi="Trebuchet MS"/>
              </w:rPr>
              <w:t>instanţe</w:t>
            </w:r>
            <w:proofErr w:type="spellEnd"/>
            <w:r w:rsidR="000D7431" w:rsidRPr="00B9220B">
              <w:rPr>
                <w:rFonts w:ascii="Trebuchet MS" w:hAnsi="Trebuchet MS"/>
              </w:rPr>
              <w:t xml:space="preserve">, ci demonstrează </w:t>
            </w:r>
            <w:proofErr w:type="spellStart"/>
            <w:r w:rsidR="000D7431" w:rsidRPr="00B9220B">
              <w:rPr>
                <w:rFonts w:ascii="Trebuchet MS" w:hAnsi="Trebuchet MS"/>
              </w:rPr>
              <w:t>existenţa</w:t>
            </w:r>
            <w:proofErr w:type="spellEnd"/>
            <w:r w:rsidR="000D7431" w:rsidRPr="00B9220B">
              <w:rPr>
                <w:rFonts w:ascii="Trebuchet MS" w:hAnsi="Trebuchet MS"/>
              </w:rPr>
              <w:t xml:space="preserve"> unui control judiciar asupra </w:t>
            </w:r>
            <w:proofErr w:type="spellStart"/>
            <w:r w:rsidR="000D7431" w:rsidRPr="00B9220B">
              <w:rPr>
                <w:rFonts w:ascii="Trebuchet MS" w:hAnsi="Trebuchet MS"/>
              </w:rPr>
              <w:t>soluţiei</w:t>
            </w:r>
            <w:proofErr w:type="spellEnd"/>
            <w:r w:rsidR="000D7431" w:rsidRPr="00B9220B">
              <w:rPr>
                <w:rFonts w:ascii="Trebuchet MS" w:hAnsi="Trebuchet MS"/>
              </w:rPr>
              <w:t xml:space="preserve"> dispuse de prima </w:t>
            </w:r>
            <w:proofErr w:type="spellStart"/>
            <w:r w:rsidR="000D7431" w:rsidRPr="00B9220B">
              <w:rPr>
                <w:rFonts w:ascii="Trebuchet MS" w:hAnsi="Trebuchet MS"/>
              </w:rPr>
              <w:t>instanţă</w:t>
            </w:r>
            <w:proofErr w:type="spellEnd"/>
            <w:r w:rsidR="000D7431" w:rsidRPr="00B9220B">
              <w:rPr>
                <w:rFonts w:ascii="Trebuchet MS" w:hAnsi="Trebuchet MS"/>
              </w:rPr>
              <w:t xml:space="preserve"> în vederea remedierii hotărârii </w:t>
            </w:r>
            <w:proofErr w:type="spellStart"/>
            <w:r w:rsidR="000D7431" w:rsidRPr="00B9220B">
              <w:rPr>
                <w:rFonts w:ascii="Trebuchet MS" w:hAnsi="Trebuchet MS"/>
              </w:rPr>
              <w:t>iniţiale</w:t>
            </w:r>
            <w:proofErr w:type="spellEnd"/>
            <w:r w:rsidR="000D7431" w:rsidRPr="00B9220B">
              <w:rPr>
                <w:rFonts w:ascii="Trebuchet MS" w:hAnsi="Trebuchet MS"/>
              </w:rPr>
              <w:t xml:space="preserve">. Având în vedere că hotărârea primei </w:t>
            </w:r>
            <w:proofErr w:type="spellStart"/>
            <w:r w:rsidR="000D7431" w:rsidRPr="00B9220B">
              <w:rPr>
                <w:rFonts w:ascii="Trebuchet MS" w:hAnsi="Trebuchet MS"/>
              </w:rPr>
              <w:t>instanţe</w:t>
            </w:r>
            <w:proofErr w:type="spellEnd"/>
            <w:r w:rsidR="000D7431" w:rsidRPr="00B9220B">
              <w:rPr>
                <w:rFonts w:ascii="Trebuchet MS" w:hAnsi="Trebuchet MS"/>
              </w:rPr>
              <w:t xml:space="preserve"> este întotdeauna dată cu nerespectarea principiului </w:t>
            </w:r>
            <w:proofErr w:type="spellStart"/>
            <w:r w:rsidR="000D7431" w:rsidRPr="00B9220B">
              <w:rPr>
                <w:rFonts w:ascii="Trebuchet MS" w:hAnsi="Trebuchet MS"/>
              </w:rPr>
              <w:t>imparţialităţii</w:t>
            </w:r>
            <w:proofErr w:type="spellEnd"/>
            <w:r w:rsidR="000D7431" w:rsidRPr="00B9220B">
              <w:rPr>
                <w:rFonts w:ascii="Trebuchet MS" w:hAnsi="Trebuchet MS"/>
              </w:rPr>
              <w:t xml:space="preserve"> obiective, rezultă că, în realitate, există doar un singur grad de </w:t>
            </w:r>
            <w:proofErr w:type="spellStart"/>
            <w:r w:rsidR="000D7431" w:rsidRPr="00B9220B">
              <w:rPr>
                <w:rFonts w:ascii="Trebuchet MS" w:hAnsi="Trebuchet MS"/>
              </w:rPr>
              <w:t>jurisdicţie</w:t>
            </w:r>
            <w:proofErr w:type="spellEnd"/>
            <w:r w:rsidR="000D7431" w:rsidRPr="00B9220B">
              <w:rPr>
                <w:rFonts w:ascii="Trebuchet MS" w:hAnsi="Trebuchet MS"/>
              </w:rPr>
              <w:t xml:space="preserve"> care </w:t>
            </w:r>
            <w:proofErr w:type="spellStart"/>
            <w:r w:rsidR="000D7431" w:rsidRPr="00B9220B">
              <w:rPr>
                <w:rFonts w:ascii="Trebuchet MS" w:hAnsi="Trebuchet MS"/>
              </w:rPr>
              <w:t>îndeplineşte</w:t>
            </w:r>
            <w:proofErr w:type="spellEnd"/>
            <w:r w:rsidR="000D7431" w:rsidRPr="00B9220B">
              <w:rPr>
                <w:rFonts w:ascii="Trebuchet MS" w:hAnsi="Trebuchet MS"/>
              </w:rPr>
              <w:t xml:space="preserve"> </w:t>
            </w:r>
            <w:proofErr w:type="spellStart"/>
            <w:r w:rsidR="000D7431" w:rsidRPr="00B9220B">
              <w:rPr>
                <w:rFonts w:ascii="Trebuchet MS" w:hAnsi="Trebuchet MS"/>
              </w:rPr>
              <w:t>exigenţele</w:t>
            </w:r>
            <w:proofErr w:type="spellEnd"/>
            <w:r w:rsidR="000D7431" w:rsidRPr="00B9220B">
              <w:rPr>
                <w:rFonts w:ascii="Trebuchet MS" w:hAnsi="Trebuchet MS"/>
              </w:rPr>
              <w:t xml:space="preserve"> dreptului la un proces echitabil, </w:t>
            </w:r>
            <w:proofErr w:type="spellStart"/>
            <w:r w:rsidR="000D7431" w:rsidRPr="00B9220B">
              <w:rPr>
                <w:rFonts w:ascii="Trebuchet MS" w:hAnsi="Trebuchet MS"/>
              </w:rPr>
              <w:t>şi</w:t>
            </w:r>
            <w:proofErr w:type="spellEnd"/>
            <w:r w:rsidR="000D7431" w:rsidRPr="00B9220B">
              <w:rPr>
                <w:rFonts w:ascii="Trebuchet MS" w:hAnsi="Trebuchet MS"/>
              </w:rPr>
              <w:t xml:space="preserve"> anume plângerea. Primul nivel de </w:t>
            </w:r>
            <w:proofErr w:type="spellStart"/>
            <w:r w:rsidR="000D7431" w:rsidRPr="00B9220B">
              <w:rPr>
                <w:rFonts w:ascii="Trebuchet MS" w:hAnsi="Trebuchet MS"/>
              </w:rPr>
              <w:t>jurisdicţie</w:t>
            </w:r>
            <w:proofErr w:type="spellEnd"/>
            <w:r w:rsidR="000D7431" w:rsidRPr="00B9220B">
              <w:rPr>
                <w:rFonts w:ascii="Trebuchet MS" w:hAnsi="Trebuchet MS"/>
              </w:rPr>
              <w:t xml:space="preserve"> este inutil </w:t>
            </w:r>
            <w:proofErr w:type="spellStart"/>
            <w:r w:rsidR="000D7431" w:rsidRPr="00B9220B">
              <w:rPr>
                <w:rFonts w:ascii="Trebuchet MS" w:hAnsi="Trebuchet MS"/>
              </w:rPr>
              <w:t>şi</w:t>
            </w:r>
            <w:proofErr w:type="spellEnd"/>
            <w:r w:rsidR="000D7431" w:rsidRPr="00B9220B">
              <w:rPr>
                <w:rFonts w:ascii="Trebuchet MS" w:hAnsi="Trebuchet MS"/>
              </w:rPr>
              <w:t xml:space="preserve"> inefectiv din perspectiva dreptului la un proces echitabil, pentru că nu respectă o </w:t>
            </w:r>
            <w:proofErr w:type="spellStart"/>
            <w:r w:rsidR="000D7431" w:rsidRPr="00B9220B">
              <w:rPr>
                <w:rFonts w:ascii="Trebuchet MS" w:hAnsi="Trebuchet MS"/>
              </w:rPr>
              <w:t>cerinţă</w:t>
            </w:r>
            <w:proofErr w:type="spellEnd"/>
            <w:r w:rsidR="000D7431" w:rsidRPr="00B9220B">
              <w:rPr>
                <w:rFonts w:ascii="Trebuchet MS" w:hAnsi="Trebuchet MS"/>
              </w:rPr>
              <w:t xml:space="preserve"> </w:t>
            </w:r>
            <w:proofErr w:type="spellStart"/>
            <w:r w:rsidR="000D7431" w:rsidRPr="00B9220B">
              <w:rPr>
                <w:rFonts w:ascii="Trebuchet MS" w:hAnsi="Trebuchet MS"/>
              </w:rPr>
              <w:t>esenţială</w:t>
            </w:r>
            <w:proofErr w:type="spellEnd"/>
            <w:r w:rsidR="000D7431" w:rsidRPr="00B9220B">
              <w:rPr>
                <w:rFonts w:ascii="Trebuchet MS" w:hAnsi="Trebuchet MS"/>
              </w:rPr>
              <w:t xml:space="preserve"> a acestuia, </w:t>
            </w:r>
            <w:proofErr w:type="spellStart"/>
            <w:r w:rsidR="000D7431" w:rsidRPr="00B9220B">
              <w:rPr>
                <w:rFonts w:ascii="Trebuchet MS" w:hAnsi="Trebuchet MS"/>
              </w:rPr>
              <w:t>şi</w:t>
            </w:r>
            <w:proofErr w:type="spellEnd"/>
            <w:r w:rsidR="000D7431" w:rsidRPr="00B9220B">
              <w:rPr>
                <w:rFonts w:ascii="Trebuchet MS" w:hAnsi="Trebuchet MS"/>
              </w:rPr>
              <w:t xml:space="preserve">, în </w:t>
            </w:r>
            <w:proofErr w:type="spellStart"/>
            <w:r w:rsidR="000D7431" w:rsidRPr="00B9220B">
              <w:rPr>
                <w:rFonts w:ascii="Trebuchet MS" w:hAnsi="Trebuchet MS"/>
              </w:rPr>
              <w:t>consecinţă</w:t>
            </w:r>
            <w:proofErr w:type="spellEnd"/>
            <w:r w:rsidR="000D7431" w:rsidRPr="00B9220B">
              <w:rPr>
                <w:rFonts w:ascii="Trebuchet MS" w:hAnsi="Trebuchet MS"/>
              </w:rPr>
              <w:t xml:space="preserve">, este contrar art. 21 alin. (3) </w:t>
            </w:r>
            <w:proofErr w:type="spellStart"/>
            <w:r w:rsidR="000D7431" w:rsidRPr="00B9220B">
              <w:rPr>
                <w:rFonts w:ascii="Trebuchet MS" w:hAnsi="Trebuchet MS"/>
              </w:rPr>
              <w:t>şi</w:t>
            </w:r>
            <w:proofErr w:type="spellEnd"/>
            <w:r w:rsidR="000D7431" w:rsidRPr="00B9220B">
              <w:rPr>
                <w:rFonts w:ascii="Trebuchet MS" w:hAnsi="Trebuchet MS"/>
              </w:rPr>
              <w:t xml:space="preserve"> art. 124 alin. (2) din </w:t>
            </w:r>
            <w:proofErr w:type="spellStart"/>
            <w:r w:rsidR="000D7431" w:rsidRPr="00B9220B">
              <w:rPr>
                <w:rFonts w:ascii="Trebuchet MS" w:hAnsi="Trebuchet MS"/>
              </w:rPr>
              <w:t>Constituţie</w:t>
            </w:r>
            <w:proofErr w:type="spellEnd"/>
            <w:r w:rsidR="000D7431" w:rsidRPr="00B9220B">
              <w:rPr>
                <w:rFonts w:ascii="Trebuchet MS" w:hAnsi="Trebuchet MS"/>
              </w:rPr>
              <w:t>.”</w:t>
            </w:r>
          </w:p>
          <w:p w:rsidR="000D7431" w:rsidRPr="00B9220B" w:rsidRDefault="00B9220B" w:rsidP="000D7431">
            <w:pPr>
              <w:autoSpaceDE w:val="0"/>
              <w:autoSpaceDN w:val="0"/>
              <w:adjustRightInd w:val="0"/>
              <w:spacing w:after="0"/>
              <w:jc w:val="both"/>
              <w:rPr>
                <w:rFonts w:ascii="Trebuchet MS" w:hAnsi="Trebuchet MS"/>
              </w:rPr>
            </w:pPr>
            <w:r w:rsidRPr="00B9220B">
              <w:rPr>
                <w:rFonts w:ascii="Trebuchet MS" w:hAnsi="Trebuchet MS"/>
              </w:rPr>
              <w:t>Totodată</w:t>
            </w:r>
            <w:r w:rsidR="000D7431" w:rsidRPr="00B9220B">
              <w:rPr>
                <w:rFonts w:ascii="Trebuchet MS" w:hAnsi="Trebuchet MS"/>
              </w:rPr>
              <w:t>, Curtea Constituțională a</w:t>
            </w:r>
            <w:r w:rsidR="00A72C85">
              <w:rPr>
                <w:rFonts w:ascii="Trebuchet MS" w:hAnsi="Trebuchet MS"/>
              </w:rPr>
              <w:t xml:space="preserve"> </w:t>
            </w:r>
            <w:r w:rsidR="000D7431" w:rsidRPr="00B9220B">
              <w:rPr>
                <w:rFonts w:ascii="Trebuchet MS" w:hAnsi="Trebuchet MS"/>
              </w:rPr>
              <w:t xml:space="preserve">reținut că: “27. Potrivit prevederilor art. 129 din </w:t>
            </w:r>
            <w:proofErr w:type="spellStart"/>
            <w:r w:rsidR="000D7431" w:rsidRPr="00B9220B">
              <w:rPr>
                <w:rFonts w:ascii="Trebuchet MS" w:hAnsi="Trebuchet MS"/>
              </w:rPr>
              <w:t>Constituţie</w:t>
            </w:r>
            <w:proofErr w:type="spellEnd"/>
            <w:r w:rsidR="000D7431" w:rsidRPr="00B9220B">
              <w:rPr>
                <w:rFonts w:ascii="Trebuchet MS" w:hAnsi="Trebuchet MS"/>
              </w:rPr>
              <w:t xml:space="preserve">, împotriva hotărârilor </w:t>
            </w:r>
            <w:proofErr w:type="spellStart"/>
            <w:r w:rsidR="000D7431" w:rsidRPr="00B9220B">
              <w:rPr>
                <w:rFonts w:ascii="Trebuchet MS" w:hAnsi="Trebuchet MS"/>
              </w:rPr>
              <w:t>judecătoreşti</w:t>
            </w:r>
            <w:proofErr w:type="spellEnd"/>
            <w:r w:rsidR="000D7431" w:rsidRPr="00B9220B">
              <w:rPr>
                <w:rFonts w:ascii="Trebuchet MS" w:hAnsi="Trebuchet MS"/>
              </w:rPr>
              <w:t xml:space="preserve">, </w:t>
            </w:r>
            <w:proofErr w:type="spellStart"/>
            <w:r w:rsidR="000D7431" w:rsidRPr="00B9220B">
              <w:rPr>
                <w:rFonts w:ascii="Trebuchet MS" w:hAnsi="Trebuchet MS"/>
              </w:rPr>
              <w:t>părţile</w:t>
            </w:r>
            <w:proofErr w:type="spellEnd"/>
            <w:r w:rsidR="000D7431" w:rsidRPr="00B9220B">
              <w:rPr>
                <w:rFonts w:ascii="Trebuchet MS" w:hAnsi="Trebuchet MS"/>
              </w:rPr>
              <w:t xml:space="preserve"> interesate </w:t>
            </w:r>
            <w:proofErr w:type="spellStart"/>
            <w:r w:rsidR="000D7431" w:rsidRPr="00B9220B">
              <w:rPr>
                <w:rFonts w:ascii="Trebuchet MS" w:hAnsi="Trebuchet MS"/>
              </w:rPr>
              <w:t>şi</w:t>
            </w:r>
            <w:proofErr w:type="spellEnd"/>
            <w:r w:rsidR="000D7431" w:rsidRPr="00B9220B">
              <w:rPr>
                <w:rFonts w:ascii="Trebuchet MS" w:hAnsi="Trebuchet MS"/>
              </w:rPr>
              <w:t xml:space="preserve"> Ministerul Public pot exercita căile de atac, în </w:t>
            </w:r>
            <w:proofErr w:type="spellStart"/>
            <w:r w:rsidR="000D7431" w:rsidRPr="00B9220B">
              <w:rPr>
                <w:rFonts w:ascii="Trebuchet MS" w:hAnsi="Trebuchet MS"/>
              </w:rPr>
              <w:t>condiţiile</w:t>
            </w:r>
            <w:proofErr w:type="spellEnd"/>
            <w:r w:rsidR="000D7431" w:rsidRPr="00B9220B">
              <w:rPr>
                <w:rFonts w:ascii="Trebuchet MS" w:hAnsi="Trebuchet MS"/>
              </w:rPr>
              <w:t xml:space="preserve"> legii. În virtutea acestui mandat </w:t>
            </w:r>
            <w:proofErr w:type="spellStart"/>
            <w:r w:rsidR="000D7431" w:rsidRPr="00B9220B">
              <w:rPr>
                <w:rFonts w:ascii="Trebuchet MS" w:hAnsi="Trebuchet MS"/>
              </w:rPr>
              <w:t>constituţional</w:t>
            </w:r>
            <w:proofErr w:type="spellEnd"/>
            <w:r w:rsidR="000D7431" w:rsidRPr="00B9220B">
              <w:rPr>
                <w:rFonts w:ascii="Trebuchet MS" w:hAnsi="Trebuchet MS"/>
              </w:rPr>
              <w:t xml:space="preserve">, legiuitorul are </w:t>
            </w:r>
            <w:proofErr w:type="spellStart"/>
            <w:r w:rsidR="000D7431" w:rsidRPr="00B9220B">
              <w:rPr>
                <w:rFonts w:ascii="Trebuchet MS" w:hAnsi="Trebuchet MS"/>
              </w:rPr>
              <w:t>competenţa</w:t>
            </w:r>
            <w:proofErr w:type="spellEnd"/>
            <w:r w:rsidR="000D7431" w:rsidRPr="00B9220B">
              <w:rPr>
                <w:rFonts w:ascii="Trebuchet MS" w:hAnsi="Trebuchet MS"/>
              </w:rPr>
              <w:t xml:space="preserve"> de a adopta reglementări cu caracter general sau special, derogatoriu, cu aplicabilitate la anumite </w:t>
            </w:r>
            <w:proofErr w:type="spellStart"/>
            <w:r w:rsidR="000D7431" w:rsidRPr="00B9220B">
              <w:rPr>
                <w:rFonts w:ascii="Trebuchet MS" w:hAnsi="Trebuchet MS"/>
              </w:rPr>
              <w:t>situaţii</w:t>
            </w:r>
            <w:proofErr w:type="spellEnd"/>
            <w:r w:rsidR="000D7431" w:rsidRPr="00B9220B">
              <w:rPr>
                <w:rFonts w:ascii="Trebuchet MS" w:hAnsi="Trebuchet MS"/>
              </w:rPr>
              <w:t xml:space="preserve">, în mod egal, pentru </w:t>
            </w:r>
            <w:proofErr w:type="spellStart"/>
            <w:r w:rsidR="000D7431" w:rsidRPr="00B9220B">
              <w:rPr>
                <w:rFonts w:ascii="Trebuchet MS" w:hAnsi="Trebuchet MS"/>
              </w:rPr>
              <w:t>toţi</w:t>
            </w:r>
            <w:proofErr w:type="spellEnd"/>
            <w:r w:rsidR="000D7431" w:rsidRPr="00B9220B">
              <w:rPr>
                <w:rFonts w:ascii="Trebuchet MS" w:hAnsi="Trebuchet MS"/>
              </w:rPr>
              <w:t xml:space="preserve"> cei </w:t>
            </w:r>
            <w:proofErr w:type="spellStart"/>
            <w:r w:rsidR="000D7431" w:rsidRPr="00B9220B">
              <w:rPr>
                <w:rFonts w:ascii="Trebuchet MS" w:hAnsi="Trebuchet MS"/>
              </w:rPr>
              <w:t>interesaţi</w:t>
            </w:r>
            <w:proofErr w:type="spellEnd"/>
            <w:r w:rsidR="000D7431" w:rsidRPr="00B9220B">
              <w:rPr>
                <w:rFonts w:ascii="Trebuchet MS" w:hAnsi="Trebuchet MS"/>
              </w:rPr>
              <w:t xml:space="preserve"> în exercitarea </w:t>
            </w:r>
            <w:proofErr w:type="spellStart"/>
            <w:r w:rsidR="000D7431" w:rsidRPr="00B9220B">
              <w:rPr>
                <w:rFonts w:ascii="Trebuchet MS" w:hAnsi="Trebuchet MS"/>
              </w:rPr>
              <w:t>aceloraşi</w:t>
            </w:r>
            <w:proofErr w:type="spellEnd"/>
            <w:r w:rsidR="000D7431" w:rsidRPr="00B9220B">
              <w:rPr>
                <w:rFonts w:ascii="Trebuchet MS" w:hAnsi="Trebuchet MS"/>
              </w:rPr>
              <w:t xml:space="preserve"> categorii de drepturi sau în îndeplinirea </w:t>
            </w:r>
            <w:proofErr w:type="spellStart"/>
            <w:r w:rsidR="000D7431" w:rsidRPr="00B9220B">
              <w:rPr>
                <w:rFonts w:ascii="Trebuchet MS" w:hAnsi="Trebuchet MS"/>
              </w:rPr>
              <w:t>aceloraşi</w:t>
            </w:r>
            <w:proofErr w:type="spellEnd"/>
            <w:r w:rsidR="000D7431" w:rsidRPr="00B9220B">
              <w:rPr>
                <w:rFonts w:ascii="Trebuchet MS" w:hAnsi="Trebuchet MS"/>
              </w:rPr>
              <w:t xml:space="preserve"> categorii de </w:t>
            </w:r>
            <w:proofErr w:type="spellStart"/>
            <w:r w:rsidR="000D7431" w:rsidRPr="00B9220B">
              <w:rPr>
                <w:rFonts w:ascii="Trebuchet MS" w:hAnsi="Trebuchet MS"/>
              </w:rPr>
              <w:t>obligaţii</w:t>
            </w:r>
            <w:proofErr w:type="spellEnd"/>
            <w:r w:rsidR="000D7431" w:rsidRPr="00B9220B">
              <w:rPr>
                <w:rFonts w:ascii="Trebuchet MS" w:hAnsi="Trebuchet MS"/>
              </w:rPr>
              <w:t xml:space="preserve">. Totodată, potrivit art. 126 alin. (2) din </w:t>
            </w:r>
            <w:proofErr w:type="spellStart"/>
            <w:r w:rsidR="000D7431" w:rsidRPr="00B9220B">
              <w:rPr>
                <w:rFonts w:ascii="Trebuchet MS" w:hAnsi="Trebuchet MS"/>
              </w:rPr>
              <w:t>Constituţie</w:t>
            </w:r>
            <w:proofErr w:type="spellEnd"/>
            <w:r w:rsidR="000D7431" w:rsidRPr="00B9220B">
              <w:rPr>
                <w:rFonts w:ascii="Trebuchet MS" w:hAnsi="Trebuchet MS"/>
              </w:rPr>
              <w:t xml:space="preserve">, legiuitorul este în drept să stabilească procedura de judecată. 28. Curtea constată că </w:t>
            </w:r>
            <w:proofErr w:type="spellStart"/>
            <w:r w:rsidR="000D7431" w:rsidRPr="00B9220B">
              <w:rPr>
                <w:rFonts w:ascii="Trebuchet MS" w:hAnsi="Trebuchet MS"/>
              </w:rPr>
              <w:t>ţine</w:t>
            </w:r>
            <w:proofErr w:type="spellEnd"/>
            <w:r w:rsidR="000D7431" w:rsidRPr="00B9220B">
              <w:rPr>
                <w:rFonts w:ascii="Trebuchet MS" w:hAnsi="Trebuchet MS"/>
              </w:rPr>
              <w:t xml:space="preserve"> de </w:t>
            </w:r>
            <w:proofErr w:type="spellStart"/>
            <w:r w:rsidR="000D7431" w:rsidRPr="00B9220B">
              <w:rPr>
                <w:rFonts w:ascii="Trebuchet MS" w:hAnsi="Trebuchet MS"/>
              </w:rPr>
              <w:t>opţiunea</w:t>
            </w:r>
            <w:proofErr w:type="spellEnd"/>
            <w:r w:rsidR="000D7431" w:rsidRPr="00B9220B">
              <w:rPr>
                <w:rFonts w:ascii="Trebuchet MS" w:hAnsi="Trebuchet MS"/>
              </w:rPr>
              <w:t xml:space="preserve"> legiuitorului să </w:t>
            </w:r>
            <w:r w:rsidR="000D7431" w:rsidRPr="00B9220B">
              <w:rPr>
                <w:rFonts w:ascii="Trebuchet MS" w:hAnsi="Trebuchet MS"/>
              </w:rPr>
              <w:lastRenderedPageBreak/>
              <w:t>reglementeze o procedură în două trepte (</w:t>
            </w:r>
            <w:proofErr w:type="spellStart"/>
            <w:r w:rsidR="000D7431" w:rsidRPr="00B9220B">
              <w:rPr>
                <w:rFonts w:ascii="Trebuchet MS" w:hAnsi="Trebuchet MS"/>
              </w:rPr>
              <w:t>contestaţie</w:t>
            </w:r>
            <w:proofErr w:type="spellEnd"/>
            <w:r w:rsidR="000D7431" w:rsidRPr="00B9220B">
              <w:rPr>
                <w:rFonts w:ascii="Trebuchet MS" w:hAnsi="Trebuchet MS"/>
              </w:rPr>
              <w:t xml:space="preserve"> </w:t>
            </w:r>
            <w:proofErr w:type="spellStart"/>
            <w:r w:rsidR="000D7431" w:rsidRPr="00B9220B">
              <w:rPr>
                <w:rFonts w:ascii="Trebuchet MS" w:hAnsi="Trebuchet MS"/>
              </w:rPr>
              <w:t>şi</w:t>
            </w:r>
            <w:proofErr w:type="spellEnd"/>
            <w:r w:rsidR="000D7431" w:rsidRPr="00B9220B">
              <w:rPr>
                <w:rFonts w:ascii="Trebuchet MS" w:hAnsi="Trebuchet MS"/>
              </w:rPr>
              <w:t xml:space="preserve"> plângere) sau într-o singură treaptă (</w:t>
            </w:r>
            <w:proofErr w:type="spellStart"/>
            <w:r w:rsidR="000D7431" w:rsidRPr="00B9220B">
              <w:rPr>
                <w:rFonts w:ascii="Trebuchet MS" w:hAnsi="Trebuchet MS"/>
              </w:rPr>
              <w:t>contestaţie</w:t>
            </w:r>
            <w:proofErr w:type="spellEnd"/>
            <w:r w:rsidR="000D7431" w:rsidRPr="00B9220B">
              <w:rPr>
                <w:rFonts w:ascii="Trebuchet MS" w:hAnsi="Trebuchet MS"/>
              </w:rPr>
              <w:t xml:space="preserve">), caz în care cererea ar fi fost judecată numai de </w:t>
            </w:r>
            <w:proofErr w:type="spellStart"/>
            <w:r w:rsidR="000D7431" w:rsidRPr="00B9220B">
              <w:rPr>
                <w:rFonts w:ascii="Trebuchet MS" w:hAnsi="Trebuchet MS"/>
              </w:rPr>
              <w:t>instanţa</w:t>
            </w:r>
            <w:proofErr w:type="spellEnd"/>
            <w:r w:rsidR="000D7431" w:rsidRPr="00B9220B">
              <w:rPr>
                <w:rFonts w:ascii="Trebuchet MS" w:hAnsi="Trebuchet MS"/>
              </w:rPr>
              <w:t xml:space="preserve"> ierarhic superioară (precum în Codul de procedură penală), însă </w:t>
            </w:r>
            <w:proofErr w:type="spellStart"/>
            <w:r w:rsidR="000D7431" w:rsidRPr="00B9220B">
              <w:rPr>
                <w:rFonts w:ascii="Trebuchet MS" w:hAnsi="Trebuchet MS"/>
              </w:rPr>
              <w:t>soluţiile</w:t>
            </w:r>
            <w:proofErr w:type="spellEnd"/>
            <w:r w:rsidR="000D7431" w:rsidRPr="00B9220B">
              <w:rPr>
                <w:rFonts w:ascii="Trebuchet MS" w:hAnsi="Trebuchet MS"/>
              </w:rPr>
              <w:t xml:space="preserve"> legislative promovate în urma </w:t>
            </w:r>
            <w:proofErr w:type="spellStart"/>
            <w:r w:rsidR="000D7431" w:rsidRPr="00B9220B">
              <w:rPr>
                <w:rFonts w:ascii="Trebuchet MS" w:hAnsi="Trebuchet MS"/>
              </w:rPr>
              <w:t>opţiunii</w:t>
            </w:r>
            <w:proofErr w:type="spellEnd"/>
            <w:r w:rsidR="000D7431" w:rsidRPr="00B9220B">
              <w:rPr>
                <w:rFonts w:ascii="Trebuchet MS" w:hAnsi="Trebuchet MS"/>
              </w:rPr>
              <w:t xml:space="preserve"> realizate trebuie să respecte drepturile </w:t>
            </w:r>
            <w:proofErr w:type="spellStart"/>
            <w:r w:rsidR="000D7431" w:rsidRPr="00B9220B">
              <w:rPr>
                <w:rFonts w:ascii="Trebuchet MS" w:hAnsi="Trebuchet MS"/>
              </w:rPr>
              <w:t>şi</w:t>
            </w:r>
            <w:proofErr w:type="spellEnd"/>
            <w:r w:rsidR="000D7431" w:rsidRPr="00B9220B">
              <w:rPr>
                <w:rFonts w:ascii="Trebuchet MS" w:hAnsi="Trebuchet MS"/>
              </w:rPr>
              <w:t xml:space="preserve"> </w:t>
            </w:r>
            <w:proofErr w:type="spellStart"/>
            <w:r w:rsidR="000D7431" w:rsidRPr="00B9220B">
              <w:rPr>
                <w:rFonts w:ascii="Trebuchet MS" w:hAnsi="Trebuchet MS"/>
              </w:rPr>
              <w:t>libertăţile</w:t>
            </w:r>
            <w:proofErr w:type="spellEnd"/>
            <w:r w:rsidR="000D7431" w:rsidRPr="00B9220B">
              <w:rPr>
                <w:rFonts w:ascii="Trebuchet MS" w:hAnsi="Trebuchet MS"/>
              </w:rPr>
              <w:t xml:space="preserve"> fundamentale. [...]”.</w:t>
            </w:r>
          </w:p>
          <w:p w:rsidR="00CC2F5E" w:rsidRPr="00B9220B" w:rsidRDefault="00B9220B" w:rsidP="00B9220B">
            <w:pPr>
              <w:autoSpaceDE w:val="0"/>
              <w:autoSpaceDN w:val="0"/>
              <w:adjustRightInd w:val="0"/>
              <w:spacing w:after="0"/>
              <w:jc w:val="both"/>
              <w:rPr>
                <w:rFonts w:ascii="Trebuchet MS" w:eastAsia="Batang" w:hAnsi="Trebuchet MS" w:cs="Times New Roman"/>
                <w:lang w:eastAsia="ko-KR"/>
              </w:rPr>
            </w:pPr>
            <w:r w:rsidRPr="00B9220B">
              <w:rPr>
                <w:rFonts w:ascii="Trebuchet MS" w:hAnsi="Trebuchet MS"/>
              </w:rPr>
              <w:t xml:space="preserve">Potrivit prevederilor art. 147 alin. (1) din Constituția României, republicată, de la data publicării deciziei Curții Constituționale în Monitorul Oficial al României, dispozițiile constatate ca fiind </w:t>
            </w:r>
            <w:proofErr w:type="spellStart"/>
            <w:r w:rsidRPr="00B9220B">
              <w:rPr>
                <w:rFonts w:ascii="Trebuchet MS" w:hAnsi="Trebuchet MS"/>
              </w:rPr>
              <w:t>neconstituţionale</w:t>
            </w:r>
            <w:proofErr w:type="spellEnd"/>
            <w:r w:rsidRPr="00B9220B">
              <w:rPr>
                <w:rFonts w:ascii="Trebuchet MS" w:hAnsi="Trebuchet MS"/>
              </w:rPr>
              <w:t xml:space="preserve"> vor fi suspendate de drept, urmând a-</w:t>
            </w:r>
            <w:proofErr w:type="spellStart"/>
            <w:r w:rsidRPr="00B9220B">
              <w:rPr>
                <w:rFonts w:ascii="Trebuchet MS" w:hAnsi="Trebuchet MS"/>
              </w:rPr>
              <w:t>şi</w:t>
            </w:r>
            <w:proofErr w:type="spellEnd"/>
            <w:r w:rsidRPr="00B9220B">
              <w:rPr>
                <w:rFonts w:ascii="Trebuchet MS" w:hAnsi="Trebuchet MS"/>
              </w:rPr>
              <w:t xml:space="preserve"> înceta efectele juridice la 45 de zile de la publicare dacă, în acest interval, Parlamentul sau Guvernul, după caz, nu pun de acord prevederile </w:t>
            </w:r>
            <w:proofErr w:type="spellStart"/>
            <w:r w:rsidRPr="00B9220B">
              <w:rPr>
                <w:rFonts w:ascii="Trebuchet MS" w:hAnsi="Trebuchet MS"/>
              </w:rPr>
              <w:t>neconstituţionale</w:t>
            </w:r>
            <w:proofErr w:type="spellEnd"/>
            <w:r w:rsidRPr="00B9220B">
              <w:rPr>
                <w:rFonts w:ascii="Trebuchet MS" w:hAnsi="Trebuchet MS"/>
              </w:rPr>
              <w:t xml:space="preserve"> cu </w:t>
            </w:r>
            <w:proofErr w:type="spellStart"/>
            <w:r w:rsidRPr="00B9220B">
              <w:rPr>
                <w:rFonts w:ascii="Trebuchet MS" w:hAnsi="Trebuchet MS"/>
              </w:rPr>
              <w:t>dispoziţiile</w:t>
            </w:r>
            <w:proofErr w:type="spellEnd"/>
            <w:r w:rsidRPr="00B9220B">
              <w:rPr>
                <w:rFonts w:ascii="Trebuchet MS" w:hAnsi="Trebuchet MS"/>
              </w:rPr>
              <w:t xml:space="preserve"> </w:t>
            </w:r>
            <w:proofErr w:type="spellStart"/>
            <w:r w:rsidRPr="00B9220B">
              <w:rPr>
                <w:rFonts w:ascii="Trebuchet MS" w:hAnsi="Trebuchet MS"/>
              </w:rPr>
              <w:t>Constituţiei</w:t>
            </w:r>
            <w:proofErr w:type="spellEnd"/>
            <w:r w:rsidRPr="00B9220B">
              <w:rPr>
                <w:rFonts w:ascii="Trebuchet MS" w:hAnsi="Trebuchet MS"/>
              </w:rPr>
              <w:t xml:space="preserve">, pe durata acestui termen, </w:t>
            </w:r>
            <w:proofErr w:type="spellStart"/>
            <w:r w:rsidRPr="00B9220B">
              <w:rPr>
                <w:rFonts w:ascii="Trebuchet MS" w:hAnsi="Trebuchet MS"/>
              </w:rPr>
              <w:t>dispoziţiile</w:t>
            </w:r>
            <w:proofErr w:type="spellEnd"/>
            <w:r w:rsidRPr="00B9220B">
              <w:rPr>
                <w:rFonts w:ascii="Trebuchet MS" w:hAnsi="Trebuchet MS"/>
              </w:rPr>
              <w:t xml:space="preserve"> constatate ca fiind </w:t>
            </w:r>
            <w:proofErr w:type="spellStart"/>
            <w:r w:rsidRPr="00B9220B">
              <w:rPr>
                <w:rFonts w:ascii="Trebuchet MS" w:hAnsi="Trebuchet MS"/>
              </w:rPr>
              <w:t>neconstituţionale</w:t>
            </w:r>
            <w:proofErr w:type="spellEnd"/>
            <w:r w:rsidRPr="00B9220B">
              <w:rPr>
                <w:rFonts w:ascii="Trebuchet MS" w:hAnsi="Trebuchet MS"/>
              </w:rPr>
              <w:t xml:space="preserve"> fiind suspendate de drept.</w:t>
            </w:r>
          </w:p>
        </w:tc>
      </w:tr>
      <w:tr w:rsidR="00731DC3" w:rsidRPr="00B9220B" w:rsidTr="00497023">
        <w:tc>
          <w:tcPr>
            <w:tcW w:w="9487" w:type="dxa"/>
            <w:gridSpan w:val="8"/>
          </w:tcPr>
          <w:p w:rsidR="004C69A9" w:rsidRPr="00725845" w:rsidRDefault="00731DC3" w:rsidP="00545705">
            <w:pPr>
              <w:tabs>
                <w:tab w:val="left" w:pos="3960"/>
              </w:tabs>
              <w:spacing w:after="0"/>
              <w:jc w:val="both"/>
              <w:rPr>
                <w:rFonts w:ascii="Trebuchet MS" w:hAnsi="Trebuchet MS" w:cs="Times New Roman"/>
                <w:bCs/>
              </w:rPr>
            </w:pPr>
            <w:r w:rsidRPr="00B9220B">
              <w:rPr>
                <w:rFonts w:ascii="Trebuchet MS" w:hAnsi="Trebuchet MS" w:cs="Times New Roman"/>
                <w:b/>
                <w:bCs/>
              </w:rPr>
              <w:lastRenderedPageBreak/>
              <w:t>2. Schimbări preconizate</w:t>
            </w:r>
          </w:p>
          <w:p w:rsidR="003753E9" w:rsidRDefault="00725845" w:rsidP="00545705">
            <w:pPr>
              <w:tabs>
                <w:tab w:val="left" w:pos="3960"/>
              </w:tabs>
              <w:spacing w:after="0"/>
              <w:jc w:val="both"/>
              <w:rPr>
                <w:rFonts w:ascii="Trebuchet MS" w:hAnsi="Trebuchet MS" w:cs="Times New Roman"/>
                <w:bCs/>
              </w:rPr>
            </w:pPr>
            <w:r w:rsidRPr="00725845">
              <w:rPr>
                <w:rFonts w:ascii="Trebuchet MS" w:hAnsi="Trebuchet MS" w:cs="Times New Roman"/>
                <w:bCs/>
              </w:rPr>
              <w:t xml:space="preserve">În considerarea </w:t>
            </w:r>
            <w:proofErr w:type="spellStart"/>
            <w:r w:rsidRPr="00725845">
              <w:rPr>
                <w:rFonts w:ascii="Trebuchet MS" w:hAnsi="Trebuchet MS" w:cs="Times New Roman"/>
                <w:bCs/>
              </w:rPr>
              <w:t>obligaţiei</w:t>
            </w:r>
            <w:proofErr w:type="spellEnd"/>
            <w:r w:rsidRPr="00725845">
              <w:rPr>
                <w:rFonts w:ascii="Trebuchet MS" w:hAnsi="Trebuchet MS" w:cs="Times New Roman"/>
                <w:bCs/>
              </w:rPr>
              <w:t xml:space="preserve"> legiuitorului de a pune </w:t>
            </w:r>
            <w:r w:rsidR="003476B5">
              <w:rPr>
                <w:rFonts w:ascii="Trebuchet MS" w:hAnsi="Trebuchet MS" w:cs="Times New Roman"/>
                <w:bCs/>
              </w:rPr>
              <w:t>de</w:t>
            </w:r>
            <w:r w:rsidRPr="00725845">
              <w:rPr>
                <w:rFonts w:ascii="Trebuchet MS" w:hAnsi="Trebuchet MS" w:cs="Times New Roman"/>
                <w:bCs/>
              </w:rPr>
              <w:t xml:space="preserve"> acord</w:t>
            </w:r>
            <w:r>
              <w:rPr>
                <w:rFonts w:ascii="Trebuchet MS" w:hAnsi="Trebuchet MS" w:cs="Times New Roman"/>
                <w:bCs/>
              </w:rPr>
              <w:t xml:space="preserve"> </w:t>
            </w:r>
            <w:proofErr w:type="spellStart"/>
            <w:r>
              <w:rPr>
                <w:rFonts w:ascii="Trebuchet MS" w:hAnsi="Trebuchet MS" w:cs="Times New Roman"/>
                <w:bCs/>
              </w:rPr>
              <w:t>dispoziţiile</w:t>
            </w:r>
            <w:proofErr w:type="spellEnd"/>
            <w:r>
              <w:rPr>
                <w:rFonts w:ascii="Trebuchet MS" w:hAnsi="Trebuchet MS" w:cs="Times New Roman"/>
                <w:bCs/>
              </w:rPr>
              <w:t xml:space="preserve"> constate ca fiind </w:t>
            </w:r>
            <w:proofErr w:type="spellStart"/>
            <w:r>
              <w:rPr>
                <w:rFonts w:ascii="Trebuchet MS" w:hAnsi="Trebuchet MS" w:cs="Times New Roman"/>
                <w:bCs/>
              </w:rPr>
              <w:t>neconstituţionale</w:t>
            </w:r>
            <w:proofErr w:type="spellEnd"/>
            <w:r>
              <w:rPr>
                <w:rFonts w:ascii="Trebuchet MS" w:hAnsi="Trebuchet MS" w:cs="Times New Roman"/>
                <w:bCs/>
              </w:rPr>
              <w:t xml:space="preserve"> din NCPC cu Decizia </w:t>
            </w:r>
            <w:proofErr w:type="spellStart"/>
            <w:r>
              <w:rPr>
                <w:rFonts w:ascii="Trebuchet MS" w:hAnsi="Trebuchet MS" w:cs="Times New Roman"/>
                <w:bCs/>
              </w:rPr>
              <w:t>Curţii</w:t>
            </w:r>
            <w:proofErr w:type="spellEnd"/>
            <w:r>
              <w:rPr>
                <w:rFonts w:ascii="Trebuchet MS" w:hAnsi="Trebuchet MS" w:cs="Times New Roman"/>
                <w:bCs/>
              </w:rPr>
              <w:t xml:space="preserve"> </w:t>
            </w:r>
            <w:proofErr w:type="spellStart"/>
            <w:r>
              <w:rPr>
                <w:rFonts w:ascii="Trebuchet MS" w:hAnsi="Trebuchet MS" w:cs="Times New Roman"/>
                <w:bCs/>
              </w:rPr>
              <w:t>Constituţionale</w:t>
            </w:r>
            <w:proofErr w:type="spellEnd"/>
            <w:r>
              <w:rPr>
                <w:rFonts w:ascii="Trebuchet MS" w:hAnsi="Trebuchet MS" w:cs="Times New Roman"/>
                <w:bCs/>
              </w:rPr>
              <w:t xml:space="preserve"> nr. 604/2020 </w:t>
            </w:r>
            <w:proofErr w:type="spellStart"/>
            <w:r>
              <w:rPr>
                <w:rFonts w:ascii="Trebuchet MS" w:hAnsi="Trebuchet MS" w:cs="Times New Roman"/>
                <w:bCs/>
              </w:rPr>
              <w:t>şi</w:t>
            </w:r>
            <w:proofErr w:type="spellEnd"/>
            <w:r>
              <w:rPr>
                <w:rFonts w:ascii="Trebuchet MS" w:hAnsi="Trebuchet MS" w:cs="Times New Roman"/>
                <w:bCs/>
              </w:rPr>
              <w:t xml:space="preserve"> cu </w:t>
            </w:r>
            <w:r w:rsidR="003476B5">
              <w:rPr>
                <w:rFonts w:ascii="Trebuchet MS" w:hAnsi="Trebuchet MS" w:cs="Times New Roman"/>
                <w:bCs/>
              </w:rPr>
              <w:t>prevederile</w:t>
            </w:r>
            <w:r>
              <w:rPr>
                <w:rFonts w:ascii="Trebuchet MS" w:hAnsi="Trebuchet MS" w:cs="Times New Roman"/>
                <w:bCs/>
              </w:rPr>
              <w:t xml:space="preserve"> din </w:t>
            </w:r>
            <w:proofErr w:type="spellStart"/>
            <w:r>
              <w:rPr>
                <w:rFonts w:ascii="Trebuchet MS" w:hAnsi="Trebuchet MS" w:cs="Times New Roman"/>
                <w:bCs/>
              </w:rPr>
              <w:t>Constituţia</w:t>
            </w:r>
            <w:proofErr w:type="spellEnd"/>
            <w:r>
              <w:rPr>
                <w:rFonts w:ascii="Trebuchet MS" w:hAnsi="Trebuchet MS" w:cs="Times New Roman"/>
                <w:bCs/>
              </w:rPr>
              <w:t xml:space="preserve"> României, republicată, prezentul demers legislativ propune instituirea unor </w:t>
            </w:r>
            <w:proofErr w:type="spellStart"/>
            <w:r>
              <w:rPr>
                <w:rFonts w:ascii="Trebuchet MS" w:hAnsi="Trebuchet MS" w:cs="Times New Roman"/>
                <w:bCs/>
              </w:rPr>
              <w:t>soluţii</w:t>
            </w:r>
            <w:proofErr w:type="spellEnd"/>
            <w:r>
              <w:rPr>
                <w:rFonts w:ascii="Trebuchet MS" w:hAnsi="Trebuchet MS" w:cs="Times New Roman"/>
                <w:bCs/>
              </w:rPr>
              <w:t xml:space="preserve"> de reglementare în materia </w:t>
            </w:r>
            <w:proofErr w:type="spellStart"/>
            <w:r>
              <w:rPr>
                <w:rFonts w:ascii="Trebuchet MS" w:hAnsi="Trebuchet MS" w:cs="Times New Roman"/>
                <w:bCs/>
              </w:rPr>
              <w:t>contestaţiei</w:t>
            </w:r>
            <w:proofErr w:type="spellEnd"/>
            <w:r>
              <w:rPr>
                <w:rFonts w:ascii="Trebuchet MS" w:hAnsi="Trebuchet MS" w:cs="Times New Roman"/>
                <w:bCs/>
              </w:rPr>
              <w:t xml:space="preserve"> privind tergiversarea procesului, care urmăresc, în principal, acest obiectiv.</w:t>
            </w:r>
          </w:p>
          <w:p w:rsidR="00725845" w:rsidRDefault="009B7F2A" w:rsidP="00725845">
            <w:pPr>
              <w:tabs>
                <w:tab w:val="left" w:pos="3960"/>
              </w:tabs>
              <w:spacing w:after="0"/>
              <w:jc w:val="both"/>
              <w:rPr>
                <w:rFonts w:ascii="Trebuchet MS" w:hAnsi="Trebuchet MS" w:cs="Times New Roman"/>
                <w:bCs/>
              </w:rPr>
            </w:pPr>
            <w:r>
              <w:rPr>
                <w:rFonts w:ascii="Trebuchet MS" w:hAnsi="Trebuchet MS" w:cs="Times New Roman"/>
                <w:bCs/>
              </w:rPr>
              <w:t xml:space="preserve">Întrucât </w:t>
            </w:r>
            <w:r w:rsidR="00725845" w:rsidRPr="00725845">
              <w:rPr>
                <w:rFonts w:ascii="Trebuchet MS" w:hAnsi="Trebuchet MS" w:cs="Times New Roman"/>
                <w:bCs/>
              </w:rPr>
              <w:t xml:space="preserve">Curtea </w:t>
            </w:r>
            <w:proofErr w:type="spellStart"/>
            <w:r w:rsidR="00725845">
              <w:rPr>
                <w:rFonts w:ascii="Trebuchet MS" w:hAnsi="Trebuchet MS" w:cs="Times New Roman"/>
                <w:bCs/>
              </w:rPr>
              <w:t>Constituţională</w:t>
            </w:r>
            <w:proofErr w:type="spellEnd"/>
            <w:r w:rsidR="00725845">
              <w:rPr>
                <w:rFonts w:ascii="Trebuchet MS" w:hAnsi="Trebuchet MS" w:cs="Times New Roman"/>
                <w:bCs/>
              </w:rPr>
              <w:t xml:space="preserve"> </w:t>
            </w:r>
            <w:r>
              <w:rPr>
                <w:rFonts w:ascii="Trebuchet MS" w:hAnsi="Trebuchet MS" w:cs="Times New Roman"/>
                <w:bCs/>
              </w:rPr>
              <w:t>lasă legiuitorului posibilitatea de a opta între cele</w:t>
            </w:r>
            <w:r w:rsidR="00725845">
              <w:rPr>
                <w:rFonts w:ascii="Trebuchet MS" w:hAnsi="Trebuchet MS" w:cs="Times New Roman"/>
                <w:bCs/>
              </w:rPr>
              <w:t xml:space="preserve"> </w:t>
            </w:r>
            <w:r w:rsidR="00725845" w:rsidRPr="00725845">
              <w:rPr>
                <w:rFonts w:ascii="Trebuchet MS" w:hAnsi="Trebuchet MS" w:cs="Times New Roman"/>
                <w:bCs/>
              </w:rPr>
              <w:t>două posib</w:t>
            </w:r>
            <w:r>
              <w:rPr>
                <w:rFonts w:ascii="Trebuchet MS" w:hAnsi="Trebuchet MS" w:cs="Times New Roman"/>
                <w:bCs/>
              </w:rPr>
              <w:t>ile variante de reglementare,</w:t>
            </w:r>
            <w:r w:rsidR="003476B5">
              <w:rPr>
                <w:rFonts w:ascii="Trebuchet MS" w:hAnsi="Trebuchet MS" w:cs="Times New Roman"/>
                <w:bCs/>
              </w:rPr>
              <w:t xml:space="preserve"> ambele presupunând însă reconfigurarea instituției contestației privind tergiversarea procesului,</w:t>
            </w:r>
            <w:r>
              <w:rPr>
                <w:rFonts w:ascii="Trebuchet MS" w:hAnsi="Trebuchet MS" w:cs="Times New Roman"/>
                <w:bCs/>
              </w:rPr>
              <w:t xml:space="preserve"> </w:t>
            </w:r>
            <w:r w:rsidR="00725845" w:rsidRPr="00725845">
              <w:rPr>
                <w:rFonts w:ascii="Trebuchet MS" w:hAnsi="Trebuchet MS" w:cs="Times New Roman"/>
                <w:bCs/>
              </w:rPr>
              <w:t>soluțiile propuse</w:t>
            </w:r>
            <w:r w:rsidR="002D6E35">
              <w:rPr>
                <w:rFonts w:ascii="Trebuchet MS" w:hAnsi="Trebuchet MS" w:cs="Times New Roman"/>
                <w:bCs/>
              </w:rPr>
              <w:t xml:space="preserve"> prin proiect</w:t>
            </w:r>
            <w:r w:rsidR="00725845" w:rsidRPr="00725845">
              <w:rPr>
                <w:rFonts w:ascii="Trebuchet MS" w:hAnsi="Trebuchet MS" w:cs="Times New Roman"/>
                <w:bCs/>
              </w:rPr>
              <w:t xml:space="preserve"> </w:t>
            </w:r>
            <w:r>
              <w:rPr>
                <w:rFonts w:ascii="Trebuchet MS" w:hAnsi="Trebuchet MS" w:cs="Times New Roman"/>
                <w:bCs/>
              </w:rPr>
              <w:t>rețin</w:t>
            </w:r>
            <w:r w:rsidR="00A26062">
              <w:rPr>
                <w:rFonts w:ascii="Trebuchet MS" w:hAnsi="Trebuchet MS" w:cs="Times New Roman"/>
                <w:bCs/>
              </w:rPr>
              <w:t xml:space="preserve"> cea de-a doua opțiune</w:t>
            </w:r>
            <w:r w:rsidR="00725845" w:rsidRPr="00725845">
              <w:rPr>
                <w:rFonts w:ascii="Trebuchet MS" w:hAnsi="Trebuchet MS" w:cs="Times New Roman"/>
                <w:bCs/>
              </w:rPr>
              <w:t xml:space="preserve"> – respectiv procedură într-o singură treaptă, de competența instanței superioare, </w:t>
            </w:r>
            <w:r w:rsidR="00725845">
              <w:rPr>
                <w:rFonts w:ascii="Trebuchet MS" w:hAnsi="Trebuchet MS" w:cs="Times New Roman"/>
                <w:bCs/>
              </w:rPr>
              <w:t xml:space="preserve">din considerente care </w:t>
            </w:r>
            <w:proofErr w:type="spellStart"/>
            <w:r w:rsidR="00725845">
              <w:rPr>
                <w:rFonts w:ascii="Trebuchet MS" w:hAnsi="Trebuchet MS" w:cs="Times New Roman"/>
                <w:bCs/>
              </w:rPr>
              <w:t>ţin</w:t>
            </w:r>
            <w:proofErr w:type="spellEnd"/>
            <w:r w:rsidR="00725845">
              <w:rPr>
                <w:rFonts w:ascii="Trebuchet MS" w:hAnsi="Trebuchet MS" w:cs="Times New Roman"/>
                <w:bCs/>
              </w:rPr>
              <w:t xml:space="preserve"> de asigurarea respectării </w:t>
            </w:r>
            <w:r w:rsidR="002D6E35" w:rsidRPr="00725845">
              <w:rPr>
                <w:rFonts w:ascii="Trebuchet MS" w:hAnsi="Trebuchet MS" w:cs="Times New Roman"/>
                <w:bCs/>
              </w:rPr>
              <w:t>exigențelor componentei dreptului la un proces echitabil vizând soluționarea cauzei în termen optim și previzibil, aspect care constituie chiar fina</w:t>
            </w:r>
            <w:r>
              <w:rPr>
                <w:rFonts w:ascii="Trebuchet MS" w:hAnsi="Trebuchet MS" w:cs="Times New Roman"/>
                <w:bCs/>
              </w:rPr>
              <w:t>litatea procedurii contestației. D</w:t>
            </w:r>
            <w:r w:rsidR="002D6E35">
              <w:rPr>
                <w:rFonts w:ascii="Trebuchet MS" w:hAnsi="Trebuchet MS" w:cs="Times New Roman"/>
                <w:bCs/>
              </w:rPr>
              <w:t xml:space="preserve">in această perspectivă, </w:t>
            </w:r>
            <w:r w:rsidR="00725845" w:rsidRPr="00725845">
              <w:rPr>
                <w:rFonts w:ascii="Trebuchet MS" w:hAnsi="Trebuchet MS" w:cs="Times New Roman"/>
                <w:bCs/>
              </w:rPr>
              <w:t>reglementarea procedurii într-o singură treaptă, de competența instanței ierarhic superioare, corespunde de o manieră mai eficientă acestui deziderat</w:t>
            </w:r>
            <w:r>
              <w:rPr>
                <w:rFonts w:ascii="Trebuchet MS" w:hAnsi="Trebuchet MS" w:cs="Times New Roman"/>
                <w:bCs/>
              </w:rPr>
              <w:t>.</w:t>
            </w:r>
          </w:p>
          <w:p w:rsidR="0062225E" w:rsidRPr="006D1E08" w:rsidRDefault="0062225E" w:rsidP="0062225E">
            <w:pPr>
              <w:tabs>
                <w:tab w:val="left" w:pos="3960"/>
              </w:tabs>
              <w:spacing w:after="0"/>
              <w:jc w:val="both"/>
              <w:rPr>
                <w:rFonts w:ascii="Trebuchet MS" w:hAnsi="Trebuchet MS" w:cs="Times New Roman"/>
                <w:bCs/>
              </w:rPr>
            </w:pPr>
            <w:r w:rsidRPr="006D1E08">
              <w:rPr>
                <w:rFonts w:ascii="Trebuchet MS" w:hAnsi="Trebuchet MS" w:cs="Times New Roman"/>
                <w:bCs/>
              </w:rPr>
              <w:t>Spre deosebire de reglementarea în vigoare, prin proiect se propune instituirea unei norme în sensul că judecarea contestației are loc în camera de consiliu, cu citarea părților, pentru următoarele rațiuni:</w:t>
            </w:r>
          </w:p>
          <w:p w:rsidR="0062225E" w:rsidRPr="006D1E08" w:rsidRDefault="0062225E" w:rsidP="0062225E">
            <w:pPr>
              <w:tabs>
                <w:tab w:val="left" w:pos="3960"/>
              </w:tabs>
              <w:spacing w:after="0"/>
              <w:jc w:val="both"/>
              <w:rPr>
                <w:rFonts w:ascii="Trebuchet MS" w:hAnsi="Trebuchet MS" w:cs="Times New Roman"/>
                <w:bCs/>
              </w:rPr>
            </w:pPr>
            <w:r w:rsidRPr="006D1E08">
              <w:rPr>
                <w:rFonts w:ascii="Trebuchet MS" w:hAnsi="Trebuchet MS" w:cs="Times New Roman"/>
                <w:bCs/>
              </w:rPr>
              <w:t xml:space="preserve"> - cât privește judecarea contestației în camera de consiliu, a fost a avut în vedere specificul procedurii, care pune în discuție o conduită culpabilă a instanței (deci inclusiv prestigiul justiției), dar și faptul că procedura analizată nu vizează fondul cauzei; </w:t>
            </w:r>
          </w:p>
          <w:p w:rsidR="0062225E" w:rsidRPr="006D1E08" w:rsidRDefault="0062225E" w:rsidP="0062225E">
            <w:pPr>
              <w:tabs>
                <w:tab w:val="left" w:pos="3960"/>
              </w:tabs>
              <w:spacing w:after="0"/>
              <w:jc w:val="both"/>
              <w:rPr>
                <w:rFonts w:ascii="Trebuchet MS" w:hAnsi="Trebuchet MS" w:cs="Times New Roman"/>
                <w:bCs/>
              </w:rPr>
            </w:pPr>
            <w:r w:rsidRPr="006D1E08">
              <w:rPr>
                <w:rFonts w:ascii="Trebuchet MS" w:hAnsi="Trebuchet MS" w:cs="Times New Roman"/>
                <w:bCs/>
              </w:rPr>
              <w:t xml:space="preserve"> - referitor la soluționarea contestației cu citarea părților, soluția a avut în vedere faptul că în materie procesual-penală, prin Decizia nr. 423/2015</w:t>
            </w:r>
            <w:r w:rsidRPr="006D1E08">
              <w:rPr>
                <w:rFonts w:ascii="Trebuchet MS" w:hAnsi="Trebuchet MS" w:cs="Times New Roman"/>
                <w:bCs/>
                <w:vertAlign w:val="superscript"/>
              </w:rPr>
              <w:footnoteReference w:id="1"/>
            </w:r>
            <w:r w:rsidRPr="006D1E08">
              <w:rPr>
                <w:rFonts w:ascii="Trebuchet MS" w:hAnsi="Trebuchet MS" w:cs="Times New Roman"/>
                <w:bCs/>
              </w:rPr>
              <w:t xml:space="preserve">, Curtea Constituțională a constatat neconstituționalitatea soluției legislative care reglementa judecarea contestației fără citarea părților, dar cu posibilitatea de a depune note scrise cu privire la admisibilitatea ori temeinicia cererii, statuând, între altele, că </w:t>
            </w:r>
            <w:r w:rsidRPr="006D1E08">
              <w:rPr>
                <w:rFonts w:ascii="Trebuchet MS" w:hAnsi="Trebuchet MS" w:cs="Times New Roman"/>
                <w:bCs/>
                <w:i/>
              </w:rPr>
              <w:t>“22.[…] în cadrul acestei proceduri, participanții la procesul penal trebuie să beneficieze de dreptul de a participa la ședința de judecată pentru a-</w:t>
            </w:r>
            <w:proofErr w:type="spellStart"/>
            <w:r w:rsidRPr="006D1E08">
              <w:rPr>
                <w:rFonts w:ascii="Trebuchet MS" w:hAnsi="Trebuchet MS" w:cs="Times New Roman"/>
                <w:bCs/>
                <w:i/>
              </w:rPr>
              <w:t>şi</w:t>
            </w:r>
            <w:proofErr w:type="spellEnd"/>
            <w:r w:rsidRPr="006D1E08">
              <w:rPr>
                <w:rFonts w:ascii="Trebuchet MS" w:hAnsi="Trebuchet MS" w:cs="Times New Roman"/>
                <w:bCs/>
                <w:i/>
              </w:rPr>
              <w:t xml:space="preserve"> </w:t>
            </w:r>
            <w:proofErr w:type="spellStart"/>
            <w:r w:rsidRPr="006D1E08">
              <w:rPr>
                <w:rFonts w:ascii="Trebuchet MS" w:hAnsi="Trebuchet MS" w:cs="Times New Roman"/>
                <w:bCs/>
                <w:i/>
              </w:rPr>
              <w:t>susţine</w:t>
            </w:r>
            <w:proofErr w:type="spellEnd"/>
            <w:r w:rsidRPr="006D1E08">
              <w:rPr>
                <w:rFonts w:ascii="Trebuchet MS" w:hAnsi="Trebuchet MS" w:cs="Times New Roman"/>
                <w:bCs/>
                <w:i/>
              </w:rPr>
              <w:t xml:space="preserve">, în </w:t>
            </w:r>
            <w:proofErr w:type="spellStart"/>
            <w:r w:rsidRPr="006D1E08">
              <w:rPr>
                <w:rFonts w:ascii="Trebuchet MS" w:hAnsi="Trebuchet MS" w:cs="Times New Roman"/>
                <w:bCs/>
                <w:i/>
              </w:rPr>
              <w:t>faţa</w:t>
            </w:r>
            <w:proofErr w:type="spellEnd"/>
            <w:r w:rsidRPr="006D1E08">
              <w:rPr>
                <w:rFonts w:ascii="Trebuchet MS" w:hAnsi="Trebuchet MS" w:cs="Times New Roman"/>
                <w:bCs/>
                <w:i/>
              </w:rPr>
              <w:t xml:space="preserve"> </w:t>
            </w:r>
            <w:proofErr w:type="spellStart"/>
            <w:r w:rsidRPr="006D1E08">
              <w:rPr>
                <w:rFonts w:ascii="Trebuchet MS" w:hAnsi="Trebuchet MS" w:cs="Times New Roman"/>
                <w:bCs/>
                <w:i/>
              </w:rPr>
              <w:t>instanţei</w:t>
            </w:r>
            <w:proofErr w:type="spellEnd"/>
            <w:r w:rsidRPr="006D1E08">
              <w:rPr>
                <w:rFonts w:ascii="Trebuchet MS" w:hAnsi="Trebuchet MS" w:cs="Times New Roman"/>
                <w:bCs/>
                <w:i/>
              </w:rPr>
              <w:t xml:space="preserve">, argumentele referitoare la caracterul excesiv sau rezonabil al duratei procesului penal, într-o procedură caracterizată prin contradictorialitate </w:t>
            </w:r>
            <w:proofErr w:type="spellStart"/>
            <w:r w:rsidRPr="006D1E08">
              <w:rPr>
                <w:rFonts w:ascii="Trebuchet MS" w:hAnsi="Trebuchet MS" w:cs="Times New Roman"/>
                <w:bCs/>
                <w:i/>
              </w:rPr>
              <w:t>şi</w:t>
            </w:r>
            <w:proofErr w:type="spellEnd"/>
            <w:r w:rsidRPr="006D1E08">
              <w:rPr>
                <w:rFonts w:ascii="Trebuchet MS" w:hAnsi="Trebuchet MS" w:cs="Times New Roman"/>
                <w:bCs/>
                <w:i/>
              </w:rPr>
              <w:t xml:space="preserve"> oralitate, în caz contrar procedura analizată încălcând prevederile art. 21 alin. (3) </w:t>
            </w:r>
            <w:proofErr w:type="spellStart"/>
            <w:r w:rsidRPr="006D1E08">
              <w:rPr>
                <w:rFonts w:ascii="Trebuchet MS" w:hAnsi="Trebuchet MS" w:cs="Times New Roman"/>
                <w:bCs/>
                <w:i/>
              </w:rPr>
              <w:t>şi</w:t>
            </w:r>
            <w:proofErr w:type="spellEnd"/>
            <w:r w:rsidRPr="006D1E08">
              <w:rPr>
                <w:rFonts w:ascii="Trebuchet MS" w:hAnsi="Trebuchet MS" w:cs="Times New Roman"/>
                <w:bCs/>
                <w:i/>
              </w:rPr>
              <w:t xml:space="preserve"> art. 24 din Constituție.”</w:t>
            </w:r>
            <w:r w:rsidRPr="006D1E08">
              <w:rPr>
                <w:rFonts w:ascii="Trebuchet MS" w:hAnsi="Trebuchet MS" w:cs="Times New Roman"/>
                <w:bCs/>
              </w:rPr>
              <w:t xml:space="preserve">; așadar, soluția este propusă pentru a veni în întâmpinarea unei posibile identificări, în viitor, a unui viciu de neconstituționalitate de către Curtea Constituțională, pentru acest motiv. De asemenea, instituirea unei norme privind judecarea contestației cu citarea părților se impune cu atât mai mult cu cât opțiunea </w:t>
            </w:r>
            <w:r w:rsidRPr="006D1E08">
              <w:rPr>
                <w:rFonts w:ascii="Trebuchet MS" w:hAnsi="Trebuchet MS" w:cs="Times New Roman"/>
                <w:bCs/>
              </w:rPr>
              <w:lastRenderedPageBreak/>
              <w:t>legislativă aleasă vizează reglementarea procedurii contestației într-o singură treaptă (de competența instanței ierarhic superioare sau, după caz, a unui alt complet al ICCJ).</w:t>
            </w:r>
          </w:p>
          <w:p w:rsidR="0062225E" w:rsidRPr="006D1E08" w:rsidRDefault="0062225E" w:rsidP="0062225E">
            <w:pPr>
              <w:tabs>
                <w:tab w:val="left" w:pos="3960"/>
              </w:tabs>
              <w:spacing w:after="0"/>
              <w:jc w:val="both"/>
              <w:rPr>
                <w:rFonts w:ascii="Trebuchet MS" w:hAnsi="Trebuchet MS" w:cs="Times New Roman"/>
                <w:bCs/>
              </w:rPr>
            </w:pPr>
            <w:r w:rsidRPr="006D1E08">
              <w:rPr>
                <w:rFonts w:ascii="Trebuchet MS" w:hAnsi="Trebuchet MS" w:cs="Times New Roman"/>
                <w:bCs/>
              </w:rPr>
              <w:t xml:space="preserve">Tot cu titlu de element de noutate față de reglementarea în vigoare, din rațiuni care țin de asigurarea celerității procedurii, proiectul prevede că, atunci când este posibil, dosarul cauzei se trimite instanței ierarhic superioare în format electronic. </w:t>
            </w:r>
          </w:p>
          <w:p w:rsidR="0062225E" w:rsidRPr="0062225E" w:rsidRDefault="0062225E" w:rsidP="0062225E">
            <w:pPr>
              <w:tabs>
                <w:tab w:val="left" w:pos="3960"/>
              </w:tabs>
              <w:spacing w:after="0"/>
              <w:jc w:val="both"/>
              <w:rPr>
                <w:rFonts w:ascii="Trebuchet MS" w:hAnsi="Trebuchet MS" w:cs="Times New Roman"/>
                <w:bCs/>
              </w:rPr>
            </w:pPr>
            <w:r w:rsidRPr="006D1E08">
              <w:rPr>
                <w:rFonts w:ascii="Trebuchet MS" w:hAnsi="Trebuchet MS" w:cs="Times New Roman"/>
                <w:bCs/>
              </w:rPr>
              <w:t>Cât privește aplicarea în timp a dispozițiilor propuse prin proiect, a fost avută în vedere, prin derogare de la dispozițiile art. 24-27 NCPC, soluția aplicării imediate a acestora, pentru a da efect hotărârii instanței de contencios constituțional și pentru procesele în curs de soluționare la data intrării în vigoare a noii reglementări, din considerente ce țin de eliminarea incertitudinilor referitoare la competența și procedura de soluționare a contestațiilor ce vor fi formulate în aceste procese după data intrării în vigoare a preconizatei reglementări.</w:t>
            </w:r>
          </w:p>
          <w:p w:rsidR="00A82602" w:rsidRPr="00B9220B" w:rsidRDefault="00A82602" w:rsidP="002D6E35">
            <w:pPr>
              <w:tabs>
                <w:tab w:val="left" w:pos="3960"/>
              </w:tabs>
              <w:spacing w:after="0"/>
              <w:jc w:val="both"/>
              <w:rPr>
                <w:rFonts w:ascii="Trebuchet MS" w:hAnsi="Trebuchet MS"/>
              </w:rPr>
            </w:pPr>
          </w:p>
        </w:tc>
      </w:tr>
      <w:tr w:rsidR="00731DC3" w:rsidRPr="00B9220B" w:rsidTr="00497023">
        <w:tc>
          <w:tcPr>
            <w:tcW w:w="9487" w:type="dxa"/>
            <w:gridSpan w:val="8"/>
          </w:tcPr>
          <w:p w:rsidR="00731DC3" w:rsidRPr="00B9220B" w:rsidRDefault="00731DC3" w:rsidP="00A87583">
            <w:pPr>
              <w:tabs>
                <w:tab w:val="left" w:pos="3960"/>
              </w:tabs>
              <w:spacing w:after="0" w:line="240" w:lineRule="auto"/>
              <w:jc w:val="both"/>
              <w:rPr>
                <w:rFonts w:ascii="Trebuchet MS" w:hAnsi="Trebuchet MS" w:cs="Times New Roman"/>
                <w:b/>
                <w:bCs/>
              </w:rPr>
            </w:pPr>
            <w:r w:rsidRPr="00B9220B">
              <w:rPr>
                <w:rFonts w:ascii="Trebuchet MS" w:hAnsi="Trebuchet MS" w:cs="Times New Roman"/>
                <w:b/>
                <w:bCs/>
              </w:rPr>
              <w:lastRenderedPageBreak/>
              <w:t>3. Alte informa</w:t>
            </w:r>
            <w:r w:rsidR="00337D66" w:rsidRPr="00B9220B">
              <w:rPr>
                <w:rFonts w:ascii="Trebuchet MS" w:hAnsi="Trebuchet MS" w:cs="Times New Roman"/>
                <w:b/>
                <w:bCs/>
              </w:rPr>
              <w:t>ț</w:t>
            </w:r>
            <w:r w:rsidRPr="00B9220B">
              <w:rPr>
                <w:rFonts w:ascii="Trebuchet MS" w:hAnsi="Trebuchet MS" w:cs="Times New Roman"/>
                <w:b/>
                <w:bCs/>
              </w:rPr>
              <w:t>ii</w:t>
            </w:r>
          </w:p>
          <w:p w:rsidR="003778CC" w:rsidRPr="00B9220B" w:rsidRDefault="003778CC" w:rsidP="003778CC">
            <w:pPr>
              <w:tabs>
                <w:tab w:val="left" w:pos="3960"/>
              </w:tabs>
              <w:spacing w:after="0" w:line="240" w:lineRule="auto"/>
              <w:jc w:val="both"/>
              <w:rPr>
                <w:rFonts w:ascii="Trebuchet MS" w:hAnsi="Trebuchet MS" w:cs="Times New Roman"/>
              </w:rPr>
            </w:pPr>
          </w:p>
        </w:tc>
      </w:tr>
      <w:tr w:rsidR="00731DC3" w:rsidRPr="00B9220B" w:rsidTr="00497023">
        <w:tc>
          <w:tcPr>
            <w:tcW w:w="9487" w:type="dxa"/>
            <w:gridSpan w:val="8"/>
          </w:tcPr>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3-a</w:t>
            </w:r>
          </w:p>
          <w:p w:rsidR="00497023" w:rsidRPr="00B9220B" w:rsidRDefault="00731DC3" w:rsidP="009C0BB2">
            <w:pPr>
              <w:tabs>
                <w:tab w:val="left" w:pos="3960"/>
              </w:tabs>
              <w:spacing w:after="0"/>
              <w:jc w:val="center"/>
              <w:rPr>
                <w:rFonts w:ascii="Trebuchet MS" w:hAnsi="Trebuchet MS" w:cs="Times New Roman"/>
                <w:b/>
                <w:bCs/>
              </w:rPr>
            </w:pPr>
            <w:r w:rsidRPr="00B9220B">
              <w:rPr>
                <w:rFonts w:ascii="Trebuchet MS" w:hAnsi="Trebuchet MS" w:cs="Times New Roman"/>
                <w:b/>
                <w:bCs/>
              </w:rPr>
              <w:t xml:space="preserve">Impactul </w:t>
            </w:r>
            <w:proofErr w:type="spellStart"/>
            <w:r w:rsidRPr="00B9220B">
              <w:rPr>
                <w:rFonts w:ascii="Trebuchet MS" w:hAnsi="Trebuchet MS" w:cs="Times New Roman"/>
                <w:b/>
                <w:bCs/>
              </w:rPr>
              <w:t>socio</w:t>
            </w:r>
            <w:proofErr w:type="spellEnd"/>
            <w:r w:rsidRPr="00B9220B">
              <w:rPr>
                <w:rFonts w:ascii="Trebuchet MS" w:hAnsi="Trebuchet MS" w:cs="Times New Roman"/>
                <w:b/>
                <w:bCs/>
              </w:rPr>
              <w:t xml:space="preserve">-economic al </w:t>
            </w:r>
            <w:r w:rsidR="00AA35A4" w:rsidRPr="00B9220B">
              <w:rPr>
                <w:rFonts w:ascii="Trebuchet MS" w:hAnsi="Trebuchet MS" w:cs="Times New Roman"/>
                <w:b/>
                <w:bCs/>
              </w:rPr>
              <w:t>proiect</w:t>
            </w:r>
            <w:r w:rsidR="009C0BB2" w:rsidRPr="00B9220B">
              <w:rPr>
                <w:rFonts w:ascii="Trebuchet MS" w:hAnsi="Trebuchet MS" w:cs="Times New Roman"/>
                <w:b/>
                <w:bCs/>
              </w:rPr>
              <w:t>ului</w:t>
            </w:r>
            <w:r w:rsidR="00AA35A4" w:rsidRPr="00B9220B">
              <w:rPr>
                <w:rFonts w:ascii="Trebuchet MS" w:hAnsi="Trebuchet MS" w:cs="Times New Roman"/>
                <w:b/>
                <w:bCs/>
              </w:rPr>
              <w:t xml:space="preserve"> de </w:t>
            </w:r>
            <w:r w:rsidRPr="00B9220B">
              <w:rPr>
                <w:rFonts w:ascii="Trebuchet MS" w:hAnsi="Trebuchet MS" w:cs="Times New Roman"/>
                <w:b/>
                <w:bCs/>
              </w:rPr>
              <w:t>act normativ</w:t>
            </w:r>
          </w:p>
          <w:p w:rsidR="00B20384" w:rsidRPr="00B9220B" w:rsidRDefault="00B20384" w:rsidP="009C0BB2">
            <w:pPr>
              <w:tabs>
                <w:tab w:val="left" w:pos="3960"/>
              </w:tabs>
              <w:spacing w:after="0"/>
              <w:jc w:val="center"/>
              <w:rPr>
                <w:rFonts w:ascii="Trebuchet MS" w:hAnsi="Trebuchet MS" w:cs="Times New Roman"/>
                <w:b/>
                <w:bCs/>
              </w:rPr>
            </w:pP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1. Impact macro-economic</w:t>
            </w:r>
          </w:p>
          <w:p w:rsidR="00731DC3" w:rsidRPr="00B9220B" w:rsidRDefault="003B5162"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1</w:t>
            </w:r>
            <w:r w:rsidRPr="00B9220B">
              <w:rPr>
                <w:rFonts w:ascii="Trebuchet MS" w:hAnsi="Trebuchet MS" w:cs="Times New Roman"/>
                <w:b/>
                <w:bCs/>
                <w:vertAlign w:val="superscript"/>
              </w:rPr>
              <w:t>1</w:t>
            </w:r>
            <w:r w:rsidRPr="00B9220B">
              <w:rPr>
                <w:rFonts w:ascii="Trebuchet MS" w:hAnsi="Trebuchet MS" w:cs="Times New Roman"/>
                <w:b/>
                <w:bCs/>
              </w:rPr>
              <w:t>. Impactul asupra mediului concuren</w:t>
            </w:r>
            <w:r w:rsidR="00337D66" w:rsidRPr="00B9220B">
              <w:rPr>
                <w:rFonts w:ascii="Trebuchet MS" w:hAnsi="Trebuchet MS" w:cs="Times New Roman"/>
                <w:b/>
                <w:bCs/>
              </w:rPr>
              <w:t>ț</w:t>
            </w:r>
            <w:r w:rsidRPr="00B9220B">
              <w:rPr>
                <w:rFonts w:ascii="Trebuchet MS" w:hAnsi="Trebuchet MS" w:cs="Times New Roman"/>
                <w:b/>
                <w:bCs/>
              </w:rPr>
              <w:t xml:space="preserve">ial </w:t>
            </w:r>
            <w:r w:rsidR="00337D66" w:rsidRPr="00B9220B">
              <w:rPr>
                <w:rFonts w:ascii="Trebuchet MS" w:hAnsi="Trebuchet MS" w:cs="Times New Roman"/>
                <w:b/>
                <w:bCs/>
              </w:rPr>
              <w:t>ș</w:t>
            </w:r>
            <w:r w:rsidRPr="00B9220B">
              <w:rPr>
                <w:rFonts w:ascii="Trebuchet MS" w:hAnsi="Trebuchet MS" w:cs="Times New Roman"/>
                <w:b/>
                <w:bCs/>
              </w:rPr>
              <w:t>i domeniului ajutoarelor de stat:</w:t>
            </w:r>
          </w:p>
          <w:p w:rsidR="00731DC3" w:rsidRPr="00B9220B" w:rsidRDefault="00AA35A4" w:rsidP="00AA35A4">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 Impact asupra mediului de afaceri</w:t>
            </w:r>
          </w:p>
          <w:p w:rsidR="00BF2600" w:rsidRPr="00B9220B" w:rsidRDefault="00AA35A4" w:rsidP="00AA35A4">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3271EE" w:rsidRPr="00B9220B" w:rsidTr="00497023">
        <w:tc>
          <w:tcPr>
            <w:tcW w:w="9487" w:type="dxa"/>
            <w:gridSpan w:val="8"/>
          </w:tcPr>
          <w:p w:rsidR="003271EE" w:rsidRPr="00B9220B" w:rsidRDefault="003271EE"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w:t>
            </w:r>
            <w:r w:rsidRPr="00B9220B">
              <w:rPr>
                <w:rFonts w:ascii="Trebuchet MS" w:hAnsi="Trebuchet MS" w:cs="Times New Roman"/>
                <w:b/>
                <w:bCs/>
                <w:vertAlign w:val="superscript"/>
              </w:rPr>
              <w:t>1</w:t>
            </w:r>
            <w:r w:rsidRPr="00B9220B">
              <w:rPr>
                <w:rFonts w:ascii="Trebuchet MS" w:hAnsi="Trebuchet MS" w:cs="Times New Roman"/>
                <w:b/>
                <w:bCs/>
              </w:rPr>
              <w:t>.Impactul asupra sarcinilor administrative</w:t>
            </w:r>
          </w:p>
          <w:p w:rsidR="003271EE" w:rsidRPr="00B9220B" w:rsidRDefault="003271EE" w:rsidP="00A87583">
            <w:pPr>
              <w:tabs>
                <w:tab w:val="left" w:pos="3960"/>
              </w:tabs>
              <w:spacing w:after="0"/>
              <w:jc w:val="both"/>
              <w:rPr>
                <w:rFonts w:ascii="Trebuchet MS" w:hAnsi="Trebuchet MS" w:cs="Times New Roman"/>
                <w:b/>
                <w:bCs/>
              </w:rPr>
            </w:pPr>
            <w:r w:rsidRPr="00B9220B">
              <w:rPr>
                <w:rFonts w:ascii="Trebuchet MS" w:hAnsi="Trebuchet MS" w:cs="Times New Roman"/>
              </w:rPr>
              <w:t>Proiectul de act normativ nu se referă la acest subiect</w:t>
            </w:r>
          </w:p>
        </w:tc>
      </w:tr>
      <w:tr w:rsidR="003271EE" w:rsidRPr="00B9220B" w:rsidTr="00497023">
        <w:tc>
          <w:tcPr>
            <w:tcW w:w="9487" w:type="dxa"/>
            <w:gridSpan w:val="8"/>
          </w:tcPr>
          <w:p w:rsidR="003271EE" w:rsidRPr="00B9220B" w:rsidRDefault="003271EE"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w:t>
            </w:r>
            <w:r w:rsidRPr="00B9220B">
              <w:rPr>
                <w:rFonts w:ascii="Trebuchet MS" w:hAnsi="Trebuchet MS" w:cs="Times New Roman"/>
                <w:b/>
                <w:bCs/>
                <w:vertAlign w:val="superscript"/>
              </w:rPr>
              <w:t>2</w:t>
            </w:r>
            <w:r w:rsidRPr="00B9220B">
              <w:rPr>
                <w:rFonts w:ascii="Trebuchet MS" w:hAnsi="Trebuchet MS" w:cs="Times New Roman"/>
                <w:b/>
                <w:bCs/>
              </w:rPr>
              <w:t xml:space="preserve">.Impactul asupra întreprinderilor mici </w:t>
            </w:r>
            <w:r w:rsidR="00337D66" w:rsidRPr="00B9220B">
              <w:rPr>
                <w:rFonts w:ascii="Trebuchet MS" w:hAnsi="Trebuchet MS" w:cs="Times New Roman"/>
                <w:b/>
                <w:bCs/>
              </w:rPr>
              <w:t>ș</w:t>
            </w:r>
            <w:r w:rsidRPr="00B9220B">
              <w:rPr>
                <w:rFonts w:ascii="Trebuchet MS" w:hAnsi="Trebuchet MS" w:cs="Times New Roman"/>
                <w:b/>
                <w:bCs/>
              </w:rPr>
              <w:t>i mijlocii</w:t>
            </w:r>
          </w:p>
          <w:p w:rsidR="003271EE" w:rsidRPr="00B9220B" w:rsidRDefault="003271EE" w:rsidP="00A87583">
            <w:pPr>
              <w:tabs>
                <w:tab w:val="left" w:pos="3960"/>
              </w:tabs>
              <w:spacing w:after="0"/>
              <w:jc w:val="both"/>
              <w:rPr>
                <w:rFonts w:ascii="Trebuchet MS" w:hAnsi="Trebuchet MS" w:cs="Times New Roman"/>
                <w:b/>
                <w:bCs/>
              </w:rPr>
            </w:pPr>
            <w:r w:rsidRPr="00B9220B">
              <w:rPr>
                <w:rFonts w:ascii="Trebuchet MS" w:hAnsi="Trebuchet MS" w:cs="Times New Roman"/>
              </w:rPr>
              <w:t>Proiectul de act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3. Impact social</w:t>
            </w:r>
          </w:p>
          <w:p w:rsidR="00731DC3" w:rsidRPr="00B9220B" w:rsidRDefault="00AA35A4" w:rsidP="00AA35A4">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4. Impact asupra mediului</w:t>
            </w:r>
          </w:p>
          <w:p w:rsidR="00731DC3" w:rsidRPr="00B9220B" w:rsidRDefault="00AA35A4" w:rsidP="00AA35A4">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5. Alte informa</w:t>
            </w:r>
            <w:r w:rsidR="00337D66" w:rsidRPr="00B9220B">
              <w:rPr>
                <w:rFonts w:ascii="Trebuchet MS" w:hAnsi="Trebuchet MS" w:cs="Times New Roman"/>
                <w:b/>
                <w:bCs/>
              </w:rPr>
              <w:t>ț</w:t>
            </w:r>
            <w:r w:rsidRPr="00B9220B">
              <w:rPr>
                <w:rFonts w:ascii="Trebuchet MS" w:hAnsi="Trebuchet MS" w:cs="Times New Roman"/>
                <w:b/>
                <w:bCs/>
              </w:rPr>
              <w:t>ii</w:t>
            </w:r>
          </w:p>
          <w:p w:rsidR="007530E9" w:rsidRPr="00B9220B" w:rsidRDefault="007530E9" w:rsidP="00A87583">
            <w:pPr>
              <w:tabs>
                <w:tab w:val="left" w:pos="3960"/>
              </w:tabs>
              <w:spacing w:after="0"/>
              <w:jc w:val="both"/>
              <w:rPr>
                <w:rFonts w:ascii="Trebuchet MS" w:hAnsi="Trebuchet MS" w:cs="Times New Roman"/>
              </w:rPr>
            </w:pPr>
            <w:r w:rsidRPr="00B9220B">
              <w:rPr>
                <w:rFonts w:ascii="Trebuchet MS" w:hAnsi="Trebuchet MS" w:cs="Times New Roman"/>
                <w:bCs/>
              </w:rPr>
              <w:t>Nu sunt</w:t>
            </w:r>
          </w:p>
        </w:tc>
      </w:tr>
      <w:tr w:rsidR="00731DC3" w:rsidRPr="00B9220B" w:rsidTr="00497023">
        <w:tc>
          <w:tcPr>
            <w:tcW w:w="9487" w:type="dxa"/>
            <w:gridSpan w:val="8"/>
          </w:tcPr>
          <w:p w:rsidR="00B20384" w:rsidRPr="00B9220B" w:rsidRDefault="00B20384" w:rsidP="00A87583">
            <w:pPr>
              <w:tabs>
                <w:tab w:val="left" w:pos="3960"/>
              </w:tabs>
              <w:spacing w:after="0"/>
              <w:jc w:val="center"/>
              <w:rPr>
                <w:rFonts w:ascii="Trebuchet MS" w:hAnsi="Trebuchet MS" w:cs="Times New Roman"/>
                <w:b/>
                <w:bCs/>
              </w:rPr>
            </w:pP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4-a</w:t>
            </w: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Impactul financiar asupra bugetului general consolidat,</w:t>
            </w: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 xml:space="preserve">atât pe termen scurt, pentru anul curent, cât </w:t>
            </w:r>
            <w:r w:rsidR="00337D66" w:rsidRPr="00B9220B">
              <w:rPr>
                <w:rFonts w:ascii="Trebuchet MS" w:hAnsi="Trebuchet MS" w:cs="Times New Roman"/>
                <w:b/>
                <w:bCs/>
              </w:rPr>
              <w:t>ș</w:t>
            </w:r>
            <w:r w:rsidRPr="00B9220B">
              <w:rPr>
                <w:rFonts w:ascii="Trebuchet MS" w:hAnsi="Trebuchet MS" w:cs="Times New Roman"/>
                <w:b/>
                <w:bCs/>
              </w:rPr>
              <w:t>i pe termen lung (pe 5 ani)</w:t>
            </w:r>
          </w:p>
          <w:p w:rsidR="00B20384" w:rsidRPr="00B9220B" w:rsidRDefault="00AA35A4" w:rsidP="003753E9">
            <w:pPr>
              <w:tabs>
                <w:tab w:val="left" w:pos="3960"/>
              </w:tabs>
              <w:spacing w:after="0"/>
              <w:jc w:val="center"/>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are impact asupra bugetului general consolidat. </w:t>
            </w:r>
          </w:p>
        </w:tc>
      </w:tr>
      <w:tr w:rsidR="00731DC3" w:rsidRPr="00B9220B" w:rsidTr="00497023">
        <w:tc>
          <w:tcPr>
            <w:tcW w:w="9487" w:type="dxa"/>
            <w:gridSpan w:val="8"/>
          </w:tcPr>
          <w:p w:rsidR="00731DC3" w:rsidRPr="00B9220B" w:rsidRDefault="00731DC3" w:rsidP="00A87583">
            <w:pPr>
              <w:tabs>
                <w:tab w:val="left" w:pos="3960"/>
              </w:tabs>
              <w:spacing w:after="0"/>
              <w:jc w:val="right"/>
              <w:rPr>
                <w:rFonts w:ascii="Trebuchet MS" w:hAnsi="Trebuchet MS" w:cs="Times New Roman"/>
              </w:rPr>
            </w:pPr>
            <w:r w:rsidRPr="00B9220B">
              <w:rPr>
                <w:rFonts w:ascii="Trebuchet MS" w:hAnsi="Trebuchet MS" w:cs="Times New Roman"/>
              </w:rPr>
              <w:t>- în mii lei (RON) -</w:t>
            </w:r>
          </w:p>
        </w:tc>
      </w:tr>
      <w:tr w:rsidR="00731DC3" w:rsidRPr="00B9220B" w:rsidTr="00497023">
        <w:tc>
          <w:tcPr>
            <w:tcW w:w="4840"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Indicatori</w:t>
            </w:r>
          </w:p>
        </w:tc>
        <w:tc>
          <w:tcPr>
            <w:tcW w:w="1292"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Anul curent</w:t>
            </w:r>
          </w:p>
        </w:tc>
        <w:tc>
          <w:tcPr>
            <w:tcW w:w="1805" w:type="dxa"/>
            <w:gridSpan w:val="5"/>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Următorii patru ani</w:t>
            </w:r>
          </w:p>
        </w:tc>
        <w:tc>
          <w:tcPr>
            <w:tcW w:w="1550"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 xml:space="preserve">Media pe cinci ani </w:t>
            </w:r>
          </w:p>
        </w:tc>
      </w:tr>
      <w:tr w:rsidR="00731DC3" w:rsidRPr="00B9220B" w:rsidTr="00497023">
        <w:tc>
          <w:tcPr>
            <w:tcW w:w="4840"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1</w:t>
            </w:r>
          </w:p>
        </w:tc>
        <w:tc>
          <w:tcPr>
            <w:tcW w:w="1292"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2</w:t>
            </w:r>
          </w:p>
        </w:tc>
        <w:tc>
          <w:tcPr>
            <w:tcW w:w="515"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3</w:t>
            </w:r>
          </w:p>
        </w:tc>
        <w:tc>
          <w:tcPr>
            <w:tcW w:w="324"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4</w:t>
            </w:r>
          </w:p>
        </w:tc>
        <w:tc>
          <w:tcPr>
            <w:tcW w:w="343"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5</w:t>
            </w:r>
          </w:p>
        </w:tc>
        <w:tc>
          <w:tcPr>
            <w:tcW w:w="623" w:type="dxa"/>
            <w:gridSpan w:val="2"/>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6</w:t>
            </w:r>
          </w:p>
        </w:tc>
        <w:tc>
          <w:tcPr>
            <w:tcW w:w="1550" w:type="dxa"/>
          </w:tcPr>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rPr>
              <w:t>7</w:t>
            </w:r>
          </w:p>
        </w:tc>
      </w:tr>
      <w:tr w:rsidR="00731DC3" w:rsidRPr="00B9220B" w:rsidTr="00497023">
        <w:tc>
          <w:tcPr>
            <w:tcW w:w="4840" w:type="dxa"/>
          </w:tcPr>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1. Modificări ale veniturilor bugetare, plus/minus, din care:</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a) buget de stat, din acesta:</w:t>
            </w:r>
          </w:p>
          <w:p w:rsidR="00731DC3" w:rsidRPr="00B9220B" w:rsidRDefault="00731DC3" w:rsidP="00A87583">
            <w:pPr>
              <w:numPr>
                <w:ilvl w:val="0"/>
                <w:numId w:val="1"/>
              </w:numPr>
              <w:tabs>
                <w:tab w:val="left" w:pos="3960"/>
              </w:tabs>
              <w:spacing w:after="0" w:line="240" w:lineRule="auto"/>
              <w:jc w:val="both"/>
              <w:rPr>
                <w:rFonts w:ascii="Trebuchet MS" w:hAnsi="Trebuchet MS" w:cs="Times New Roman"/>
              </w:rPr>
            </w:pPr>
            <w:r w:rsidRPr="00B9220B">
              <w:rPr>
                <w:rFonts w:ascii="Trebuchet MS" w:hAnsi="Trebuchet MS" w:cs="Times New Roman"/>
              </w:rPr>
              <w:t>impozit pe profit</w:t>
            </w:r>
          </w:p>
          <w:p w:rsidR="00731DC3" w:rsidRPr="00B9220B" w:rsidRDefault="00731DC3" w:rsidP="00A87583">
            <w:pPr>
              <w:numPr>
                <w:ilvl w:val="0"/>
                <w:numId w:val="1"/>
              </w:numPr>
              <w:tabs>
                <w:tab w:val="left" w:pos="3960"/>
              </w:tabs>
              <w:spacing w:after="0" w:line="240" w:lineRule="auto"/>
              <w:jc w:val="both"/>
              <w:rPr>
                <w:rFonts w:ascii="Trebuchet MS" w:hAnsi="Trebuchet MS" w:cs="Times New Roman"/>
              </w:rPr>
            </w:pPr>
            <w:r w:rsidRPr="00B9220B">
              <w:rPr>
                <w:rFonts w:ascii="Trebuchet MS" w:hAnsi="Trebuchet MS" w:cs="Times New Roman"/>
              </w:rPr>
              <w:t>impozit pe venit</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b) bugete locale</w:t>
            </w:r>
          </w:p>
          <w:p w:rsidR="00731DC3" w:rsidRPr="00B9220B" w:rsidRDefault="00731DC3" w:rsidP="00A87583">
            <w:pPr>
              <w:numPr>
                <w:ilvl w:val="0"/>
                <w:numId w:val="2"/>
              </w:numPr>
              <w:tabs>
                <w:tab w:val="left" w:pos="3960"/>
              </w:tabs>
              <w:spacing w:after="0" w:line="240" w:lineRule="auto"/>
              <w:jc w:val="both"/>
              <w:rPr>
                <w:rFonts w:ascii="Trebuchet MS" w:hAnsi="Trebuchet MS" w:cs="Times New Roman"/>
              </w:rPr>
            </w:pPr>
            <w:r w:rsidRPr="00B9220B">
              <w:rPr>
                <w:rFonts w:ascii="Trebuchet MS" w:hAnsi="Trebuchet MS" w:cs="Times New Roman"/>
              </w:rPr>
              <w:t>impozit pe profit</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lastRenderedPageBreak/>
              <w:t>c) bugetul asigurărilor sociale de stat:</w:t>
            </w:r>
          </w:p>
          <w:p w:rsidR="00731DC3" w:rsidRPr="00B9220B" w:rsidRDefault="00731DC3" w:rsidP="00A87583">
            <w:pPr>
              <w:numPr>
                <w:ilvl w:val="0"/>
                <w:numId w:val="3"/>
              </w:numPr>
              <w:tabs>
                <w:tab w:val="left" w:pos="3960"/>
              </w:tabs>
              <w:spacing w:after="0" w:line="240" w:lineRule="auto"/>
              <w:jc w:val="both"/>
              <w:rPr>
                <w:rFonts w:ascii="Trebuchet MS" w:hAnsi="Trebuchet MS" w:cs="Times New Roman"/>
              </w:rPr>
            </w:pPr>
            <w:r w:rsidRPr="00B9220B">
              <w:rPr>
                <w:rFonts w:ascii="Trebuchet MS" w:hAnsi="Trebuchet MS" w:cs="Times New Roman"/>
              </w:rPr>
              <w:t>contribu</w:t>
            </w:r>
            <w:r w:rsidR="00337D66" w:rsidRPr="00B9220B">
              <w:rPr>
                <w:rFonts w:ascii="Trebuchet MS" w:hAnsi="Trebuchet MS" w:cs="Times New Roman"/>
              </w:rPr>
              <w:t>ț</w:t>
            </w:r>
            <w:r w:rsidRPr="00B9220B">
              <w:rPr>
                <w:rFonts w:ascii="Trebuchet MS" w:hAnsi="Trebuchet MS" w:cs="Times New Roman"/>
              </w:rPr>
              <w:t>ii de asigurări</w:t>
            </w:r>
          </w:p>
        </w:tc>
        <w:tc>
          <w:tcPr>
            <w:tcW w:w="1292" w:type="dxa"/>
          </w:tcPr>
          <w:p w:rsidR="00731DC3" w:rsidRPr="00B9220B" w:rsidRDefault="00731DC3" w:rsidP="00A87583">
            <w:pPr>
              <w:tabs>
                <w:tab w:val="left" w:pos="3960"/>
              </w:tabs>
              <w:spacing w:after="0"/>
              <w:rPr>
                <w:rFonts w:ascii="Trebuchet MS" w:hAnsi="Trebuchet MS" w:cs="Times New Roman"/>
              </w:rPr>
            </w:pPr>
          </w:p>
        </w:tc>
        <w:tc>
          <w:tcPr>
            <w:tcW w:w="515" w:type="dxa"/>
          </w:tcPr>
          <w:p w:rsidR="00731DC3" w:rsidRPr="00B9220B" w:rsidRDefault="00731DC3" w:rsidP="00A87583">
            <w:pPr>
              <w:tabs>
                <w:tab w:val="left" w:pos="720"/>
                <w:tab w:val="left" w:pos="3960"/>
                <w:tab w:val="center" w:pos="4153"/>
                <w:tab w:val="right" w:pos="8306"/>
              </w:tabs>
              <w:spacing w:after="0"/>
              <w:rPr>
                <w:rFonts w:ascii="Trebuchet MS" w:hAnsi="Trebuchet MS" w:cs="Times New Roman"/>
              </w:rPr>
            </w:pPr>
          </w:p>
        </w:tc>
        <w:tc>
          <w:tcPr>
            <w:tcW w:w="324" w:type="dxa"/>
          </w:tcPr>
          <w:p w:rsidR="00731DC3" w:rsidRPr="00B9220B" w:rsidRDefault="00731DC3" w:rsidP="00A87583">
            <w:pPr>
              <w:tabs>
                <w:tab w:val="left" w:pos="3960"/>
              </w:tabs>
              <w:spacing w:after="0"/>
              <w:rPr>
                <w:rFonts w:ascii="Trebuchet MS" w:hAnsi="Trebuchet MS" w:cs="Times New Roman"/>
              </w:rPr>
            </w:pPr>
          </w:p>
        </w:tc>
        <w:tc>
          <w:tcPr>
            <w:tcW w:w="343" w:type="dxa"/>
          </w:tcPr>
          <w:p w:rsidR="00731DC3" w:rsidRPr="00B9220B" w:rsidRDefault="00731DC3" w:rsidP="00A87583">
            <w:pPr>
              <w:tabs>
                <w:tab w:val="left" w:pos="3960"/>
              </w:tabs>
              <w:spacing w:after="0"/>
              <w:rPr>
                <w:rFonts w:ascii="Trebuchet MS" w:hAnsi="Trebuchet MS" w:cs="Times New Roman"/>
              </w:rPr>
            </w:pPr>
          </w:p>
        </w:tc>
        <w:tc>
          <w:tcPr>
            <w:tcW w:w="623" w:type="dxa"/>
            <w:gridSpan w:val="2"/>
          </w:tcPr>
          <w:p w:rsidR="00731DC3" w:rsidRPr="00B9220B" w:rsidRDefault="00731DC3" w:rsidP="00A87583">
            <w:pPr>
              <w:tabs>
                <w:tab w:val="left" w:pos="3960"/>
              </w:tabs>
              <w:spacing w:after="0"/>
              <w:rPr>
                <w:rFonts w:ascii="Trebuchet MS" w:hAnsi="Trebuchet MS" w:cs="Times New Roman"/>
              </w:rPr>
            </w:pPr>
          </w:p>
        </w:tc>
        <w:tc>
          <w:tcPr>
            <w:tcW w:w="1550" w:type="dxa"/>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rPr>
          <w:trHeight w:val="530"/>
        </w:trPr>
        <w:tc>
          <w:tcPr>
            <w:tcW w:w="9487" w:type="dxa"/>
            <w:gridSpan w:val="8"/>
          </w:tcPr>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2Modificări ale cheltuielilor bugetare, plus/minus, din care:</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a) buget de stat, din acesta:</w:t>
            </w:r>
          </w:p>
          <w:p w:rsidR="00731DC3" w:rsidRPr="00B9220B" w:rsidRDefault="00731DC3" w:rsidP="00A87583">
            <w:pPr>
              <w:numPr>
                <w:ilvl w:val="0"/>
                <w:numId w:val="4"/>
              </w:numPr>
              <w:tabs>
                <w:tab w:val="left" w:pos="3960"/>
              </w:tabs>
              <w:spacing w:after="0" w:line="240" w:lineRule="auto"/>
              <w:jc w:val="both"/>
              <w:rPr>
                <w:rFonts w:ascii="Trebuchet MS" w:hAnsi="Trebuchet MS" w:cs="Times New Roman"/>
              </w:rPr>
            </w:pPr>
            <w:r w:rsidRPr="00B9220B">
              <w:rPr>
                <w:rFonts w:ascii="Trebuchet MS" w:hAnsi="Trebuchet MS" w:cs="Times New Roman"/>
              </w:rPr>
              <w:t>cheltuieli de personal</w:t>
            </w:r>
          </w:p>
          <w:p w:rsidR="00731DC3" w:rsidRPr="00B9220B" w:rsidRDefault="00731DC3" w:rsidP="00A87583">
            <w:pPr>
              <w:numPr>
                <w:ilvl w:val="0"/>
                <w:numId w:val="4"/>
              </w:numPr>
              <w:tabs>
                <w:tab w:val="left" w:pos="3960"/>
              </w:tabs>
              <w:spacing w:after="0" w:line="240" w:lineRule="auto"/>
              <w:jc w:val="both"/>
              <w:rPr>
                <w:rFonts w:ascii="Trebuchet MS" w:hAnsi="Trebuchet MS" w:cs="Times New Roman"/>
              </w:rPr>
            </w:pPr>
            <w:r w:rsidRPr="00B9220B">
              <w:rPr>
                <w:rFonts w:ascii="Trebuchet MS" w:hAnsi="Trebuchet MS" w:cs="Times New Roman"/>
              </w:rPr>
              <w:t xml:space="preserve">bunuri </w:t>
            </w:r>
            <w:r w:rsidR="00337D66" w:rsidRPr="00B9220B">
              <w:rPr>
                <w:rFonts w:ascii="Trebuchet MS" w:hAnsi="Trebuchet MS" w:cs="Times New Roman"/>
              </w:rPr>
              <w:t>ș</w:t>
            </w:r>
            <w:r w:rsidRPr="00B9220B">
              <w:rPr>
                <w:rFonts w:ascii="Trebuchet MS" w:hAnsi="Trebuchet MS" w:cs="Times New Roman"/>
              </w:rPr>
              <w:t>i servicii</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b) bugete locale:</w:t>
            </w:r>
          </w:p>
          <w:p w:rsidR="00731DC3" w:rsidRPr="00B9220B" w:rsidRDefault="00731DC3" w:rsidP="00A87583">
            <w:pPr>
              <w:numPr>
                <w:ilvl w:val="0"/>
                <w:numId w:val="5"/>
              </w:numPr>
              <w:tabs>
                <w:tab w:val="left" w:pos="3960"/>
              </w:tabs>
              <w:spacing w:after="0" w:line="240" w:lineRule="auto"/>
              <w:jc w:val="both"/>
              <w:rPr>
                <w:rFonts w:ascii="Trebuchet MS" w:hAnsi="Trebuchet MS" w:cs="Times New Roman"/>
              </w:rPr>
            </w:pPr>
            <w:r w:rsidRPr="00B9220B">
              <w:rPr>
                <w:rFonts w:ascii="Trebuchet MS" w:hAnsi="Trebuchet MS" w:cs="Times New Roman"/>
              </w:rPr>
              <w:t>cheltuieli de personal</w:t>
            </w:r>
          </w:p>
          <w:p w:rsidR="00731DC3" w:rsidRPr="00B9220B" w:rsidRDefault="00731DC3" w:rsidP="00A87583">
            <w:pPr>
              <w:numPr>
                <w:ilvl w:val="0"/>
                <w:numId w:val="5"/>
              </w:numPr>
              <w:tabs>
                <w:tab w:val="left" w:pos="3960"/>
              </w:tabs>
              <w:spacing w:after="0" w:line="240" w:lineRule="auto"/>
              <w:jc w:val="both"/>
              <w:rPr>
                <w:rFonts w:ascii="Trebuchet MS" w:hAnsi="Trebuchet MS" w:cs="Times New Roman"/>
              </w:rPr>
            </w:pPr>
            <w:r w:rsidRPr="00B9220B">
              <w:rPr>
                <w:rFonts w:ascii="Trebuchet MS" w:hAnsi="Trebuchet MS" w:cs="Times New Roman"/>
              </w:rPr>
              <w:t xml:space="preserve">bunuri </w:t>
            </w:r>
            <w:r w:rsidR="00337D66" w:rsidRPr="00B9220B">
              <w:rPr>
                <w:rFonts w:ascii="Trebuchet MS" w:hAnsi="Trebuchet MS" w:cs="Times New Roman"/>
              </w:rPr>
              <w:t>ș</w:t>
            </w:r>
            <w:r w:rsidRPr="00B9220B">
              <w:rPr>
                <w:rFonts w:ascii="Trebuchet MS" w:hAnsi="Trebuchet MS" w:cs="Times New Roman"/>
              </w:rPr>
              <w:t>i servicii</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c) bugetul asigurărilor sociale de stat:</w:t>
            </w:r>
          </w:p>
          <w:p w:rsidR="00731DC3" w:rsidRPr="00B9220B" w:rsidRDefault="00731DC3" w:rsidP="00A87583">
            <w:pPr>
              <w:numPr>
                <w:ilvl w:val="0"/>
                <w:numId w:val="6"/>
              </w:numPr>
              <w:tabs>
                <w:tab w:val="left" w:pos="3960"/>
              </w:tabs>
              <w:spacing w:after="0" w:line="240" w:lineRule="auto"/>
              <w:jc w:val="both"/>
              <w:rPr>
                <w:rFonts w:ascii="Trebuchet MS" w:hAnsi="Trebuchet MS" w:cs="Times New Roman"/>
              </w:rPr>
            </w:pPr>
            <w:r w:rsidRPr="00B9220B">
              <w:rPr>
                <w:rFonts w:ascii="Trebuchet MS" w:hAnsi="Trebuchet MS" w:cs="Times New Roman"/>
              </w:rPr>
              <w:t>cheltuieli de personal</w:t>
            </w:r>
          </w:p>
          <w:p w:rsidR="00731DC3" w:rsidRPr="00B9220B" w:rsidRDefault="00731DC3" w:rsidP="00A87583">
            <w:pPr>
              <w:numPr>
                <w:ilvl w:val="0"/>
                <w:numId w:val="6"/>
              </w:numPr>
              <w:tabs>
                <w:tab w:val="left" w:pos="3960"/>
              </w:tabs>
              <w:spacing w:after="0" w:line="240" w:lineRule="auto"/>
              <w:jc w:val="both"/>
              <w:rPr>
                <w:rFonts w:ascii="Trebuchet MS" w:hAnsi="Trebuchet MS" w:cs="Times New Roman"/>
              </w:rPr>
            </w:pPr>
            <w:r w:rsidRPr="00B9220B">
              <w:rPr>
                <w:rFonts w:ascii="Trebuchet MS" w:hAnsi="Trebuchet MS" w:cs="Times New Roman"/>
              </w:rPr>
              <w:t xml:space="preserve">bunuri </w:t>
            </w:r>
            <w:r w:rsidR="00337D66" w:rsidRPr="00B9220B">
              <w:rPr>
                <w:rFonts w:ascii="Trebuchet MS" w:hAnsi="Trebuchet MS" w:cs="Times New Roman"/>
              </w:rPr>
              <w:t>ș</w:t>
            </w:r>
            <w:r w:rsidRPr="00B9220B">
              <w:rPr>
                <w:rFonts w:ascii="Trebuchet MS" w:hAnsi="Trebuchet MS" w:cs="Times New Roman"/>
              </w:rPr>
              <w:t xml:space="preserve">i servicii </w:t>
            </w:r>
          </w:p>
        </w:tc>
      </w:tr>
      <w:tr w:rsidR="00731DC3" w:rsidRPr="00B9220B" w:rsidTr="00497023">
        <w:tc>
          <w:tcPr>
            <w:tcW w:w="4840" w:type="dxa"/>
          </w:tcPr>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3. Impact financiar, plus/minus, din care:</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a)buget de stat</w:t>
            </w:r>
          </w:p>
          <w:p w:rsidR="00731DC3" w:rsidRPr="00B9220B" w:rsidRDefault="00731DC3" w:rsidP="00A87583">
            <w:pPr>
              <w:tabs>
                <w:tab w:val="left" w:pos="3960"/>
              </w:tabs>
              <w:spacing w:after="0"/>
              <w:rPr>
                <w:rFonts w:ascii="Trebuchet MS" w:hAnsi="Trebuchet MS" w:cs="Times New Roman"/>
              </w:rPr>
            </w:pPr>
            <w:r w:rsidRPr="00B9220B">
              <w:rPr>
                <w:rFonts w:ascii="Trebuchet MS" w:hAnsi="Trebuchet MS" w:cs="Times New Roman"/>
              </w:rPr>
              <w:t>b) bugete locale</w:t>
            </w:r>
          </w:p>
        </w:tc>
        <w:tc>
          <w:tcPr>
            <w:tcW w:w="1292" w:type="dxa"/>
          </w:tcPr>
          <w:p w:rsidR="00731DC3" w:rsidRPr="00B9220B" w:rsidRDefault="00731DC3" w:rsidP="00A87583">
            <w:pPr>
              <w:tabs>
                <w:tab w:val="left" w:pos="3960"/>
              </w:tabs>
              <w:spacing w:after="0"/>
              <w:rPr>
                <w:rFonts w:ascii="Trebuchet MS" w:hAnsi="Trebuchet MS" w:cs="Times New Roman"/>
              </w:rPr>
            </w:pPr>
          </w:p>
        </w:tc>
        <w:tc>
          <w:tcPr>
            <w:tcW w:w="515" w:type="dxa"/>
          </w:tcPr>
          <w:p w:rsidR="00731DC3" w:rsidRPr="00B9220B" w:rsidRDefault="00731DC3" w:rsidP="00A87583">
            <w:pPr>
              <w:tabs>
                <w:tab w:val="left" w:pos="3960"/>
              </w:tabs>
              <w:spacing w:after="0"/>
              <w:rPr>
                <w:rFonts w:ascii="Trebuchet MS" w:hAnsi="Trebuchet MS" w:cs="Times New Roman"/>
              </w:rPr>
            </w:pPr>
          </w:p>
        </w:tc>
        <w:tc>
          <w:tcPr>
            <w:tcW w:w="324" w:type="dxa"/>
          </w:tcPr>
          <w:p w:rsidR="00731DC3" w:rsidRPr="00B9220B" w:rsidRDefault="00731DC3" w:rsidP="00A87583">
            <w:pPr>
              <w:tabs>
                <w:tab w:val="left" w:pos="3960"/>
              </w:tabs>
              <w:spacing w:after="0"/>
              <w:rPr>
                <w:rFonts w:ascii="Trebuchet MS" w:hAnsi="Trebuchet MS" w:cs="Times New Roman"/>
              </w:rPr>
            </w:pPr>
          </w:p>
        </w:tc>
        <w:tc>
          <w:tcPr>
            <w:tcW w:w="343" w:type="dxa"/>
          </w:tcPr>
          <w:p w:rsidR="00731DC3" w:rsidRPr="00B9220B" w:rsidRDefault="00731DC3" w:rsidP="00A87583">
            <w:pPr>
              <w:tabs>
                <w:tab w:val="left" w:pos="3960"/>
              </w:tabs>
              <w:spacing w:after="0"/>
              <w:rPr>
                <w:rFonts w:ascii="Trebuchet MS" w:hAnsi="Trebuchet MS" w:cs="Times New Roman"/>
              </w:rPr>
            </w:pPr>
          </w:p>
        </w:tc>
        <w:tc>
          <w:tcPr>
            <w:tcW w:w="544" w:type="dxa"/>
          </w:tcPr>
          <w:p w:rsidR="00731DC3" w:rsidRPr="00B9220B" w:rsidRDefault="00731DC3" w:rsidP="00A87583">
            <w:pPr>
              <w:tabs>
                <w:tab w:val="left" w:pos="3960"/>
              </w:tabs>
              <w:spacing w:after="0"/>
              <w:rPr>
                <w:rFonts w:ascii="Trebuchet MS" w:hAnsi="Trebuchet MS" w:cs="Times New Roman"/>
              </w:rPr>
            </w:pPr>
          </w:p>
        </w:tc>
        <w:tc>
          <w:tcPr>
            <w:tcW w:w="1629" w:type="dxa"/>
            <w:gridSpan w:val="2"/>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c>
          <w:tcPr>
            <w:tcW w:w="4840" w:type="dxa"/>
          </w:tcPr>
          <w:p w:rsidR="00731DC3" w:rsidRPr="00B9220B" w:rsidRDefault="00731DC3" w:rsidP="00A87583">
            <w:pPr>
              <w:tabs>
                <w:tab w:val="left" w:pos="3960"/>
              </w:tabs>
              <w:spacing w:after="0"/>
              <w:rPr>
                <w:rFonts w:ascii="Trebuchet MS" w:hAnsi="Trebuchet MS" w:cs="Times New Roman"/>
              </w:rPr>
            </w:pPr>
            <w:r w:rsidRPr="00B9220B">
              <w:rPr>
                <w:rFonts w:ascii="Trebuchet MS" w:hAnsi="Trebuchet MS" w:cs="Times New Roman"/>
              </w:rPr>
              <w:t>4. Propuneri pentru acoperirea cre</w:t>
            </w:r>
            <w:r w:rsidR="00337D66" w:rsidRPr="00B9220B">
              <w:rPr>
                <w:rFonts w:ascii="Trebuchet MS" w:hAnsi="Trebuchet MS" w:cs="Times New Roman"/>
              </w:rPr>
              <w:t>ș</w:t>
            </w:r>
            <w:r w:rsidRPr="00B9220B">
              <w:rPr>
                <w:rFonts w:ascii="Trebuchet MS" w:hAnsi="Trebuchet MS" w:cs="Times New Roman"/>
              </w:rPr>
              <w:t>terii cheltuielilor bugetare</w:t>
            </w:r>
          </w:p>
        </w:tc>
        <w:tc>
          <w:tcPr>
            <w:tcW w:w="1292" w:type="dxa"/>
          </w:tcPr>
          <w:p w:rsidR="00731DC3" w:rsidRPr="00B9220B" w:rsidRDefault="00731DC3" w:rsidP="00A87583">
            <w:pPr>
              <w:tabs>
                <w:tab w:val="left" w:pos="3960"/>
              </w:tabs>
              <w:spacing w:after="0"/>
              <w:rPr>
                <w:rFonts w:ascii="Trebuchet MS" w:hAnsi="Trebuchet MS" w:cs="Times New Roman"/>
              </w:rPr>
            </w:pPr>
          </w:p>
        </w:tc>
        <w:tc>
          <w:tcPr>
            <w:tcW w:w="515" w:type="dxa"/>
          </w:tcPr>
          <w:p w:rsidR="00731DC3" w:rsidRPr="00B9220B" w:rsidRDefault="00731DC3" w:rsidP="00A87583">
            <w:pPr>
              <w:tabs>
                <w:tab w:val="left" w:pos="3960"/>
              </w:tabs>
              <w:spacing w:after="0"/>
              <w:rPr>
                <w:rFonts w:ascii="Trebuchet MS" w:hAnsi="Trebuchet MS" w:cs="Times New Roman"/>
              </w:rPr>
            </w:pPr>
          </w:p>
        </w:tc>
        <w:tc>
          <w:tcPr>
            <w:tcW w:w="324" w:type="dxa"/>
          </w:tcPr>
          <w:p w:rsidR="00731DC3" w:rsidRPr="00B9220B" w:rsidRDefault="00731DC3" w:rsidP="00A87583">
            <w:pPr>
              <w:tabs>
                <w:tab w:val="left" w:pos="3960"/>
              </w:tabs>
              <w:spacing w:after="0"/>
              <w:rPr>
                <w:rFonts w:ascii="Trebuchet MS" w:hAnsi="Trebuchet MS" w:cs="Times New Roman"/>
              </w:rPr>
            </w:pPr>
          </w:p>
        </w:tc>
        <w:tc>
          <w:tcPr>
            <w:tcW w:w="343" w:type="dxa"/>
          </w:tcPr>
          <w:p w:rsidR="00731DC3" w:rsidRPr="00B9220B" w:rsidRDefault="00731DC3" w:rsidP="00A87583">
            <w:pPr>
              <w:tabs>
                <w:tab w:val="left" w:pos="3960"/>
              </w:tabs>
              <w:spacing w:after="0"/>
              <w:rPr>
                <w:rFonts w:ascii="Trebuchet MS" w:hAnsi="Trebuchet MS" w:cs="Times New Roman"/>
              </w:rPr>
            </w:pPr>
          </w:p>
        </w:tc>
        <w:tc>
          <w:tcPr>
            <w:tcW w:w="544" w:type="dxa"/>
          </w:tcPr>
          <w:p w:rsidR="00731DC3" w:rsidRPr="00B9220B" w:rsidRDefault="00731DC3" w:rsidP="00A87583">
            <w:pPr>
              <w:tabs>
                <w:tab w:val="left" w:pos="3960"/>
              </w:tabs>
              <w:spacing w:after="0"/>
              <w:rPr>
                <w:rFonts w:ascii="Trebuchet MS" w:hAnsi="Trebuchet MS" w:cs="Times New Roman"/>
              </w:rPr>
            </w:pPr>
          </w:p>
        </w:tc>
        <w:tc>
          <w:tcPr>
            <w:tcW w:w="1629" w:type="dxa"/>
            <w:gridSpan w:val="2"/>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c>
          <w:tcPr>
            <w:tcW w:w="4840" w:type="dxa"/>
          </w:tcPr>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5. Propuneri pentru a compensa reducerea veniturilor bugetare</w:t>
            </w:r>
          </w:p>
        </w:tc>
        <w:tc>
          <w:tcPr>
            <w:tcW w:w="1292" w:type="dxa"/>
          </w:tcPr>
          <w:p w:rsidR="00731DC3" w:rsidRPr="00B9220B" w:rsidRDefault="00731DC3" w:rsidP="00A87583">
            <w:pPr>
              <w:tabs>
                <w:tab w:val="left" w:pos="3960"/>
              </w:tabs>
              <w:spacing w:after="0"/>
              <w:rPr>
                <w:rFonts w:ascii="Trebuchet MS" w:hAnsi="Trebuchet MS" w:cs="Times New Roman"/>
              </w:rPr>
            </w:pPr>
          </w:p>
        </w:tc>
        <w:tc>
          <w:tcPr>
            <w:tcW w:w="515" w:type="dxa"/>
          </w:tcPr>
          <w:p w:rsidR="00731DC3" w:rsidRPr="00B9220B" w:rsidRDefault="00731DC3" w:rsidP="00A87583">
            <w:pPr>
              <w:tabs>
                <w:tab w:val="left" w:pos="3960"/>
              </w:tabs>
              <w:spacing w:after="0"/>
              <w:rPr>
                <w:rFonts w:ascii="Trebuchet MS" w:hAnsi="Trebuchet MS" w:cs="Times New Roman"/>
              </w:rPr>
            </w:pPr>
          </w:p>
        </w:tc>
        <w:tc>
          <w:tcPr>
            <w:tcW w:w="324" w:type="dxa"/>
          </w:tcPr>
          <w:p w:rsidR="00731DC3" w:rsidRPr="00B9220B" w:rsidRDefault="00731DC3" w:rsidP="00A87583">
            <w:pPr>
              <w:tabs>
                <w:tab w:val="left" w:pos="3960"/>
              </w:tabs>
              <w:spacing w:after="0"/>
              <w:rPr>
                <w:rFonts w:ascii="Trebuchet MS" w:hAnsi="Trebuchet MS" w:cs="Times New Roman"/>
              </w:rPr>
            </w:pPr>
          </w:p>
        </w:tc>
        <w:tc>
          <w:tcPr>
            <w:tcW w:w="343" w:type="dxa"/>
          </w:tcPr>
          <w:p w:rsidR="00731DC3" w:rsidRPr="00B9220B" w:rsidRDefault="00731DC3" w:rsidP="00A87583">
            <w:pPr>
              <w:tabs>
                <w:tab w:val="left" w:pos="3960"/>
              </w:tabs>
              <w:spacing w:after="0"/>
              <w:rPr>
                <w:rFonts w:ascii="Trebuchet MS" w:hAnsi="Trebuchet MS" w:cs="Times New Roman"/>
              </w:rPr>
            </w:pPr>
          </w:p>
        </w:tc>
        <w:tc>
          <w:tcPr>
            <w:tcW w:w="544" w:type="dxa"/>
          </w:tcPr>
          <w:p w:rsidR="00731DC3" w:rsidRPr="00B9220B" w:rsidRDefault="00731DC3" w:rsidP="00A87583">
            <w:pPr>
              <w:tabs>
                <w:tab w:val="left" w:pos="3960"/>
              </w:tabs>
              <w:spacing w:after="0"/>
              <w:rPr>
                <w:rFonts w:ascii="Trebuchet MS" w:hAnsi="Trebuchet MS" w:cs="Times New Roman"/>
              </w:rPr>
            </w:pPr>
          </w:p>
        </w:tc>
        <w:tc>
          <w:tcPr>
            <w:tcW w:w="1629" w:type="dxa"/>
            <w:gridSpan w:val="2"/>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c>
          <w:tcPr>
            <w:tcW w:w="4840" w:type="dxa"/>
          </w:tcPr>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 xml:space="preserve">6. Calcule detaliate privind fundamentarea modificărilor veniturilor </w:t>
            </w:r>
            <w:r w:rsidR="00337D66" w:rsidRPr="00B9220B">
              <w:rPr>
                <w:rFonts w:ascii="Trebuchet MS" w:hAnsi="Trebuchet MS" w:cs="Times New Roman"/>
              </w:rPr>
              <w:t>ș</w:t>
            </w:r>
            <w:r w:rsidRPr="00B9220B">
              <w:rPr>
                <w:rFonts w:ascii="Trebuchet MS" w:hAnsi="Trebuchet MS" w:cs="Times New Roman"/>
              </w:rPr>
              <w:t>i/sau cheltuielilor bugetare</w:t>
            </w:r>
          </w:p>
        </w:tc>
        <w:tc>
          <w:tcPr>
            <w:tcW w:w="1292" w:type="dxa"/>
          </w:tcPr>
          <w:p w:rsidR="00731DC3" w:rsidRPr="00B9220B" w:rsidRDefault="00731DC3" w:rsidP="00A87583">
            <w:pPr>
              <w:tabs>
                <w:tab w:val="left" w:pos="3960"/>
              </w:tabs>
              <w:spacing w:after="0"/>
              <w:rPr>
                <w:rFonts w:ascii="Trebuchet MS" w:hAnsi="Trebuchet MS" w:cs="Times New Roman"/>
              </w:rPr>
            </w:pPr>
          </w:p>
        </w:tc>
        <w:tc>
          <w:tcPr>
            <w:tcW w:w="515" w:type="dxa"/>
          </w:tcPr>
          <w:p w:rsidR="00731DC3" w:rsidRPr="00B9220B" w:rsidRDefault="00731DC3" w:rsidP="00A87583">
            <w:pPr>
              <w:tabs>
                <w:tab w:val="left" w:pos="3960"/>
              </w:tabs>
              <w:spacing w:after="0"/>
              <w:rPr>
                <w:rFonts w:ascii="Trebuchet MS" w:hAnsi="Trebuchet MS" w:cs="Times New Roman"/>
              </w:rPr>
            </w:pPr>
          </w:p>
        </w:tc>
        <w:tc>
          <w:tcPr>
            <w:tcW w:w="324" w:type="dxa"/>
          </w:tcPr>
          <w:p w:rsidR="00731DC3" w:rsidRPr="00B9220B" w:rsidRDefault="00731DC3" w:rsidP="00A87583">
            <w:pPr>
              <w:tabs>
                <w:tab w:val="left" w:pos="3960"/>
              </w:tabs>
              <w:spacing w:after="0"/>
              <w:rPr>
                <w:rFonts w:ascii="Trebuchet MS" w:hAnsi="Trebuchet MS" w:cs="Times New Roman"/>
              </w:rPr>
            </w:pPr>
          </w:p>
        </w:tc>
        <w:tc>
          <w:tcPr>
            <w:tcW w:w="343" w:type="dxa"/>
          </w:tcPr>
          <w:p w:rsidR="00731DC3" w:rsidRPr="00B9220B" w:rsidRDefault="00731DC3" w:rsidP="00A87583">
            <w:pPr>
              <w:tabs>
                <w:tab w:val="left" w:pos="3960"/>
              </w:tabs>
              <w:spacing w:after="0"/>
              <w:rPr>
                <w:rFonts w:ascii="Trebuchet MS" w:hAnsi="Trebuchet MS" w:cs="Times New Roman"/>
              </w:rPr>
            </w:pPr>
          </w:p>
        </w:tc>
        <w:tc>
          <w:tcPr>
            <w:tcW w:w="544" w:type="dxa"/>
          </w:tcPr>
          <w:p w:rsidR="00731DC3" w:rsidRPr="00B9220B" w:rsidRDefault="00731DC3" w:rsidP="00A87583">
            <w:pPr>
              <w:tabs>
                <w:tab w:val="left" w:pos="3960"/>
              </w:tabs>
              <w:spacing w:after="0"/>
              <w:rPr>
                <w:rFonts w:ascii="Trebuchet MS" w:hAnsi="Trebuchet MS" w:cs="Times New Roman"/>
              </w:rPr>
            </w:pPr>
          </w:p>
        </w:tc>
        <w:tc>
          <w:tcPr>
            <w:tcW w:w="1629" w:type="dxa"/>
            <w:gridSpan w:val="2"/>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c>
          <w:tcPr>
            <w:tcW w:w="4840" w:type="dxa"/>
          </w:tcPr>
          <w:p w:rsidR="00731DC3" w:rsidRPr="00B9220B" w:rsidRDefault="00731DC3" w:rsidP="00A87583">
            <w:pPr>
              <w:tabs>
                <w:tab w:val="left" w:pos="3960"/>
              </w:tabs>
              <w:spacing w:after="0"/>
              <w:rPr>
                <w:rFonts w:ascii="Trebuchet MS" w:hAnsi="Trebuchet MS" w:cs="Times New Roman"/>
              </w:rPr>
            </w:pPr>
            <w:r w:rsidRPr="00B9220B">
              <w:rPr>
                <w:rFonts w:ascii="Trebuchet MS" w:hAnsi="Trebuchet MS" w:cs="Times New Roman"/>
              </w:rPr>
              <w:t>7. Alte informa</w:t>
            </w:r>
            <w:r w:rsidR="00337D66" w:rsidRPr="00B9220B">
              <w:rPr>
                <w:rFonts w:ascii="Trebuchet MS" w:hAnsi="Trebuchet MS" w:cs="Times New Roman"/>
              </w:rPr>
              <w:t>ț</w:t>
            </w:r>
            <w:r w:rsidRPr="00B9220B">
              <w:rPr>
                <w:rFonts w:ascii="Trebuchet MS" w:hAnsi="Trebuchet MS" w:cs="Times New Roman"/>
              </w:rPr>
              <w:t xml:space="preserve">ii </w:t>
            </w:r>
          </w:p>
          <w:p w:rsidR="00AA35A4" w:rsidRPr="00B9220B" w:rsidRDefault="00AA35A4" w:rsidP="00A87583">
            <w:pPr>
              <w:tabs>
                <w:tab w:val="left" w:pos="3960"/>
              </w:tabs>
              <w:spacing w:after="0"/>
              <w:rPr>
                <w:rFonts w:ascii="Trebuchet MS" w:hAnsi="Trebuchet MS" w:cs="Times New Roman"/>
              </w:rPr>
            </w:pPr>
            <w:r w:rsidRPr="00B9220B">
              <w:rPr>
                <w:rFonts w:ascii="Trebuchet MS" w:hAnsi="Trebuchet MS" w:cs="Times New Roman"/>
              </w:rPr>
              <w:t>Nu sunt</w:t>
            </w:r>
          </w:p>
        </w:tc>
        <w:tc>
          <w:tcPr>
            <w:tcW w:w="4647" w:type="dxa"/>
            <w:gridSpan w:val="7"/>
          </w:tcPr>
          <w:p w:rsidR="00731DC3" w:rsidRPr="00B9220B" w:rsidRDefault="00731DC3" w:rsidP="00A87583">
            <w:pPr>
              <w:tabs>
                <w:tab w:val="left" w:pos="3960"/>
              </w:tabs>
              <w:spacing w:after="0"/>
              <w:rPr>
                <w:rFonts w:ascii="Trebuchet MS" w:hAnsi="Trebuchet MS" w:cs="Times New Roman"/>
              </w:rPr>
            </w:pPr>
          </w:p>
        </w:tc>
      </w:tr>
      <w:tr w:rsidR="00731DC3" w:rsidRPr="00B9220B" w:rsidTr="00497023">
        <w:tc>
          <w:tcPr>
            <w:tcW w:w="9487" w:type="dxa"/>
            <w:gridSpan w:val="8"/>
          </w:tcPr>
          <w:p w:rsidR="00B20384" w:rsidRPr="00B9220B" w:rsidRDefault="00B20384" w:rsidP="00A87583">
            <w:pPr>
              <w:tabs>
                <w:tab w:val="left" w:pos="3960"/>
              </w:tabs>
              <w:spacing w:after="0"/>
              <w:jc w:val="center"/>
              <w:rPr>
                <w:rFonts w:ascii="Trebuchet MS" w:hAnsi="Trebuchet MS" w:cs="Times New Roman"/>
                <w:b/>
                <w:bCs/>
              </w:rPr>
            </w:pP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5-a</w:t>
            </w:r>
          </w:p>
          <w:p w:rsidR="007B09FA" w:rsidRPr="00B9220B" w:rsidRDefault="00731DC3" w:rsidP="00406152">
            <w:pPr>
              <w:tabs>
                <w:tab w:val="left" w:pos="3960"/>
              </w:tabs>
              <w:spacing w:after="0"/>
              <w:jc w:val="center"/>
              <w:rPr>
                <w:rFonts w:ascii="Trebuchet MS" w:hAnsi="Trebuchet MS" w:cs="Times New Roman"/>
                <w:b/>
                <w:bCs/>
              </w:rPr>
            </w:pPr>
            <w:r w:rsidRPr="00B9220B">
              <w:rPr>
                <w:rFonts w:ascii="Trebuchet MS" w:hAnsi="Trebuchet MS" w:cs="Times New Roman"/>
                <w:b/>
                <w:bCs/>
              </w:rPr>
              <w:t xml:space="preserve">Efectele </w:t>
            </w:r>
            <w:r w:rsidR="00AA35A4" w:rsidRPr="00B9220B">
              <w:rPr>
                <w:rFonts w:ascii="Trebuchet MS" w:hAnsi="Trebuchet MS" w:cs="Times New Roman"/>
                <w:b/>
                <w:bCs/>
              </w:rPr>
              <w:t>proiect</w:t>
            </w:r>
            <w:r w:rsidR="00406152" w:rsidRPr="00B9220B">
              <w:rPr>
                <w:rFonts w:ascii="Trebuchet MS" w:hAnsi="Trebuchet MS" w:cs="Times New Roman"/>
                <w:b/>
                <w:bCs/>
              </w:rPr>
              <w:t>ului</w:t>
            </w:r>
            <w:r w:rsidR="00AA35A4" w:rsidRPr="00B9220B">
              <w:rPr>
                <w:rFonts w:ascii="Trebuchet MS" w:hAnsi="Trebuchet MS" w:cs="Times New Roman"/>
                <w:b/>
                <w:bCs/>
              </w:rPr>
              <w:t xml:space="preserve"> de </w:t>
            </w:r>
            <w:r w:rsidRPr="00B9220B">
              <w:rPr>
                <w:rFonts w:ascii="Trebuchet MS" w:hAnsi="Trebuchet MS" w:cs="Times New Roman"/>
                <w:b/>
                <w:bCs/>
              </w:rPr>
              <w:t>act normat</w:t>
            </w:r>
            <w:r w:rsidR="00497023" w:rsidRPr="00B9220B">
              <w:rPr>
                <w:rFonts w:ascii="Trebuchet MS" w:hAnsi="Trebuchet MS" w:cs="Times New Roman"/>
                <w:b/>
                <w:bCs/>
              </w:rPr>
              <w:t>iv asupra legisla</w:t>
            </w:r>
            <w:r w:rsidR="00337D66" w:rsidRPr="00B9220B">
              <w:rPr>
                <w:rFonts w:ascii="Trebuchet MS" w:hAnsi="Trebuchet MS" w:cs="Times New Roman"/>
                <w:b/>
                <w:bCs/>
              </w:rPr>
              <w:t>ț</w:t>
            </w:r>
            <w:r w:rsidR="00497023" w:rsidRPr="00B9220B">
              <w:rPr>
                <w:rFonts w:ascii="Trebuchet MS" w:hAnsi="Trebuchet MS" w:cs="Times New Roman"/>
                <w:b/>
                <w:bCs/>
              </w:rPr>
              <w:t>iei în vigoare</w:t>
            </w:r>
          </w:p>
          <w:p w:rsidR="00B20384" w:rsidRPr="00B9220B" w:rsidRDefault="00B20384" w:rsidP="00406152">
            <w:pPr>
              <w:tabs>
                <w:tab w:val="left" w:pos="3960"/>
              </w:tabs>
              <w:spacing w:after="0"/>
              <w:jc w:val="center"/>
              <w:rPr>
                <w:rFonts w:ascii="Trebuchet MS" w:hAnsi="Trebuchet MS" w:cs="Times New Roman"/>
                <w:b/>
                <w:bCs/>
              </w:rPr>
            </w:pPr>
          </w:p>
        </w:tc>
      </w:tr>
      <w:tr w:rsidR="00731DC3" w:rsidRPr="00B9220B" w:rsidTr="00497023">
        <w:tc>
          <w:tcPr>
            <w:tcW w:w="9487" w:type="dxa"/>
            <w:gridSpan w:val="8"/>
          </w:tcPr>
          <w:p w:rsidR="008B287F" w:rsidRPr="00B9220B" w:rsidRDefault="00731DC3" w:rsidP="008B287F">
            <w:pPr>
              <w:tabs>
                <w:tab w:val="left" w:pos="3960"/>
              </w:tabs>
              <w:autoSpaceDE w:val="0"/>
              <w:autoSpaceDN w:val="0"/>
              <w:adjustRightInd w:val="0"/>
              <w:spacing w:after="0" w:line="240" w:lineRule="auto"/>
              <w:jc w:val="both"/>
              <w:rPr>
                <w:rFonts w:ascii="Trebuchet MS" w:hAnsi="Trebuchet MS" w:cs="Times New Roman"/>
                <w:b/>
                <w:bCs/>
              </w:rPr>
            </w:pPr>
            <w:r w:rsidRPr="00B9220B">
              <w:rPr>
                <w:rFonts w:ascii="Trebuchet MS" w:hAnsi="Trebuchet MS" w:cs="Times New Roman"/>
                <w:b/>
                <w:bCs/>
              </w:rPr>
              <w:t xml:space="preserve">1. </w:t>
            </w:r>
            <w:r w:rsidR="008B287F" w:rsidRPr="00B9220B">
              <w:rPr>
                <w:rFonts w:ascii="Trebuchet MS" w:hAnsi="Trebuchet MS" w:cs="Times New Roman"/>
                <w:b/>
                <w:bCs/>
              </w:rPr>
              <w:t>Măsuri normative necesare pentru aplicarea prevederilor proiectului de act normativ (acte normative în vigoare ce vor fi modificate sau abrogate, ca urmare a intrării în vigoare a proiectului de act normativ):</w:t>
            </w:r>
          </w:p>
          <w:p w:rsidR="008B287F" w:rsidRPr="00B9220B"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B9220B">
              <w:rPr>
                <w:rFonts w:ascii="Trebuchet MS" w:hAnsi="Trebuchet MS" w:cs="Times New Roman"/>
                <w:i/>
                <w:iCs/>
              </w:rPr>
              <w:t>a) acte normative care se modifică sau se abrogă ca urmare a intrării în vigoare a proiectului de act normativ;</w:t>
            </w:r>
          </w:p>
          <w:p w:rsidR="008B287F" w:rsidRPr="00B9220B"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r w:rsidRPr="00B9220B">
              <w:rPr>
                <w:rFonts w:ascii="Trebuchet MS" w:hAnsi="Trebuchet MS" w:cs="Times New Roman"/>
                <w:i/>
                <w:iCs/>
              </w:rPr>
              <w:t>b) acte normative ce urmează a fi elaborate în vederea implementării noilor dispozi</w:t>
            </w:r>
            <w:r w:rsidR="00337D66" w:rsidRPr="00B9220B">
              <w:rPr>
                <w:rFonts w:ascii="Trebuchet MS" w:hAnsi="Trebuchet MS" w:cs="Times New Roman"/>
                <w:i/>
                <w:iCs/>
              </w:rPr>
              <w:t>ț</w:t>
            </w:r>
            <w:r w:rsidRPr="00B9220B">
              <w:rPr>
                <w:rFonts w:ascii="Trebuchet MS" w:hAnsi="Trebuchet MS" w:cs="Times New Roman"/>
                <w:i/>
                <w:iCs/>
              </w:rPr>
              <w:t>ii.</w:t>
            </w:r>
          </w:p>
          <w:p w:rsidR="008B287F" w:rsidRPr="00B9220B" w:rsidRDefault="008B287F" w:rsidP="008B287F">
            <w:pPr>
              <w:tabs>
                <w:tab w:val="left" w:pos="3960"/>
              </w:tabs>
              <w:autoSpaceDE w:val="0"/>
              <w:autoSpaceDN w:val="0"/>
              <w:adjustRightInd w:val="0"/>
              <w:spacing w:after="0" w:line="240" w:lineRule="auto"/>
              <w:jc w:val="both"/>
              <w:rPr>
                <w:rFonts w:ascii="Trebuchet MS" w:hAnsi="Trebuchet MS" w:cs="Times New Roman"/>
                <w:i/>
                <w:iCs/>
              </w:rPr>
            </w:pPr>
          </w:p>
        </w:tc>
      </w:tr>
      <w:tr w:rsidR="00BF2600" w:rsidRPr="00B9220B" w:rsidTr="00497023">
        <w:tc>
          <w:tcPr>
            <w:tcW w:w="9487" w:type="dxa"/>
            <w:gridSpan w:val="8"/>
          </w:tcPr>
          <w:p w:rsidR="00BF2600" w:rsidRPr="00B9220B" w:rsidRDefault="00BF2600" w:rsidP="00B4626A">
            <w:pPr>
              <w:tabs>
                <w:tab w:val="left" w:pos="3960"/>
              </w:tabs>
              <w:autoSpaceDE w:val="0"/>
              <w:autoSpaceDN w:val="0"/>
              <w:adjustRightInd w:val="0"/>
              <w:spacing w:after="0" w:line="240" w:lineRule="auto"/>
              <w:jc w:val="both"/>
              <w:rPr>
                <w:rFonts w:ascii="Trebuchet MS" w:hAnsi="Trebuchet MS" w:cs="Times New Roman"/>
                <w:b/>
                <w:bCs/>
              </w:rPr>
            </w:pPr>
            <w:r w:rsidRPr="00B9220B">
              <w:rPr>
                <w:rFonts w:ascii="Trebuchet MS" w:hAnsi="Trebuchet MS" w:cs="Times New Roman"/>
                <w:b/>
                <w:bCs/>
              </w:rPr>
              <w:t>1</w:t>
            </w:r>
            <w:r w:rsidRPr="00B9220B">
              <w:rPr>
                <w:rFonts w:ascii="Trebuchet MS" w:hAnsi="Trebuchet MS" w:cs="Times New Roman"/>
                <w:b/>
                <w:bCs/>
                <w:vertAlign w:val="superscript"/>
              </w:rPr>
              <w:t>1</w:t>
            </w:r>
            <w:r w:rsidRPr="00B9220B">
              <w:rPr>
                <w:rFonts w:ascii="Trebuchet MS" w:hAnsi="Trebuchet MS" w:cs="Times New Roman"/>
                <w:b/>
                <w:bCs/>
              </w:rPr>
              <w:t>. Compatibilitatea proiectului de act normativ cu legisla</w:t>
            </w:r>
            <w:r w:rsidR="00337D66" w:rsidRPr="00B9220B">
              <w:rPr>
                <w:rFonts w:ascii="Trebuchet MS" w:hAnsi="Trebuchet MS" w:cs="Times New Roman"/>
                <w:b/>
                <w:bCs/>
              </w:rPr>
              <w:t>ț</w:t>
            </w:r>
            <w:r w:rsidRPr="00B9220B">
              <w:rPr>
                <w:rFonts w:ascii="Trebuchet MS" w:hAnsi="Trebuchet MS" w:cs="Times New Roman"/>
                <w:b/>
                <w:bCs/>
              </w:rPr>
              <w:t>ia în domeniul achizi</w:t>
            </w:r>
            <w:r w:rsidR="00337D66" w:rsidRPr="00B9220B">
              <w:rPr>
                <w:rFonts w:ascii="Trebuchet MS" w:hAnsi="Trebuchet MS" w:cs="Times New Roman"/>
                <w:b/>
                <w:bCs/>
              </w:rPr>
              <w:t>ț</w:t>
            </w:r>
            <w:r w:rsidRPr="00B9220B">
              <w:rPr>
                <w:rFonts w:ascii="Trebuchet MS" w:hAnsi="Trebuchet MS" w:cs="Times New Roman"/>
                <w:b/>
                <w:bCs/>
              </w:rPr>
              <w:t>iilor publice</w:t>
            </w:r>
          </w:p>
          <w:p w:rsidR="00250043" w:rsidRPr="00B9220B" w:rsidRDefault="00250043" w:rsidP="00B4626A">
            <w:pPr>
              <w:tabs>
                <w:tab w:val="left" w:pos="3960"/>
              </w:tabs>
              <w:autoSpaceDE w:val="0"/>
              <w:autoSpaceDN w:val="0"/>
              <w:adjustRightInd w:val="0"/>
              <w:spacing w:after="0" w:line="240" w:lineRule="auto"/>
              <w:jc w:val="both"/>
              <w:rPr>
                <w:rFonts w:ascii="Trebuchet MS" w:hAnsi="Trebuchet MS" w:cs="Times New Roman"/>
                <w:b/>
                <w:bCs/>
              </w:rPr>
            </w:pPr>
            <w:r w:rsidRPr="00B9220B">
              <w:rPr>
                <w:rFonts w:ascii="Trebuchet MS" w:hAnsi="Trebuchet MS" w:cs="Times New Roman"/>
              </w:rPr>
              <w:t>Proiectul de act normativ nu se referă la acest subiect</w:t>
            </w:r>
          </w:p>
        </w:tc>
      </w:tr>
      <w:tr w:rsidR="00731DC3" w:rsidRPr="00B9220B" w:rsidTr="00497023">
        <w:tc>
          <w:tcPr>
            <w:tcW w:w="9487" w:type="dxa"/>
            <w:gridSpan w:val="8"/>
          </w:tcPr>
          <w:p w:rsidR="00731DC3" w:rsidRPr="00B9220B" w:rsidRDefault="00731DC3" w:rsidP="00A82602">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2. Conformitatea proiectului de act normativ cu legisla</w:t>
            </w:r>
            <w:r w:rsidR="00337D66" w:rsidRPr="00B9220B">
              <w:rPr>
                <w:rFonts w:ascii="Trebuchet MS" w:hAnsi="Trebuchet MS" w:cs="Times New Roman"/>
                <w:b/>
                <w:bCs/>
              </w:rPr>
              <w:t>ț</w:t>
            </w:r>
            <w:r w:rsidRPr="00B9220B">
              <w:rPr>
                <w:rFonts w:ascii="Trebuchet MS" w:hAnsi="Trebuchet MS" w:cs="Times New Roman"/>
                <w:b/>
                <w:bCs/>
              </w:rPr>
              <w:t>ia comunitară în cazul proiectelor ce transpun prevederi comunitare:</w:t>
            </w:r>
          </w:p>
        </w:tc>
      </w:tr>
      <w:tr w:rsidR="00731DC3" w:rsidRPr="00B9220B" w:rsidTr="00497023">
        <w:tc>
          <w:tcPr>
            <w:tcW w:w="9487" w:type="dxa"/>
            <w:gridSpan w:val="8"/>
          </w:tcPr>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3. Măsuri normative necesare aplicării directe a actelor normative comunitare</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4. Hotărâri ale Cur</w:t>
            </w:r>
            <w:r w:rsidR="00337D66" w:rsidRPr="00B9220B">
              <w:rPr>
                <w:rFonts w:ascii="Trebuchet MS" w:hAnsi="Trebuchet MS" w:cs="Times New Roman"/>
                <w:b/>
                <w:bCs/>
              </w:rPr>
              <w:t>ț</w:t>
            </w:r>
            <w:r w:rsidRPr="00B9220B">
              <w:rPr>
                <w:rFonts w:ascii="Trebuchet MS" w:hAnsi="Trebuchet MS" w:cs="Times New Roman"/>
                <w:b/>
                <w:bCs/>
              </w:rPr>
              <w:t>ii de Justi</w:t>
            </w:r>
            <w:r w:rsidR="00337D66" w:rsidRPr="00B9220B">
              <w:rPr>
                <w:rFonts w:ascii="Trebuchet MS" w:hAnsi="Trebuchet MS" w:cs="Times New Roman"/>
                <w:b/>
                <w:bCs/>
              </w:rPr>
              <w:t>ț</w:t>
            </w:r>
            <w:r w:rsidRPr="00B9220B">
              <w:rPr>
                <w:rFonts w:ascii="Trebuchet MS" w:hAnsi="Trebuchet MS" w:cs="Times New Roman"/>
                <w:b/>
                <w:bCs/>
              </w:rPr>
              <w:t xml:space="preserve">ie a Uniunii Europene </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 xml:space="preserve">5. </w:t>
            </w:r>
            <w:r w:rsidR="007377AC" w:rsidRPr="00B9220B">
              <w:rPr>
                <w:rFonts w:ascii="Trebuchet MS" w:hAnsi="Trebuchet MS" w:cs="Times New Roman"/>
                <w:b/>
                <w:bCs/>
              </w:rPr>
              <w:t xml:space="preserve">Alte acte normative </w:t>
            </w:r>
            <w:r w:rsidR="00337D66" w:rsidRPr="00B9220B">
              <w:rPr>
                <w:rFonts w:ascii="Trebuchet MS" w:hAnsi="Trebuchet MS" w:cs="Times New Roman"/>
                <w:b/>
                <w:bCs/>
              </w:rPr>
              <w:t>ș</w:t>
            </w:r>
            <w:r w:rsidR="007377AC" w:rsidRPr="00B9220B">
              <w:rPr>
                <w:rFonts w:ascii="Trebuchet MS" w:hAnsi="Trebuchet MS" w:cs="Times New Roman"/>
                <w:b/>
                <w:bCs/>
              </w:rPr>
              <w:t>i/sau documente interna</w:t>
            </w:r>
            <w:r w:rsidR="00337D66" w:rsidRPr="00B9220B">
              <w:rPr>
                <w:rFonts w:ascii="Trebuchet MS" w:hAnsi="Trebuchet MS" w:cs="Times New Roman"/>
                <w:b/>
                <w:bCs/>
              </w:rPr>
              <w:t>ț</w:t>
            </w:r>
            <w:r w:rsidR="007377AC" w:rsidRPr="00B9220B">
              <w:rPr>
                <w:rFonts w:ascii="Trebuchet MS" w:hAnsi="Trebuchet MS" w:cs="Times New Roman"/>
                <w:b/>
                <w:bCs/>
              </w:rPr>
              <w:t>ionale din care decurg angajamente, făcându-se referire la un anume acord, o anume rezolu</w:t>
            </w:r>
            <w:r w:rsidR="00337D66" w:rsidRPr="00B9220B">
              <w:rPr>
                <w:rFonts w:ascii="Trebuchet MS" w:hAnsi="Trebuchet MS" w:cs="Times New Roman"/>
                <w:b/>
                <w:bCs/>
              </w:rPr>
              <w:t>ț</w:t>
            </w:r>
            <w:r w:rsidR="007377AC" w:rsidRPr="00B9220B">
              <w:rPr>
                <w:rFonts w:ascii="Trebuchet MS" w:hAnsi="Trebuchet MS" w:cs="Times New Roman"/>
                <w:b/>
                <w:bCs/>
              </w:rPr>
              <w:t>ie sau recomandare interna</w:t>
            </w:r>
            <w:r w:rsidR="00337D66" w:rsidRPr="00B9220B">
              <w:rPr>
                <w:rFonts w:ascii="Trebuchet MS" w:hAnsi="Trebuchet MS" w:cs="Times New Roman"/>
                <w:b/>
                <w:bCs/>
              </w:rPr>
              <w:t>ț</w:t>
            </w:r>
            <w:r w:rsidR="007377AC" w:rsidRPr="00B9220B">
              <w:rPr>
                <w:rFonts w:ascii="Trebuchet MS" w:hAnsi="Trebuchet MS" w:cs="Times New Roman"/>
                <w:b/>
                <w:bCs/>
              </w:rPr>
              <w:t>ională ori la alt document al unei organiza</w:t>
            </w:r>
            <w:r w:rsidR="00337D66" w:rsidRPr="00B9220B">
              <w:rPr>
                <w:rFonts w:ascii="Trebuchet MS" w:hAnsi="Trebuchet MS" w:cs="Times New Roman"/>
                <w:b/>
                <w:bCs/>
              </w:rPr>
              <w:t>ț</w:t>
            </w:r>
            <w:r w:rsidR="007377AC" w:rsidRPr="00B9220B">
              <w:rPr>
                <w:rFonts w:ascii="Trebuchet MS" w:hAnsi="Trebuchet MS" w:cs="Times New Roman"/>
                <w:b/>
                <w:bCs/>
              </w:rPr>
              <w:t>ii interna</w:t>
            </w:r>
            <w:r w:rsidR="00337D66" w:rsidRPr="00B9220B">
              <w:rPr>
                <w:rFonts w:ascii="Trebuchet MS" w:hAnsi="Trebuchet MS" w:cs="Times New Roman"/>
                <w:b/>
                <w:bCs/>
              </w:rPr>
              <w:t>ț</w:t>
            </w:r>
            <w:r w:rsidR="007377AC" w:rsidRPr="00B9220B">
              <w:rPr>
                <w:rFonts w:ascii="Trebuchet MS" w:hAnsi="Trebuchet MS" w:cs="Times New Roman"/>
                <w:b/>
                <w:bCs/>
              </w:rPr>
              <w:t>ionale:</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6. Alte informa</w:t>
            </w:r>
            <w:r w:rsidR="00337D66" w:rsidRPr="00B9220B">
              <w:rPr>
                <w:rFonts w:ascii="Trebuchet MS" w:hAnsi="Trebuchet MS" w:cs="Times New Roman"/>
                <w:b/>
                <w:bCs/>
              </w:rPr>
              <w:t>ț</w:t>
            </w:r>
            <w:r w:rsidRPr="00B9220B">
              <w:rPr>
                <w:rFonts w:ascii="Trebuchet MS" w:hAnsi="Trebuchet MS" w:cs="Times New Roman"/>
                <w:b/>
                <w:bCs/>
              </w:rPr>
              <w:t>ii</w:t>
            </w:r>
          </w:p>
          <w:p w:rsidR="00AA35A4"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bCs/>
              </w:rPr>
              <w:t>Nu sunt.</w:t>
            </w:r>
          </w:p>
        </w:tc>
      </w:tr>
      <w:tr w:rsidR="00731DC3" w:rsidRPr="00B9220B" w:rsidTr="00497023">
        <w:tc>
          <w:tcPr>
            <w:tcW w:w="9487" w:type="dxa"/>
            <w:gridSpan w:val="8"/>
          </w:tcPr>
          <w:p w:rsidR="00B20384" w:rsidRPr="00B9220B" w:rsidRDefault="00B20384" w:rsidP="00AA35A4">
            <w:pPr>
              <w:tabs>
                <w:tab w:val="left" w:pos="3960"/>
              </w:tabs>
              <w:spacing w:after="0"/>
              <w:jc w:val="center"/>
              <w:rPr>
                <w:rFonts w:ascii="Trebuchet MS" w:hAnsi="Trebuchet MS" w:cs="Times New Roman"/>
                <w:b/>
                <w:bCs/>
              </w:rPr>
            </w:pPr>
          </w:p>
          <w:p w:rsidR="00731DC3" w:rsidRPr="00B9220B" w:rsidRDefault="00731DC3" w:rsidP="00AA35A4">
            <w:pPr>
              <w:tabs>
                <w:tab w:val="left" w:pos="3960"/>
              </w:tabs>
              <w:spacing w:after="0"/>
              <w:jc w:val="center"/>
              <w:rPr>
                <w:rFonts w:ascii="Trebuchet MS" w:hAnsi="Trebuchet MS" w:cs="Times New Roman"/>
                <w:b/>
                <w:bCs/>
              </w:rPr>
            </w:pPr>
            <w:r w:rsidRPr="00B9220B">
              <w:rPr>
                <w:rFonts w:ascii="Trebuchet MS" w:hAnsi="Trebuchet MS" w:cs="Times New Roman"/>
                <w:b/>
                <w:bCs/>
              </w:rPr>
              <w:lastRenderedPageBreak/>
              <w:t>Sec</w:t>
            </w:r>
            <w:r w:rsidR="00337D66" w:rsidRPr="00B9220B">
              <w:rPr>
                <w:rFonts w:ascii="Trebuchet MS" w:hAnsi="Trebuchet MS" w:cs="Times New Roman"/>
                <w:b/>
                <w:bCs/>
              </w:rPr>
              <w:t>ț</w:t>
            </w:r>
            <w:r w:rsidRPr="00B9220B">
              <w:rPr>
                <w:rFonts w:ascii="Trebuchet MS" w:hAnsi="Trebuchet MS" w:cs="Times New Roman"/>
                <w:b/>
                <w:bCs/>
              </w:rPr>
              <w:t>iunea a 6-a</w:t>
            </w:r>
          </w:p>
          <w:p w:rsidR="007B09FA" w:rsidRPr="00B9220B" w:rsidRDefault="00731DC3" w:rsidP="00246A4C">
            <w:pPr>
              <w:tabs>
                <w:tab w:val="left" w:pos="3960"/>
              </w:tabs>
              <w:spacing w:after="0"/>
              <w:jc w:val="center"/>
              <w:rPr>
                <w:rFonts w:ascii="Trebuchet MS" w:hAnsi="Trebuchet MS" w:cs="Times New Roman"/>
                <w:b/>
                <w:bCs/>
              </w:rPr>
            </w:pPr>
            <w:r w:rsidRPr="00B9220B">
              <w:rPr>
                <w:rFonts w:ascii="Trebuchet MS" w:hAnsi="Trebuchet MS" w:cs="Times New Roman"/>
                <w:b/>
                <w:bCs/>
              </w:rPr>
              <w:t xml:space="preserve">Consultările efectuate în vederea elaborării </w:t>
            </w:r>
            <w:r w:rsidR="00AA35A4" w:rsidRPr="00B9220B">
              <w:rPr>
                <w:rFonts w:ascii="Trebuchet MS" w:hAnsi="Trebuchet MS" w:cs="Times New Roman"/>
                <w:b/>
                <w:bCs/>
              </w:rPr>
              <w:t>proiect</w:t>
            </w:r>
            <w:r w:rsidR="00246A4C" w:rsidRPr="00B9220B">
              <w:rPr>
                <w:rFonts w:ascii="Trebuchet MS" w:hAnsi="Trebuchet MS" w:cs="Times New Roman"/>
                <w:b/>
                <w:bCs/>
              </w:rPr>
              <w:t>ului</w:t>
            </w:r>
            <w:r w:rsidR="00AA35A4" w:rsidRPr="00B9220B">
              <w:rPr>
                <w:rFonts w:ascii="Trebuchet MS" w:hAnsi="Trebuchet MS" w:cs="Times New Roman"/>
                <w:b/>
                <w:bCs/>
              </w:rPr>
              <w:t xml:space="preserve"> de </w:t>
            </w:r>
            <w:r w:rsidRPr="00B9220B">
              <w:rPr>
                <w:rFonts w:ascii="Trebuchet MS" w:hAnsi="Trebuchet MS" w:cs="Times New Roman"/>
                <w:b/>
                <w:bCs/>
              </w:rPr>
              <w:t>act normativ</w:t>
            </w:r>
          </w:p>
          <w:p w:rsidR="00B20384" w:rsidRPr="00B9220B" w:rsidRDefault="00B20384" w:rsidP="00246A4C">
            <w:pPr>
              <w:tabs>
                <w:tab w:val="left" w:pos="3960"/>
              </w:tabs>
              <w:spacing w:after="0"/>
              <w:jc w:val="center"/>
              <w:rPr>
                <w:rFonts w:ascii="Trebuchet MS" w:hAnsi="Trebuchet MS" w:cs="Times New Roman"/>
                <w:b/>
                <w:bCs/>
              </w:rPr>
            </w:pP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lastRenderedPageBreak/>
              <w:t>1. Informa</w:t>
            </w:r>
            <w:r w:rsidR="00337D66" w:rsidRPr="00B9220B">
              <w:rPr>
                <w:rFonts w:ascii="Trebuchet MS" w:hAnsi="Trebuchet MS" w:cs="Times New Roman"/>
                <w:b/>
                <w:bCs/>
              </w:rPr>
              <w:t>ț</w:t>
            </w:r>
            <w:r w:rsidRPr="00B9220B">
              <w:rPr>
                <w:rFonts w:ascii="Trebuchet MS" w:hAnsi="Trebuchet MS" w:cs="Times New Roman"/>
                <w:b/>
                <w:bCs/>
              </w:rPr>
              <w:t>ii privind procesul de consultare cu organiza</w:t>
            </w:r>
            <w:r w:rsidR="00337D66" w:rsidRPr="00B9220B">
              <w:rPr>
                <w:rFonts w:ascii="Trebuchet MS" w:hAnsi="Trebuchet MS" w:cs="Times New Roman"/>
                <w:b/>
                <w:bCs/>
              </w:rPr>
              <w:t>ț</w:t>
            </w:r>
            <w:r w:rsidRPr="00B9220B">
              <w:rPr>
                <w:rFonts w:ascii="Trebuchet MS" w:hAnsi="Trebuchet MS" w:cs="Times New Roman"/>
                <w:b/>
                <w:bCs/>
              </w:rPr>
              <w:t xml:space="preserve">iile neguvernamentale, institute de cercetare </w:t>
            </w:r>
            <w:r w:rsidR="00337D66" w:rsidRPr="00B9220B">
              <w:rPr>
                <w:rFonts w:ascii="Trebuchet MS" w:hAnsi="Trebuchet MS" w:cs="Times New Roman"/>
                <w:b/>
                <w:bCs/>
              </w:rPr>
              <w:t>ș</w:t>
            </w:r>
            <w:r w:rsidRPr="00B9220B">
              <w:rPr>
                <w:rFonts w:ascii="Trebuchet MS" w:hAnsi="Trebuchet MS" w:cs="Times New Roman"/>
                <w:b/>
                <w:bCs/>
              </w:rPr>
              <w:t xml:space="preserve">i alte organisme implicate </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 Fundamentarea alegerii organiza</w:t>
            </w:r>
            <w:r w:rsidR="00337D66" w:rsidRPr="00B9220B">
              <w:rPr>
                <w:rFonts w:ascii="Trebuchet MS" w:hAnsi="Trebuchet MS" w:cs="Times New Roman"/>
                <w:b/>
                <w:bCs/>
              </w:rPr>
              <w:t>ț</w:t>
            </w:r>
            <w:r w:rsidRPr="00B9220B">
              <w:rPr>
                <w:rFonts w:ascii="Trebuchet MS" w:hAnsi="Trebuchet MS" w:cs="Times New Roman"/>
                <w:b/>
                <w:bCs/>
              </w:rPr>
              <w:t xml:space="preserve">iilor cu care a avut loc consultarea precum </w:t>
            </w:r>
            <w:r w:rsidR="00337D66" w:rsidRPr="00B9220B">
              <w:rPr>
                <w:rFonts w:ascii="Trebuchet MS" w:hAnsi="Trebuchet MS" w:cs="Times New Roman"/>
                <w:b/>
                <w:bCs/>
              </w:rPr>
              <w:t>ș</w:t>
            </w:r>
            <w:r w:rsidRPr="00B9220B">
              <w:rPr>
                <w:rFonts w:ascii="Trebuchet MS" w:hAnsi="Trebuchet MS" w:cs="Times New Roman"/>
                <w:b/>
                <w:bCs/>
              </w:rPr>
              <w:t>i a modului în care activitatea acestor organiza</w:t>
            </w:r>
            <w:r w:rsidR="00337D66" w:rsidRPr="00B9220B">
              <w:rPr>
                <w:rFonts w:ascii="Trebuchet MS" w:hAnsi="Trebuchet MS" w:cs="Times New Roman"/>
                <w:b/>
                <w:bCs/>
              </w:rPr>
              <w:t>ț</w:t>
            </w:r>
            <w:r w:rsidRPr="00B9220B">
              <w:rPr>
                <w:rFonts w:ascii="Trebuchet MS" w:hAnsi="Trebuchet MS" w:cs="Times New Roman"/>
                <w:b/>
                <w:bCs/>
              </w:rPr>
              <w:t>ii este legată de obiectul proiectului de act normativ</w:t>
            </w:r>
          </w:p>
          <w:p w:rsidR="00CD76AF"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3. Consultările organizate cu autorită</w:t>
            </w:r>
            <w:r w:rsidR="00337D66" w:rsidRPr="00B9220B">
              <w:rPr>
                <w:rFonts w:ascii="Trebuchet MS" w:hAnsi="Trebuchet MS" w:cs="Times New Roman"/>
                <w:b/>
                <w:bCs/>
              </w:rPr>
              <w:t>ț</w:t>
            </w:r>
            <w:r w:rsidRPr="00B9220B">
              <w:rPr>
                <w:rFonts w:ascii="Trebuchet MS" w:hAnsi="Trebuchet MS" w:cs="Times New Roman"/>
                <w:b/>
                <w:bCs/>
              </w:rPr>
              <w:t>ile administra</w:t>
            </w:r>
            <w:r w:rsidR="00337D66" w:rsidRPr="00B9220B">
              <w:rPr>
                <w:rFonts w:ascii="Trebuchet MS" w:hAnsi="Trebuchet MS" w:cs="Times New Roman"/>
                <w:b/>
                <w:bCs/>
              </w:rPr>
              <w:t>ț</w:t>
            </w:r>
            <w:r w:rsidRPr="00B9220B">
              <w:rPr>
                <w:rFonts w:ascii="Trebuchet MS" w:hAnsi="Trebuchet MS" w:cs="Times New Roman"/>
                <w:b/>
                <w:bCs/>
              </w:rPr>
              <w:t>iei publice locale, în situa</w:t>
            </w:r>
            <w:r w:rsidR="00337D66" w:rsidRPr="00B9220B">
              <w:rPr>
                <w:rFonts w:ascii="Trebuchet MS" w:hAnsi="Trebuchet MS" w:cs="Times New Roman"/>
                <w:b/>
                <w:bCs/>
              </w:rPr>
              <w:t>ț</w:t>
            </w:r>
            <w:r w:rsidRPr="00B9220B">
              <w:rPr>
                <w:rFonts w:ascii="Trebuchet MS" w:hAnsi="Trebuchet MS" w:cs="Times New Roman"/>
                <w:b/>
                <w:bCs/>
              </w:rPr>
              <w:t>ia în care proiectul de act normativ are ca obiect activită</w:t>
            </w:r>
            <w:r w:rsidR="00337D66" w:rsidRPr="00B9220B">
              <w:rPr>
                <w:rFonts w:ascii="Trebuchet MS" w:hAnsi="Trebuchet MS" w:cs="Times New Roman"/>
                <w:b/>
                <w:bCs/>
              </w:rPr>
              <w:t>ț</w:t>
            </w:r>
            <w:r w:rsidRPr="00B9220B">
              <w:rPr>
                <w:rFonts w:ascii="Trebuchet MS" w:hAnsi="Trebuchet MS" w:cs="Times New Roman"/>
                <w:b/>
                <w:bCs/>
              </w:rPr>
              <w:t>i ale acestor autorită</w:t>
            </w:r>
            <w:r w:rsidR="00337D66" w:rsidRPr="00B9220B">
              <w:rPr>
                <w:rFonts w:ascii="Trebuchet MS" w:hAnsi="Trebuchet MS" w:cs="Times New Roman"/>
                <w:b/>
                <w:bCs/>
              </w:rPr>
              <w:t>ț</w:t>
            </w:r>
            <w:r w:rsidRPr="00B9220B">
              <w:rPr>
                <w:rFonts w:ascii="Trebuchet MS" w:hAnsi="Trebuchet MS" w:cs="Times New Roman"/>
                <w:b/>
                <w:bCs/>
              </w:rPr>
              <w:t>i, în condi</w:t>
            </w:r>
            <w:r w:rsidR="00337D66" w:rsidRPr="00B9220B">
              <w:rPr>
                <w:rFonts w:ascii="Trebuchet MS" w:hAnsi="Trebuchet MS" w:cs="Times New Roman"/>
                <w:b/>
                <w:bCs/>
              </w:rPr>
              <w:t>ț</w:t>
            </w:r>
            <w:r w:rsidRPr="00B9220B">
              <w:rPr>
                <w:rFonts w:ascii="Trebuchet MS" w:hAnsi="Trebuchet MS" w:cs="Times New Roman"/>
                <w:b/>
                <w:bCs/>
              </w:rPr>
              <w:t>iile Hotărârii Guvernului nr.521/2005 privind procedura de consultare a structurilor asociative ale autorită</w:t>
            </w:r>
            <w:r w:rsidR="00337D66" w:rsidRPr="00B9220B">
              <w:rPr>
                <w:rFonts w:ascii="Trebuchet MS" w:hAnsi="Trebuchet MS" w:cs="Times New Roman"/>
                <w:b/>
                <w:bCs/>
              </w:rPr>
              <w:t>ț</w:t>
            </w:r>
            <w:r w:rsidRPr="00B9220B">
              <w:rPr>
                <w:rFonts w:ascii="Trebuchet MS" w:hAnsi="Trebuchet MS" w:cs="Times New Roman"/>
                <w:b/>
                <w:bCs/>
              </w:rPr>
              <w:t>ilor administra</w:t>
            </w:r>
            <w:r w:rsidR="00337D66" w:rsidRPr="00B9220B">
              <w:rPr>
                <w:rFonts w:ascii="Trebuchet MS" w:hAnsi="Trebuchet MS" w:cs="Times New Roman"/>
                <w:b/>
                <w:bCs/>
              </w:rPr>
              <w:t>ț</w:t>
            </w:r>
            <w:r w:rsidRPr="00B9220B">
              <w:rPr>
                <w:rFonts w:ascii="Trebuchet MS" w:hAnsi="Trebuchet MS" w:cs="Times New Roman"/>
                <w:b/>
                <w:bCs/>
              </w:rPr>
              <w:t>iei publice locale la elaborarea proiectelor de acte normative</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 xml:space="preserve">Proiectul de act </w:t>
            </w:r>
            <w:r w:rsidR="00731DC3" w:rsidRPr="00B9220B">
              <w:rPr>
                <w:rFonts w:ascii="Trebuchet MS" w:hAnsi="Trebuchet MS" w:cs="Times New Roman"/>
              </w:rPr>
              <w:t>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4. Consultările desfă</w:t>
            </w:r>
            <w:r w:rsidR="00337D66" w:rsidRPr="00B9220B">
              <w:rPr>
                <w:rFonts w:ascii="Trebuchet MS" w:hAnsi="Trebuchet MS" w:cs="Times New Roman"/>
                <w:b/>
                <w:bCs/>
              </w:rPr>
              <w:t>ș</w:t>
            </w:r>
            <w:r w:rsidRPr="00B9220B">
              <w:rPr>
                <w:rFonts w:ascii="Trebuchet MS" w:hAnsi="Trebuchet MS" w:cs="Times New Roman"/>
                <w:b/>
                <w:bCs/>
              </w:rPr>
              <w:t>urate în cadrul consiliilor interministeriale în conformitate cu prevederile Hotărârii Guvernului nr.750/2005 privind constituirea consiliilor interministeriale permanente</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5. Informa</w:t>
            </w:r>
            <w:r w:rsidR="00337D66" w:rsidRPr="00B9220B">
              <w:rPr>
                <w:rFonts w:ascii="Trebuchet MS" w:hAnsi="Trebuchet MS" w:cs="Times New Roman"/>
                <w:b/>
                <w:bCs/>
              </w:rPr>
              <w:t>ț</w:t>
            </w:r>
            <w:r w:rsidRPr="00B9220B">
              <w:rPr>
                <w:rFonts w:ascii="Trebuchet MS" w:hAnsi="Trebuchet MS" w:cs="Times New Roman"/>
                <w:b/>
                <w:bCs/>
              </w:rPr>
              <w:t>ii privind avizarea de către:</w:t>
            </w:r>
          </w:p>
          <w:p w:rsidR="00731DC3" w:rsidRPr="00B9220B" w:rsidRDefault="00731DC3" w:rsidP="00A87583">
            <w:pPr>
              <w:tabs>
                <w:tab w:val="left" w:pos="3960"/>
                <w:tab w:val="left" w:pos="6195"/>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a) Consiliul Legislativ</w:t>
            </w:r>
            <w:r w:rsidRPr="00B9220B">
              <w:rPr>
                <w:rFonts w:ascii="Trebuchet MS" w:hAnsi="Trebuchet MS" w:cs="Times New Roman"/>
                <w:b/>
                <w:bCs/>
              </w:rPr>
              <w:tab/>
            </w:r>
          </w:p>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 xml:space="preserve">b) Consiliul Suprem de Apărare a </w:t>
            </w:r>
            <w:r w:rsidR="00337D66" w:rsidRPr="00B9220B">
              <w:rPr>
                <w:rFonts w:ascii="Trebuchet MS" w:hAnsi="Trebuchet MS" w:cs="Times New Roman"/>
                <w:b/>
                <w:bCs/>
              </w:rPr>
              <w:t>Ț</w:t>
            </w:r>
            <w:r w:rsidRPr="00B9220B">
              <w:rPr>
                <w:rFonts w:ascii="Trebuchet MS" w:hAnsi="Trebuchet MS" w:cs="Times New Roman"/>
                <w:b/>
                <w:bCs/>
              </w:rPr>
              <w:t>ării</w:t>
            </w:r>
          </w:p>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 xml:space="preserve">c) Consiliul Economic </w:t>
            </w:r>
            <w:r w:rsidR="00337D66" w:rsidRPr="00B9220B">
              <w:rPr>
                <w:rFonts w:ascii="Trebuchet MS" w:hAnsi="Trebuchet MS" w:cs="Times New Roman"/>
                <w:b/>
                <w:bCs/>
              </w:rPr>
              <w:t>ș</w:t>
            </w:r>
            <w:r w:rsidRPr="00B9220B">
              <w:rPr>
                <w:rFonts w:ascii="Trebuchet MS" w:hAnsi="Trebuchet MS" w:cs="Times New Roman"/>
                <w:b/>
                <w:bCs/>
              </w:rPr>
              <w:t>i Social</w:t>
            </w:r>
          </w:p>
          <w:p w:rsidR="00731DC3" w:rsidRPr="00B9220B" w:rsidRDefault="00731DC3" w:rsidP="00A87583">
            <w:pPr>
              <w:tabs>
                <w:tab w:val="left" w:pos="3960"/>
              </w:tabs>
              <w:autoSpaceDE w:val="0"/>
              <w:autoSpaceDN w:val="0"/>
              <w:adjustRightInd w:val="0"/>
              <w:spacing w:after="0"/>
              <w:jc w:val="both"/>
              <w:rPr>
                <w:rFonts w:ascii="Trebuchet MS" w:hAnsi="Trebuchet MS" w:cs="Times New Roman"/>
                <w:b/>
                <w:bCs/>
              </w:rPr>
            </w:pPr>
            <w:r w:rsidRPr="00B9220B">
              <w:rPr>
                <w:rFonts w:ascii="Trebuchet MS" w:hAnsi="Trebuchet MS" w:cs="Times New Roman"/>
                <w:b/>
                <w:bCs/>
              </w:rPr>
              <w:t>d) Consiliul Concuren</w:t>
            </w:r>
            <w:r w:rsidR="00337D66" w:rsidRPr="00B9220B">
              <w:rPr>
                <w:rFonts w:ascii="Trebuchet MS" w:hAnsi="Trebuchet MS" w:cs="Times New Roman"/>
                <w:b/>
                <w:bCs/>
              </w:rPr>
              <w:t>ț</w:t>
            </w:r>
            <w:r w:rsidRPr="00B9220B">
              <w:rPr>
                <w:rFonts w:ascii="Trebuchet MS" w:hAnsi="Trebuchet MS" w:cs="Times New Roman"/>
                <w:b/>
                <w:bCs/>
              </w:rPr>
              <w:t xml:space="preserve">ei </w:t>
            </w:r>
          </w:p>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e) Curtea de Conturi</w:t>
            </w:r>
          </w:p>
          <w:p w:rsidR="00731DC3" w:rsidRPr="00B9220B" w:rsidRDefault="00AA35A4" w:rsidP="00A87583">
            <w:pPr>
              <w:tabs>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6. Alte informa</w:t>
            </w:r>
            <w:r w:rsidR="00337D66" w:rsidRPr="00B9220B">
              <w:rPr>
                <w:rFonts w:ascii="Trebuchet MS" w:hAnsi="Trebuchet MS" w:cs="Times New Roman"/>
                <w:b/>
                <w:bCs/>
              </w:rPr>
              <w:t>ț</w:t>
            </w:r>
            <w:r w:rsidRPr="00B9220B">
              <w:rPr>
                <w:rFonts w:ascii="Trebuchet MS" w:hAnsi="Trebuchet MS" w:cs="Times New Roman"/>
                <w:b/>
                <w:bCs/>
              </w:rPr>
              <w:t>ii</w:t>
            </w:r>
            <w:r w:rsidR="00424151" w:rsidRPr="00B9220B">
              <w:rPr>
                <w:rFonts w:ascii="Trebuchet MS" w:hAnsi="Trebuchet MS" w:cs="Times New Roman"/>
                <w:b/>
                <w:bCs/>
              </w:rPr>
              <w:t>.</w:t>
            </w:r>
          </w:p>
          <w:p w:rsidR="00424151" w:rsidRPr="00B9220B" w:rsidRDefault="00424151" w:rsidP="00424151">
            <w:pPr>
              <w:pStyle w:val="FootnoteText"/>
              <w:jc w:val="both"/>
              <w:rPr>
                <w:rFonts w:ascii="Trebuchet MS" w:hAnsi="Trebuchet MS"/>
                <w:sz w:val="22"/>
                <w:szCs w:val="22"/>
              </w:rPr>
            </w:pPr>
            <w:r w:rsidRPr="00B9220B">
              <w:rPr>
                <w:rFonts w:ascii="Trebuchet MS" w:hAnsi="Trebuchet MS" w:cs="Times New Roman"/>
                <w:bCs/>
                <w:sz w:val="22"/>
                <w:szCs w:val="22"/>
              </w:rPr>
              <w:t xml:space="preserve">În cadrul procesului de elaborare a prezentului proiect de act normativ </w:t>
            </w:r>
            <w:r w:rsidR="00980697" w:rsidRPr="00B9220B">
              <w:rPr>
                <w:rFonts w:ascii="Trebuchet MS" w:hAnsi="Trebuchet MS" w:cs="Times New Roman"/>
                <w:bCs/>
                <w:sz w:val="22"/>
                <w:szCs w:val="22"/>
              </w:rPr>
              <w:t>se va solicita pu</w:t>
            </w:r>
            <w:r w:rsidRPr="00B9220B">
              <w:rPr>
                <w:rFonts w:ascii="Trebuchet MS" w:hAnsi="Trebuchet MS" w:cs="Times New Roman"/>
                <w:bCs/>
                <w:sz w:val="22"/>
                <w:szCs w:val="22"/>
              </w:rPr>
              <w:t>nctul de vedere al</w:t>
            </w:r>
            <w:r w:rsidR="00EE216D" w:rsidRPr="00B9220B">
              <w:rPr>
                <w:rFonts w:ascii="Trebuchet MS" w:hAnsi="Trebuchet MS" w:cs="Times New Roman"/>
                <w:bCs/>
                <w:sz w:val="22"/>
                <w:szCs w:val="22"/>
              </w:rPr>
              <w:t xml:space="preserve"> </w:t>
            </w:r>
            <w:r w:rsidR="0018401B" w:rsidRPr="00B9220B">
              <w:rPr>
                <w:rFonts w:ascii="Trebuchet MS" w:hAnsi="Trebuchet MS"/>
                <w:sz w:val="22"/>
                <w:szCs w:val="22"/>
              </w:rPr>
              <w:t>Consiliului Superior al Magistraturii</w:t>
            </w:r>
            <w:r w:rsidR="00C308C6" w:rsidRPr="00B9220B">
              <w:rPr>
                <w:rFonts w:ascii="Trebuchet MS" w:hAnsi="Trebuchet MS"/>
                <w:sz w:val="22"/>
                <w:szCs w:val="22"/>
              </w:rPr>
              <w:t xml:space="preserve"> și al Înaltei Curți de Casație și Justiție</w:t>
            </w:r>
            <w:r w:rsidR="00E331BF" w:rsidRPr="00B9220B">
              <w:rPr>
                <w:rFonts w:ascii="Trebuchet MS" w:hAnsi="Trebuchet MS"/>
                <w:sz w:val="22"/>
                <w:szCs w:val="22"/>
              </w:rPr>
              <w:t>.</w:t>
            </w:r>
          </w:p>
          <w:p w:rsidR="00233E0E" w:rsidRPr="00B9220B" w:rsidRDefault="00233E0E" w:rsidP="00A87583">
            <w:pPr>
              <w:tabs>
                <w:tab w:val="left" w:pos="3960"/>
              </w:tabs>
              <w:spacing w:after="0"/>
              <w:jc w:val="both"/>
              <w:rPr>
                <w:rFonts w:ascii="Trebuchet MS" w:hAnsi="Trebuchet MS" w:cs="Times New Roman"/>
              </w:rPr>
            </w:pPr>
          </w:p>
        </w:tc>
      </w:tr>
      <w:tr w:rsidR="00731DC3" w:rsidRPr="00B9220B" w:rsidTr="00497023">
        <w:tc>
          <w:tcPr>
            <w:tcW w:w="9487" w:type="dxa"/>
            <w:gridSpan w:val="8"/>
          </w:tcPr>
          <w:p w:rsidR="00B20384" w:rsidRPr="00B9220B" w:rsidRDefault="00B20384" w:rsidP="00A87583">
            <w:pPr>
              <w:tabs>
                <w:tab w:val="left" w:pos="3960"/>
              </w:tabs>
              <w:spacing w:after="0"/>
              <w:jc w:val="center"/>
              <w:rPr>
                <w:rFonts w:ascii="Trebuchet MS" w:hAnsi="Trebuchet MS" w:cs="Times New Roman"/>
                <w:b/>
                <w:bCs/>
              </w:rPr>
            </w:pP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7-a</w:t>
            </w:r>
          </w:p>
          <w:p w:rsidR="00731DC3" w:rsidRPr="00B9220B" w:rsidRDefault="00731DC3" w:rsidP="00A87583">
            <w:pPr>
              <w:tabs>
                <w:tab w:val="left" w:pos="3960"/>
              </w:tabs>
              <w:spacing w:after="0"/>
              <w:jc w:val="center"/>
              <w:rPr>
                <w:rFonts w:ascii="Trebuchet MS" w:hAnsi="Trebuchet MS" w:cs="Times New Roman"/>
                <w:b/>
                <w:bCs/>
              </w:rPr>
            </w:pPr>
            <w:r w:rsidRPr="00B9220B">
              <w:rPr>
                <w:rFonts w:ascii="Trebuchet MS" w:hAnsi="Trebuchet MS" w:cs="Times New Roman"/>
                <w:b/>
                <w:bCs/>
              </w:rPr>
              <w:t>Activită</w:t>
            </w:r>
            <w:r w:rsidR="00337D66" w:rsidRPr="00B9220B">
              <w:rPr>
                <w:rFonts w:ascii="Trebuchet MS" w:hAnsi="Trebuchet MS" w:cs="Times New Roman"/>
                <w:b/>
                <w:bCs/>
              </w:rPr>
              <w:t>ț</w:t>
            </w:r>
            <w:r w:rsidRPr="00B9220B">
              <w:rPr>
                <w:rFonts w:ascii="Trebuchet MS" w:hAnsi="Trebuchet MS" w:cs="Times New Roman"/>
                <w:b/>
                <w:bCs/>
              </w:rPr>
              <w:t xml:space="preserve">i de informare publică privind elaborarea </w:t>
            </w:r>
          </w:p>
          <w:p w:rsidR="007B09FA" w:rsidRPr="00B9220B" w:rsidRDefault="00337D66" w:rsidP="00246A4C">
            <w:pPr>
              <w:tabs>
                <w:tab w:val="left" w:pos="3960"/>
              </w:tabs>
              <w:spacing w:after="0"/>
              <w:jc w:val="center"/>
              <w:rPr>
                <w:rFonts w:ascii="Trebuchet MS" w:hAnsi="Trebuchet MS" w:cs="Times New Roman"/>
                <w:b/>
                <w:bCs/>
              </w:rPr>
            </w:pPr>
            <w:r w:rsidRPr="00B9220B">
              <w:rPr>
                <w:rFonts w:ascii="Trebuchet MS" w:hAnsi="Trebuchet MS" w:cs="Times New Roman"/>
                <w:b/>
                <w:bCs/>
              </w:rPr>
              <w:t>ș</w:t>
            </w:r>
            <w:r w:rsidR="00731DC3" w:rsidRPr="00B9220B">
              <w:rPr>
                <w:rFonts w:ascii="Trebuchet MS" w:hAnsi="Trebuchet MS" w:cs="Times New Roman"/>
                <w:b/>
                <w:bCs/>
              </w:rPr>
              <w:t xml:space="preserve">i implementarea </w:t>
            </w:r>
            <w:r w:rsidR="00233E0E" w:rsidRPr="00B9220B">
              <w:rPr>
                <w:rFonts w:ascii="Trebuchet MS" w:hAnsi="Trebuchet MS" w:cs="Times New Roman"/>
                <w:b/>
                <w:bCs/>
              </w:rPr>
              <w:t>proiect</w:t>
            </w:r>
            <w:r w:rsidR="00246A4C" w:rsidRPr="00B9220B">
              <w:rPr>
                <w:rFonts w:ascii="Trebuchet MS" w:hAnsi="Trebuchet MS" w:cs="Times New Roman"/>
                <w:b/>
                <w:bCs/>
              </w:rPr>
              <w:t>ului</w:t>
            </w:r>
            <w:r w:rsidR="00233E0E" w:rsidRPr="00B9220B">
              <w:rPr>
                <w:rFonts w:ascii="Trebuchet MS" w:hAnsi="Trebuchet MS" w:cs="Times New Roman"/>
                <w:b/>
                <w:bCs/>
              </w:rPr>
              <w:t xml:space="preserve"> de </w:t>
            </w:r>
            <w:r w:rsidR="00731DC3" w:rsidRPr="00B9220B">
              <w:rPr>
                <w:rFonts w:ascii="Trebuchet MS" w:hAnsi="Trebuchet MS" w:cs="Times New Roman"/>
                <w:b/>
                <w:bCs/>
              </w:rPr>
              <w:t>act normativ</w:t>
            </w:r>
          </w:p>
          <w:p w:rsidR="00B20384" w:rsidRPr="00B9220B" w:rsidRDefault="00B20384" w:rsidP="00246A4C">
            <w:pPr>
              <w:tabs>
                <w:tab w:val="left" w:pos="3960"/>
              </w:tabs>
              <w:spacing w:after="0"/>
              <w:jc w:val="center"/>
              <w:rPr>
                <w:rFonts w:ascii="Trebuchet MS" w:hAnsi="Trebuchet MS" w:cs="Times New Roman"/>
                <w:b/>
                <w:bCs/>
              </w:rPr>
            </w:pP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1. Informarea societă</w:t>
            </w:r>
            <w:r w:rsidR="00337D66" w:rsidRPr="00B9220B">
              <w:rPr>
                <w:rFonts w:ascii="Trebuchet MS" w:hAnsi="Trebuchet MS" w:cs="Times New Roman"/>
                <w:b/>
                <w:bCs/>
              </w:rPr>
              <w:t>ț</w:t>
            </w:r>
            <w:r w:rsidRPr="00B9220B">
              <w:rPr>
                <w:rFonts w:ascii="Trebuchet MS" w:hAnsi="Trebuchet MS" w:cs="Times New Roman"/>
                <w:b/>
                <w:bCs/>
              </w:rPr>
              <w:t>ii civile cu privire la necesitatea elaborării proiectului de act normativ</w:t>
            </w:r>
          </w:p>
          <w:p w:rsidR="00731DC3" w:rsidRPr="00B9220B" w:rsidRDefault="009B1072" w:rsidP="00A87583">
            <w:pPr>
              <w:tabs>
                <w:tab w:val="left" w:pos="3960"/>
              </w:tabs>
              <w:spacing w:after="0"/>
              <w:jc w:val="both"/>
              <w:rPr>
                <w:rFonts w:ascii="Trebuchet MS" w:hAnsi="Trebuchet MS" w:cs="Times New Roman"/>
              </w:rPr>
            </w:pPr>
            <w:r w:rsidRPr="00B9220B">
              <w:rPr>
                <w:rFonts w:ascii="Trebuchet MS" w:hAnsi="Trebuchet MS" w:cs="Times New Roman"/>
              </w:rPr>
              <w:t>Proiectul a fost afișat pe pagina de internet a Ministerului Justiției.</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 Informarea societă</w:t>
            </w:r>
            <w:r w:rsidR="00337D66" w:rsidRPr="00B9220B">
              <w:rPr>
                <w:rFonts w:ascii="Trebuchet MS" w:hAnsi="Trebuchet MS" w:cs="Times New Roman"/>
                <w:b/>
                <w:bCs/>
              </w:rPr>
              <w:t>ț</w:t>
            </w:r>
            <w:r w:rsidRPr="00B9220B">
              <w:rPr>
                <w:rFonts w:ascii="Trebuchet MS" w:hAnsi="Trebuchet MS" w:cs="Times New Roman"/>
                <w:b/>
                <w:bCs/>
              </w:rPr>
              <w:t xml:space="preserve">ii civile cu privire la eventualul impact asupra mediului în urma implementării proiectului de act normativ, precum </w:t>
            </w:r>
            <w:r w:rsidR="00337D66" w:rsidRPr="00B9220B">
              <w:rPr>
                <w:rFonts w:ascii="Trebuchet MS" w:hAnsi="Trebuchet MS" w:cs="Times New Roman"/>
                <w:b/>
                <w:bCs/>
              </w:rPr>
              <w:t>ș</w:t>
            </w:r>
            <w:r w:rsidRPr="00B9220B">
              <w:rPr>
                <w:rFonts w:ascii="Trebuchet MS" w:hAnsi="Trebuchet MS" w:cs="Times New Roman"/>
                <w:b/>
                <w:bCs/>
              </w:rPr>
              <w:t>i efectele asupra sănătă</w:t>
            </w:r>
            <w:r w:rsidR="00337D66" w:rsidRPr="00B9220B">
              <w:rPr>
                <w:rFonts w:ascii="Trebuchet MS" w:hAnsi="Trebuchet MS" w:cs="Times New Roman"/>
                <w:b/>
                <w:bCs/>
              </w:rPr>
              <w:t>ț</w:t>
            </w:r>
            <w:r w:rsidRPr="00B9220B">
              <w:rPr>
                <w:rFonts w:ascii="Trebuchet MS" w:hAnsi="Trebuchet MS" w:cs="Times New Roman"/>
                <w:b/>
                <w:bCs/>
              </w:rPr>
              <w:t xml:space="preserve">ii </w:t>
            </w:r>
            <w:r w:rsidR="00337D66" w:rsidRPr="00B9220B">
              <w:rPr>
                <w:rFonts w:ascii="Trebuchet MS" w:hAnsi="Trebuchet MS" w:cs="Times New Roman"/>
                <w:b/>
                <w:bCs/>
              </w:rPr>
              <w:t>ș</w:t>
            </w:r>
            <w:r w:rsidRPr="00B9220B">
              <w:rPr>
                <w:rFonts w:ascii="Trebuchet MS" w:hAnsi="Trebuchet MS" w:cs="Times New Roman"/>
                <w:b/>
                <w:bCs/>
              </w:rPr>
              <w:t>i securită</w:t>
            </w:r>
            <w:r w:rsidR="00337D66" w:rsidRPr="00B9220B">
              <w:rPr>
                <w:rFonts w:ascii="Trebuchet MS" w:hAnsi="Trebuchet MS" w:cs="Times New Roman"/>
                <w:b/>
                <w:bCs/>
              </w:rPr>
              <w:t>ț</w:t>
            </w:r>
            <w:r w:rsidRPr="00B9220B">
              <w:rPr>
                <w:rFonts w:ascii="Trebuchet MS" w:hAnsi="Trebuchet MS" w:cs="Times New Roman"/>
                <w:b/>
                <w:bCs/>
              </w:rPr>
              <w:t>ii cetă</w:t>
            </w:r>
            <w:r w:rsidR="00337D66" w:rsidRPr="00B9220B">
              <w:rPr>
                <w:rFonts w:ascii="Trebuchet MS" w:hAnsi="Trebuchet MS" w:cs="Times New Roman"/>
                <w:b/>
                <w:bCs/>
              </w:rPr>
              <w:t>ț</w:t>
            </w:r>
            <w:r w:rsidRPr="00B9220B">
              <w:rPr>
                <w:rFonts w:ascii="Trebuchet MS" w:hAnsi="Trebuchet MS" w:cs="Times New Roman"/>
                <w:b/>
                <w:bCs/>
              </w:rPr>
              <w:t>enilor sau diversită</w:t>
            </w:r>
            <w:r w:rsidR="00337D66" w:rsidRPr="00B9220B">
              <w:rPr>
                <w:rFonts w:ascii="Trebuchet MS" w:hAnsi="Trebuchet MS" w:cs="Times New Roman"/>
                <w:b/>
                <w:bCs/>
              </w:rPr>
              <w:t>ț</w:t>
            </w:r>
            <w:r w:rsidRPr="00B9220B">
              <w:rPr>
                <w:rFonts w:ascii="Trebuchet MS" w:hAnsi="Trebuchet MS" w:cs="Times New Roman"/>
                <w:b/>
                <w:bCs/>
              </w:rPr>
              <w:t xml:space="preserve">ii biologice </w:t>
            </w:r>
          </w:p>
          <w:p w:rsidR="00731DC3" w:rsidRPr="00B9220B" w:rsidRDefault="00233E0E" w:rsidP="00233E0E">
            <w:pPr>
              <w:tabs>
                <w:tab w:val="left" w:pos="3960"/>
              </w:tabs>
              <w:spacing w:after="0"/>
              <w:jc w:val="both"/>
              <w:rPr>
                <w:rFonts w:ascii="Trebuchet MS" w:hAnsi="Trebuchet MS" w:cs="Times New Roman"/>
              </w:rPr>
            </w:pPr>
            <w:r w:rsidRPr="00B9220B">
              <w:rPr>
                <w:rFonts w:ascii="Trebuchet MS" w:hAnsi="Trebuchet MS" w:cs="Times New Roman"/>
              </w:rPr>
              <w:t xml:space="preserve">Proiectul de act </w:t>
            </w:r>
            <w:r w:rsidR="00731DC3" w:rsidRPr="00B9220B">
              <w:rPr>
                <w:rFonts w:ascii="Trebuchet MS" w:hAnsi="Trebuchet MS" w:cs="Times New Roman"/>
              </w:rPr>
              <w:t>normativ nu se referă la acest subiect.</w:t>
            </w:r>
          </w:p>
        </w:tc>
      </w:tr>
      <w:tr w:rsidR="00731DC3" w:rsidRPr="00B9220B" w:rsidTr="00497023">
        <w:tc>
          <w:tcPr>
            <w:tcW w:w="9487" w:type="dxa"/>
            <w:gridSpan w:val="8"/>
          </w:tcPr>
          <w:p w:rsidR="00731DC3" w:rsidRPr="00B9220B" w:rsidRDefault="00246A4C" w:rsidP="00A87583">
            <w:pPr>
              <w:tabs>
                <w:tab w:val="left" w:pos="3960"/>
              </w:tabs>
              <w:spacing w:after="0"/>
              <w:jc w:val="both"/>
              <w:rPr>
                <w:rFonts w:ascii="Trebuchet MS" w:hAnsi="Trebuchet MS" w:cs="Times New Roman"/>
                <w:b/>
                <w:bCs/>
              </w:rPr>
            </w:pPr>
            <w:r w:rsidRPr="00B9220B">
              <w:rPr>
                <w:rFonts w:ascii="Trebuchet MS" w:hAnsi="Trebuchet MS" w:cs="Times New Roman"/>
                <w:b/>
                <w:bCs/>
              </w:rPr>
              <w:t>3. Alte informa</w:t>
            </w:r>
            <w:r w:rsidR="00337D66" w:rsidRPr="00B9220B">
              <w:rPr>
                <w:rFonts w:ascii="Trebuchet MS" w:hAnsi="Trebuchet MS" w:cs="Times New Roman"/>
                <w:b/>
                <w:bCs/>
              </w:rPr>
              <w:t>ț</w:t>
            </w:r>
            <w:r w:rsidRPr="00B9220B">
              <w:rPr>
                <w:rFonts w:ascii="Trebuchet MS" w:hAnsi="Trebuchet MS" w:cs="Times New Roman"/>
                <w:b/>
                <w:bCs/>
              </w:rPr>
              <w:t>ii</w:t>
            </w:r>
          </w:p>
          <w:p w:rsidR="007530E9" w:rsidRPr="00B9220B" w:rsidRDefault="007530E9" w:rsidP="00A87583">
            <w:pPr>
              <w:tabs>
                <w:tab w:val="left" w:pos="3960"/>
              </w:tabs>
              <w:spacing w:after="0"/>
              <w:jc w:val="both"/>
              <w:rPr>
                <w:rFonts w:ascii="Trebuchet MS" w:hAnsi="Trebuchet MS" w:cs="Times New Roman"/>
                <w:bCs/>
              </w:rPr>
            </w:pPr>
            <w:r w:rsidRPr="00B9220B">
              <w:rPr>
                <w:rFonts w:ascii="Trebuchet MS" w:hAnsi="Trebuchet MS" w:cs="Times New Roman"/>
                <w:bCs/>
              </w:rPr>
              <w:t>Nu sunt</w:t>
            </w:r>
          </w:p>
        </w:tc>
      </w:tr>
      <w:tr w:rsidR="00731DC3" w:rsidRPr="00B9220B" w:rsidTr="00497023">
        <w:tc>
          <w:tcPr>
            <w:tcW w:w="9487" w:type="dxa"/>
            <w:gridSpan w:val="8"/>
          </w:tcPr>
          <w:p w:rsidR="00B20384" w:rsidRPr="00B9220B" w:rsidRDefault="00B20384" w:rsidP="00A87583">
            <w:pPr>
              <w:tabs>
                <w:tab w:val="left" w:pos="3960"/>
              </w:tabs>
              <w:spacing w:after="0"/>
              <w:jc w:val="center"/>
              <w:rPr>
                <w:rFonts w:ascii="Trebuchet MS" w:hAnsi="Trebuchet MS" w:cs="Times New Roman"/>
                <w:b/>
                <w:bCs/>
              </w:rPr>
            </w:pPr>
          </w:p>
          <w:p w:rsidR="00731DC3" w:rsidRPr="00B9220B" w:rsidRDefault="00731DC3" w:rsidP="00A87583">
            <w:pPr>
              <w:tabs>
                <w:tab w:val="left" w:pos="3960"/>
              </w:tabs>
              <w:spacing w:after="0"/>
              <w:jc w:val="center"/>
              <w:rPr>
                <w:rFonts w:ascii="Trebuchet MS" w:hAnsi="Trebuchet MS" w:cs="Times New Roman"/>
              </w:rPr>
            </w:pPr>
            <w:r w:rsidRPr="00B9220B">
              <w:rPr>
                <w:rFonts w:ascii="Trebuchet MS" w:hAnsi="Trebuchet MS" w:cs="Times New Roman"/>
                <w:b/>
                <w:bCs/>
              </w:rPr>
              <w:t>Sec</w:t>
            </w:r>
            <w:r w:rsidR="00337D66" w:rsidRPr="00B9220B">
              <w:rPr>
                <w:rFonts w:ascii="Trebuchet MS" w:hAnsi="Trebuchet MS" w:cs="Times New Roman"/>
                <w:b/>
                <w:bCs/>
              </w:rPr>
              <w:t>ț</w:t>
            </w:r>
            <w:r w:rsidRPr="00B9220B">
              <w:rPr>
                <w:rFonts w:ascii="Trebuchet MS" w:hAnsi="Trebuchet MS" w:cs="Times New Roman"/>
                <w:b/>
                <w:bCs/>
              </w:rPr>
              <w:t>iunea a 8-a</w:t>
            </w:r>
          </w:p>
          <w:p w:rsidR="00497023" w:rsidRPr="00B9220B" w:rsidRDefault="00731DC3" w:rsidP="00497023">
            <w:pPr>
              <w:tabs>
                <w:tab w:val="left" w:pos="3960"/>
              </w:tabs>
              <w:spacing w:after="0"/>
              <w:jc w:val="center"/>
              <w:rPr>
                <w:rFonts w:ascii="Trebuchet MS" w:hAnsi="Trebuchet MS" w:cs="Times New Roman"/>
                <w:b/>
                <w:bCs/>
              </w:rPr>
            </w:pPr>
            <w:r w:rsidRPr="00B9220B">
              <w:rPr>
                <w:rFonts w:ascii="Trebuchet MS" w:hAnsi="Trebuchet MS" w:cs="Times New Roman"/>
                <w:b/>
                <w:bCs/>
              </w:rPr>
              <w:t>Măsuri de implementare</w:t>
            </w:r>
          </w:p>
          <w:p w:rsidR="00B20384" w:rsidRPr="00B9220B" w:rsidRDefault="00B20384" w:rsidP="00497023">
            <w:pPr>
              <w:tabs>
                <w:tab w:val="left" w:pos="3960"/>
              </w:tabs>
              <w:spacing w:after="0"/>
              <w:jc w:val="center"/>
              <w:rPr>
                <w:rFonts w:ascii="Trebuchet MS" w:hAnsi="Trebuchet MS" w:cs="Times New Roman"/>
                <w:b/>
                <w:bCs/>
              </w:rPr>
            </w:pP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lastRenderedPageBreak/>
              <w:t>1. Măsurile de punere în aplicare a proiectului de act normativ de către autorită</w:t>
            </w:r>
            <w:r w:rsidR="00337D66" w:rsidRPr="00B9220B">
              <w:rPr>
                <w:rFonts w:ascii="Trebuchet MS" w:hAnsi="Trebuchet MS" w:cs="Times New Roman"/>
                <w:b/>
                <w:bCs/>
              </w:rPr>
              <w:t>ț</w:t>
            </w:r>
            <w:r w:rsidRPr="00B9220B">
              <w:rPr>
                <w:rFonts w:ascii="Trebuchet MS" w:hAnsi="Trebuchet MS" w:cs="Times New Roman"/>
                <w:b/>
                <w:bCs/>
              </w:rPr>
              <w:t>ile administra</w:t>
            </w:r>
            <w:r w:rsidR="00337D66" w:rsidRPr="00B9220B">
              <w:rPr>
                <w:rFonts w:ascii="Trebuchet MS" w:hAnsi="Trebuchet MS" w:cs="Times New Roman"/>
                <w:b/>
                <w:bCs/>
              </w:rPr>
              <w:t>ț</w:t>
            </w:r>
            <w:r w:rsidRPr="00B9220B">
              <w:rPr>
                <w:rFonts w:ascii="Trebuchet MS" w:hAnsi="Trebuchet MS" w:cs="Times New Roman"/>
                <w:b/>
                <w:bCs/>
              </w:rPr>
              <w:t xml:space="preserve">iei publice centrale </w:t>
            </w:r>
            <w:r w:rsidR="00337D66" w:rsidRPr="00B9220B">
              <w:rPr>
                <w:rFonts w:ascii="Trebuchet MS" w:hAnsi="Trebuchet MS" w:cs="Times New Roman"/>
                <w:b/>
                <w:bCs/>
              </w:rPr>
              <w:t>ș</w:t>
            </w:r>
            <w:r w:rsidRPr="00B9220B">
              <w:rPr>
                <w:rFonts w:ascii="Trebuchet MS" w:hAnsi="Trebuchet MS" w:cs="Times New Roman"/>
                <w:b/>
                <w:bCs/>
              </w:rPr>
              <w:t>i/sau locale - înfiin</w:t>
            </w:r>
            <w:r w:rsidR="00337D66" w:rsidRPr="00B9220B">
              <w:rPr>
                <w:rFonts w:ascii="Trebuchet MS" w:hAnsi="Trebuchet MS" w:cs="Times New Roman"/>
                <w:b/>
                <w:bCs/>
              </w:rPr>
              <w:t>ț</w:t>
            </w:r>
            <w:r w:rsidRPr="00B9220B">
              <w:rPr>
                <w:rFonts w:ascii="Trebuchet MS" w:hAnsi="Trebuchet MS" w:cs="Times New Roman"/>
                <w:b/>
                <w:bCs/>
              </w:rPr>
              <w:t>area unor noi organisme sau  extinderea competen</w:t>
            </w:r>
            <w:r w:rsidR="00337D66" w:rsidRPr="00B9220B">
              <w:rPr>
                <w:rFonts w:ascii="Trebuchet MS" w:hAnsi="Trebuchet MS" w:cs="Times New Roman"/>
                <w:b/>
                <w:bCs/>
              </w:rPr>
              <w:t>ț</w:t>
            </w:r>
            <w:r w:rsidRPr="00B9220B">
              <w:rPr>
                <w:rFonts w:ascii="Trebuchet MS" w:hAnsi="Trebuchet MS" w:cs="Times New Roman"/>
                <w:b/>
                <w:bCs/>
              </w:rPr>
              <w:t>elor institu</w:t>
            </w:r>
            <w:r w:rsidR="00337D66" w:rsidRPr="00B9220B">
              <w:rPr>
                <w:rFonts w:ascii="Trebuchet MS" w:hAnsi="Trebuchet MS" w:cs="Times New Roman"/>
                <w:b/>
                <w:bCs/>
              </w:rPr>
              <w:t>ț</w:t>
            </w:r>
            <w:r w:rsidRPr="00B9220B">
              <w:rPr>
                <w:rFonts w:ascii="Trebuchet MS" w:hAnsi="Trebuchet MS" w:cs="Times New Roman"/>
                <w:b/>
                <w:bCs/>
              </w:rPr>
              <w:t>iilor existente</w:t>
            </w:r>
          </w:p>
          <w:p w:rsidR="00731DC3" w:rsidRPr="00B9220B" w:rsidRDefault="00233E0E" w:rsidP="00233E0E">
            <w:pPr>
              <w:tabs>
                <w:tab w:val="left" w:pos="990"/>
                <w:tab w:val="left" w:pos="3960"/>
              </w:tabs>
              <w:spacing w:after="0"/>
              <w:jc w:val="both"/>
              <w:rPr>
                <w:rFonts w:ascii="Trebuchet MS" w:hAnsi="Trebuchet MS" w:cs="Times New Roman"/>
              </w:rPr>
            </w:pPr>
            <w:r w:rsidRPr="00B9220B">
              <w:rPr>
                <w:rFonts w:ascii="Trebuchet MS" w:hAnsi="Trebuchet MS" w:cs="Times New Roman"/>
              </w:rPr>
              <w:t>Proiectul de act</w:t>
            </w:r>
            <w:r w:rsidR="00731DC3" w:rsidRPr="00B9220B">
              <w:rPr>
                <w:rFonts w:ascii="Trebuchet MS" w:hAnsi="Trebuchet MS" w:cs="Times New Roman"/>
              </w:rPr>
              <w:t xml:space="preserve"> normativ nu se referă la acest subiect.</w:t>
            </w:r>
          </w:p>
        </w:tc>
      </w:tr>
      <w:tr w:rsidR="00731DC3" w:rsidRPr="00B9220B" w:rsidTr="00497023">
        <w:tc>
          <w:tcPr>
            <w:tcW w:w="9487" w:type="dxa"/>
            <w:gridSpan w:val="8"/>
          </w:tcPr>
          <w:p w:rsidR="00731DC3" w:rsidRPr="00B9220B" w:rsidRDefault="00731DC3" w:rsidP="00A87583">
            <w:pPr>
              <w:tabs>
                <w:tab w:val="left" w:pos="3960"/>
              </w:tabs>
              <w:spacing w:after="0"/>
              <w:jc w:val="both"/>
              <w:rPr>
                <w:rFonts w:ascii="Trebuchet MS" w:hAnsi="Trebuchet MS" w:cs="Times New Roman"/>
                <w:b/>
                <w:bCs/>
              </w:rPr>
            </w:pPr>
            <w:r w:rsidRPr="00B9220B">
              <w:rPr>
                <w:rFonts w:ascii="Trebuchet MS" w:hAnsi="Trebuchet MS" w:cs="Times New Roman"/>
                <w:b/>
                <w:bCs/>
              </w:rPr>
              <w:t>2. Alte informa</w:t>
            </w:r>
            <w:r w:rsidR="00337D66" w:rsidRPr="00B9220B">
              <w:rPr>
                <w:rFonts w:ascii="Trebuchet MS" w:hAnsi="Trebuchet MS" w:cs="Times New Roman"/>
                <w:b/>
                <w:bCs/>
              </w:rPr>
              <w:t>ț</w:t>
            </w:r>
            <w:r w:rsidRPr="00B9220B">
              <w:rPr>
                <w:rFonts w:ascii="Trebuchet MS" w:hAnsi="Trebuchet MS" w:cs="Times New Roman"/>
                <w:b/>
                <w:bCs/>
              </w:rPr>
              <w:t>ii</w:t>
            </w:r>
          </w:p>
          <w:p w:rsidR="00731DC3" w:rsidRPr="00B9220B" w:rsidRDefault="00731DC3" w:rsidP="00A87583">
            <w:pPr>
              <w:tabs>
                <w:tab w:val="left" w:pos="3960"/>
              </w:tabs>
              <w:spacing w:after="0"/>
              <w:jc w:val="both"/>
              <w:rPr>
                <w:rFonts w:ascii="Trebuchet MS" w:hAnsi="Trebuchet MS" w:cs="Times New Roman"/>
              </w:rPr>
            </w:pPr>
            <w:r w:rsidRPr="00B9220B">
              <w:rPr>
                <w:rFonts w:ascii="Trebuchet MS" w:hAnsi="Trebuchet MS" w:cs="Times New Roman"/>
              </w:rPr>
              <w:t>Nu sunt.</w:t>
            </w:r>
          </w:p>
        </w:tc>
      </w:tr>
    </w:tbl>
    <w:p w:rsidR="00B55F5C" w:rsidRPr="00B9220B" w:rsidRDefault="00B55F5C" w:rsidP="00CD76AF">
      <w:pPr>
        <w:autoSpaceDE w:val="0"/>
        <w:autoSpaceDN w:val="0"/>
        <w:adjustRightInd w:val="0"/>
        <w:spacing w:after="0" w:line="240" w:lineRule="auto"/>
        <w:jc w:val="both"/>
        <w:rPr>
          <w:rFonts w:ascii="Trebuchet MS" w:hAnsi="Trebuchet MS" w:cs="Times New Roman"/>
          <w:lang w:eastAsia="ro-RO"/>
        </w:rPr>
      </w:pPr>
    </w:p>
    <w:p w:rsidR="00766853" w:rsidRPr="00B9220B" w:rsidRDefault="00731DC3" w:rsidP="00766853">
      <w:pPr>
        <w:spacing w:after="0" w:line="240" w:lineRule="auto"/>
        <w:jc w:val="both"/>
        <w:rPr>
          <w:rFonts w:ascii="Trebuchet MS" w:hAnsi="Trebuchet MS" w:cs="Arial"/>
          <w:color w:val="000000"/>
        </w:rPr>
      </w:pPr>
      <w:r w:rsidRPr="00B9220B">
        <w:rPr>
          <w:rFonts w:ascii="Trebuchet MS" w:hAnsi="Trebuchet MS" w:cs="Times New Roman"/>
          <w:lang w:eastAsia="ro-RO"/>
        </w:rPr>
        <w:t>Fa</w:t>
      </w:r>
      <w:r w:rsidR="00337D66" w:rsidRPr="00B9220B">
        <w:rPr>
          <w:rFonts w:ascii="Trebuchet MS" w:hAnsi="Trebuchet MS" w:cs="Times New Roman"/>
          <w:lang w:eastAsia="ro-RO"/>
        </w:rPr>
        <w:t>ț</w:t>
      </w:r>
      <w:r w:rsidRPr="00B9220B">
        <w:rPr>
          <w:rFonts w:ascii="Trebuchet MS" w:hAnsi="Trebuchet MS" w:cs="Times New Roman"/>
          <w:lang w:eastAsia="ro-RO"/>
        </w:rPr>
        <w:t>ă de cele prezentate, a fost elaborat prezentul proiect de</w:t>
      </w:r>
      <w:r w:rsidR="001814D6" w:rsidRPr="00B9220B">
        <w:rPr>
          <w:rFonts w:ascii="Trebuchet MS" w:hAnsi="Trebuchet MS" w:cs="Times New Roman"/>
          <w:lang w:eastAsia="ro-RO"/>
        </w:rPr>
        <w:t xml:space="preserve"> Lege</w:t>
      </w:r>
      <w:r w:rsidR="000F0D58" w:rsidRPr="00B9220B">
        <w:rPr>
          <w:rFonts w:ascii="Trebuchet MS" w:hAnsi="Trebuchet MS" w:cs="Times New Roman"/>
          <w:lang w:eastAsia="ro-RO"/>
        </w:rPr>
        <w:t xml:space="preserve"> </w:t>
      </w:r>
      <w:r w:rsidR="00C308C6" w:rsidRPr="00B9220B">
        <w:rPr>
          <w:rFonts w:ascii="Trebuchet MS" w:hAnsi="Trebuchet MS" w:cs="Arial"/>
          <w:color w:val="000000"/>
        </w:rPr>
        <w:t>pentru modificarea Legii nr. 134/2010 privind Codul de procedură civilă</w:t>
      </w:r>
      <w:r w:rsidR="003753E9" w:rsidRPr="00B9220B">
        <w:rPr>
          <w:rFonts w:ascii="Trebuchet MS" w:hAnsi="Trebuchet MS" w:cs="Arial"/>
          <w:color w:val="000000"/>
        </w:rPr>
        <w:t xml:space="preserve">, pe care, dacă sunteți de acord, vă rugăm să-l aprobați. </w:t>
      </w:r>
    </w:p>
    <w:p w:rsidR="00766853" w:rsidRPr="00B9220B" w:rsidRDefault="00766853" w:rsidP="00766853">
      <w:pPr>
        <w:spacing w:after="0" w:line="240" w:lineRule="auto"/>
        <w:jc w:val="both"/>
        <w:rPr>
          <w:rFonts w:ascii="Trebuchet MS" w:hAnsi="Trebuchet MS" w:cs="Times New Roman"/>
          <w:b/>
          <w:bCs/>
          <w:lang w:eastAsia="ro-RO"/>
        </w:rPr>
      </w:pPr>
    </w:p>
    <w:p w:rsidR="00A82602" w:rsidRPr="00B9220B" w:rsidRDefault="00A82602" w:rsidP="00766853">
      <w:pPr>
        <w:spacing w:after="0" w:line="240" w:lineRule="auto"/>
        <w:jc w:val="center"/>
        <w:rPr>
          <w:rFonts w:ascii="Trebuchet MS" w:hAnsi="Trebuchet MS" w:cs="Times New Roman"/>
          <w:b/>
          <w:bCs/>
          <w:lang w:eastAsia="ro-RO"/>
        </w:rPr>
      </w:pPr>
    </w:p>
    <w:p w:rsidR="00766853" w:rsidRPr="00B9220B" w:rsidRDefault="00766853" w:rsidP="00766853">
      <w:pPr>
        <w:spacing w:after="0" w:line="240" w:lineRule="auto"/>
        <w:jc w:val="center"/>
        <w:rPr>
          <w:rFonts w:ascii="Trebuchet MS" w:hAnsi="Trebuchet MS" w:cs="Times New Roman"/>
          <w:b/>
          <w:bCs/>
          <w:lang w:eastAsia="ro-RO"/>
        </w:rPr>
      </w:pPr>
      <w:r w:rsidRPr="00B9220B">
        <w:rPr>
          <w:rFonts w:ascii="Trebuchet MS" w:hAnsi="Trebuchet MS" w:cs="Times New Roman"/>
          <w:b/>
          <w:bCs/>
          <w:lang w:eastAsia="ro-RO"/>
        </w:rPr>
        <w:t>Ministrul</w:t>
      </w:r>
      <w:r w:rsidR="003753E9" w:rsidRPr="00B9220B">
        <w:rPr>
          <w:rFonts w:ascii="Trebuchet MS" w:hAnsi="Trebuchet MS" w:cs="Times New Roman"/>
          <w:b/>
          <w:bCs/>
          <w:lang w:eastAsia="ro-RO"/>
        </w:rPr>
        <w:t xml:space="preserve"> </w:t>
      </w:r>
      <w:r w:rsidRPr="00B9220B">
        <w:rPr>
          <w:rFonts w:ascii="Trebuchet MS" w:hAnsi="Trebuchet MS" w:cs="Times New Roman"/>
          <w:b/>
          <w:bCs/>
          <w:lang w:eastAsia="ro-RO"/>
        </w:rPr>
        <w:t>Justiției</w:t>
      </w:r>
    </w:p>
    <w:p w:rsidR="00A82602" w:rsidRPr="00B9220B" w:rsidRDefault="00A82602" w:rsidP="00766853">
      <w:pPr>
        <w:spacing w:after="0" w:line="240" w:lineRule="auto"/>
        <w:jc w:val="center"/>
        <w:rPr>
          <w:rFonts w:ascii="Trebuchet MS" w:hAnsi="Trebuchet MS" w:cs="Times New Roman"/>
          <w:b/>
          <w:bCs/>
          <w:lang w:eastAsia="ro-RO"/>
        </w:rPr>
      </w:pPr>
    </w:p>
    <w:p w:rsidR="00766853" w:rsidRPr="00B9220B" w:rsidRDefault="00766853" w:rsidP="00766853">
      <w:pPr>
        <w:spacing w:after="0" w:line="240" w:lineRule="auto"/>
        <w:jc w:val="center"/>
        <w:rPr>
          <w:rFonts w:ascii="Trebuchet MS" w:hAnsi="Trebuchet MS" w:cs="Times New Roman"/>
          <w:b/>
          <w:bCs/>
          <w:lang w:eastAsia="ro-RO"/>
        </w:rPr>
      </w:pPr>
    </w:p>
    <w:p w:rsidR="00A97113" w:rsidRPr="00B9220B" w:rsidRDefault="00702239" w:rsidP="003753E9">
      <w:pPr>
        <w:spacing w:after="0" w:line="240" w:lineRule="auto"/>
        <w:jc w:val="center"/>
        <w:rPr>
          <w:rFonts w:ascii="Trebuchet MS" w:hAnsi="Trebuchet MS" w:cs="Times New Roman"/>
          <w:b/>
          <w:bCs/>
          <w:lang w:eastAsia="ro-RO"/>
        </w:rPr>
      </w:pPr>
      <w:r>
        <w:rPr>
          <w:rFonts w:ascii="Trebuchet MS" w:hAnsi="Trebuchet MS" w:cs="Times New Roman"/>
          <w:b/>
          <w:bCs/>
          <w:lang w:eastAsia="ro-RO"/>
        </w:rPr>
        <w:t>Stelian – Cristian ION</w:t>
      </w:r>
    </w:p>
    <w:sectPr w:rsidR="00A97113" w:rsidRPr="00B9220B" w:rsidSect="00497023">
      <w:footerReference w:type="default" r:id="rId7"/>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E5" w:rsidRDefault="003906E5">
      <w:pPr>
        <w:spacing w:after="0" w:line="240" w:lineRule="auto"/>
      </w:pPr>
      <w:r>
        <w:separator/>
      </w:r>
    </w:p>
  </w:endnote>
  <w:endnote w:type="continuationSeparator" w:id="0">
    <w:p w:rsidR="003906E5" w:rsidRDefault="0039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C0A" w:rsidRDefault="008D5C0A">
    <w:pPr>
      <w:pStyle w:val="Footer"/>
      <w:jc w:val="center"/>
    </w:pPr>
    <w:r>
      <w:fldChar w:fldCharType="begin"/>
    </w:r>
    <w:r>
      <w:instrText xml:space="preserve"> PAGE   \* MERGEFORMAT </w:instrText>
    </w:r>
    <w:r>
      <w:fldChar w:fldCharType="separate"/>
    </w:r>
    <w:r w:rsidR="00702239">
      <w:rPr>
        <w:noProof/>
      </w:rPr>
      <w:t>5</w:t>
    </w:r>
    <w:r>
      <w:rPr>
        <w:noProof/>
      </w:rPr>
      <w:fldChar w:fldCharType="end"/>
    </w:r>
  </w:p>
  <w:p w:rsidR="008D5C0A" w:rsidRDefault="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E5" w:rsidRDefault="003906E5">
      <w:pPr>
        <w:spacing w:after="0" w:line="240" w:lineRule="auto"/>
      </w:pPr>
      <w:r>
        <w:separator/>
      </w:r>
    </w:p>
  </w:footnote>
  <w:footnote w:type="continuationSeparator" w:id="0">
    <w:p w:rsidR="003906E5" w:rsidRDefault="003906E5">
      <w:pPr>
        <w:spacing w:after="0" w:line="240" w:lineRule="auto"/>
      </w:pPr>
      <w:r>
        <w:continuationSeparator/>
      </w:r>
    </w:p>
  </w:footnote>
  <w:footnote w:id="1">
    <w:p w:rsidR="0062225E" w:rsidRPr="001249D8" w:rsidRDefault="0062225E" w:rsidP="00AA43A8">
      <w:pPr>
        <w:pStyle w:val="FootnoteText"/>
        <w:jc w:val="both"/>
        <w:rPr>
          <w:rFonts w:ascii="Trebuchet MS" w:hAnsi="Trebuchet MS"/>
          <w:sz w:val="16"/>
          <w:szCs w:val="16"/>
        </w:rPr>
      </w:pPr>
      <w:r w:rsidRPr="001249D8">
        <w:rPr>
          <w:rStyle w:val="FootnoteReference"/>
          <w:sz w:val="16"/>
          <w:szCs w:val="16"/>
        </w:rPr>
        <w:footnoteRef/>
      </w:r>
      <w:r w:rsidRPr="001249D8">
        <w:rPr>
          <w:rFonts w:ascii="Trebuchet MS" w:hAnsi="Trebuchet MS"/>
          <w:sz w:val="16"/>
          <w:szCs w:val="16"/>
        </w:rPr>
        <w:t xml:space="preserve"> referitoare la excepția de neconstituționalitate a dispozițiilor art. 488</w:t>
      </w:r>
      <w:r w:rsidRPr="001249D8">
        <w:rPr>
          <w:rFonts w:ascii="Trebuchet MS" w:hAnsi="Trebuchet MS"/>
          <w:sz w:val="16"/>
          <w:szCs w:val="16"/>
          <w:vertAlign w:val="superscript"/>
        </w:rPr>
        <w:t>4</w:t>
      </w:r>
      <w:r w:rsidRPr="001249D8">
        <w:rPr>
          <w:rFonts w:ascii="Trebuchet MS" w:hAnsi="Trebuchet MS"/>
          <w:sz w:val="16"/>
          <w:szCs w:val="16"/>
        </w:rPr>
        <w:t xml:space="preserve"> alin. (5) din Codul de procedură penală </w:t>
      </w:r>
      <w:proofErr w:type="spellStart"/>
      <w:r w:rsidRPr="001249D8">
        <w:rPr>
          <w:rFonts w:ascii="Trebuchet MS" w:hAnsi="Trebuchet MS"/>
          <w:sz w:val="16"/>
          <w:szCs w:val="16"/>
        </w:rPr>
        <w:t>şi</w:t>
      </w:r>
      <w:proofErr w:type="spellEnd"/>
      <w:r w:rsidRPr="001249D8">
        <w:rPr>
          <w:rFonts w:ascii="Trebuchet MS" w:hAnsi="Trebuchet MS"/>
          <w:sz w:val="16"/>
          <w:szCs w:val="16"/>
        </w:rPr>
        <w:t xml:space="preserve"> ale art. 105 din Legea nr. 255/2013 pentru punerea în ap</w:t>
      </w:r>
      <w:bookmarkStart w:id="0" w:name="_GoBack"/>
      <w:bookmarkEnd w:id="0"/>
      <w:r w:rsidRPr="001249D8">
        <w:rPr>
          <w:rFonts w:ascii="Trebuchet MS" w:hAnsi="Trebuchet MS"/>
          <w:sz w:val="16"/>
          <w:szCs w:val="16"/>
        </w:rPr>
        <w:t xml:space="preserve">licare a Legii nr. 135/2010 privind Codul de procedură penală </w:t>
      </w:r>
      <w:proofErr w:type="spellStart"/>
      <w:r w:rsidRPr="001249D8">
        <w:rPr>
          <w:rFonts w:ascii="Trebuchet MS" w:hAnsi="Trebuchet MS"/>
          <w:sz w:val="16"/>
          <w:szCs w:val="16"/>
        </w:rPr>
        <w:t>şi</w:t>
      </w:r>
      <w:proofErr w:type="spellEnd"/>
      <w:r w:rsidRPr="001249D8">
        <w:rPr>
          <w:rFonts w:ascii="Trebuchet MS" w:hAnsi="Trebuchet MS"/>
          <w:sz w:val="16"/>
          <w:szCs w:val="16"/>
        </w:rPr>
        <w:t xml:space="preserve"> pentru modificarea </w:t>
      </w:r>
      <w:proofErr w:type="spellStart"/>
      <w:r w:rsidRPr="001249D8">
        <w:rPr>
          <w:rFonts w:ascii="Trebuchet MS" w:hAnsi="Trebuchet MS"/>
          <w:sz w:val="16"/>
          <w:szCs w:val="16"/>
        </w:rPr>
        <w:t>şi</w:t>
      </w:r>
      <w:proofErr w:type="spellEnd"/>
      <w:r w:rsidRPr="001249D8">
        <w:rPr>
          <w:rFonts w:ascii="Trebuchet MS" w:hAnsi="Trebuchet MS"/>
          <w:sz w:val="16"/>
          <w:szCs w:val="16"/>
        </w:rPr>
        <w:t xml:space="preserve"> completarea unor acte normative care cuprind dispoziții procesual penale</w:t>
      </w:r>
      <w:r w:rsidR="00AA43A8" w:rsidRPr="001249D8">
        <w:rPr>
          <w:rFonts w:ascii="Trebuchet MS" w:hAnsi="Trebuchet MS"/>
          <w:sz w:val="16"/>
          <w:szCs w:val="16"/>
        </w:rPr>
        <w:t>, publicată în Monitorul Oficial al României, Partea I, nr. 538 din 20 iulie 2015.</w:t>
      </w:r>
    </w:p>
    <w:p w:rsidR="0062225E" w:rsidRPr="001249D8" w:rsidRDefault="0062225E" w:rsidP="0062225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619"/>
    <w:multiLevelType w:val="hybridMultilevel"/>
    <w:tmpl w:val="34423692"/>
    <w:lvl w:ilvl="0" w:tplc="C6EA8A0A">
      <w:start w:val="2"/>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744787"/>
    <w:multiLevelType w:val="hybridMultilevel"/>
    <w:tmpl w:val="E0DC00A0"/>
    <w:lvl w:ilvl="0" w:tplc="CF70B4B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5"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954E54"/>
    <w:multiLevelType w:val="hybridMultilevel"/>
    <w:tmpl w:val="506EF8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364E2E"/>
    <w:multiLevelType w:val="hybridMultilevel"/>
    <w:tmpl w:val="FCA28654"/>
    <w:lvl w:ilvl="0" w:tplc="9B5EDF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284105A"/>
    <w:multiLevelType w:val="hybridMultilevel"/>
    <w:tmpl w:val="3356B2E8"/>
    <w:lvl w:ilvl="0" w:tplc="4E92C744">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86213"/>
    <w:multiLevelType w:val="hybridMultilevel"/>
    <w:tmpl w:val="35323E08"/>
    <w:lvl w:ilvl="0" w:tplc="3E8CD634">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FAB3DDE"/>
    <w:multiLevelType w:val="hybridMultilevel"/>
    <w:tmpl w:val="BB4839E6"/>
    <w:lvl w:ilvl="0" w:tplc="62945B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12"/>
  </w:num>
  <w:num w:numId="6">
    <w:abstractNumId w:val="11"/>
  </w:num>
  <w:num w:numId="7">
    <w:abstractNumId w:val="4"/>
  </w:num>
  <w:num w:numId="8">
    <w:abstractNumId w:val="6"/>
  </w:num>
  <w:num w:numId="9">
    <w:abstractNumId w:val="9"/>
  </w:num>
  <w:num w:numId="10">
    <w:abstractNumId w:val="0"/>
  </w:num>
  <w:num w:numId="11">
    <w:abstractNumId w:val="7"/>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11A4F"/>
    <w:rsid w:val="00012931"/>
    <w:rsid w:val="00015FD1"/>
    <w:rsid w:val="00024ABC"/>
    <w:rsid w:val="00040829"/>
    <w:rsid w:val="00052C4B"/>
    <w:rsid w:val="00052CE4"/>
    <w:rsid w:val="0005407E"/>
    <w:rsid w:val="000548A2"/>
    <w:rsid w:val="00055832"/>
    <w:rsid w:val="000561B7"/>
    <w:rsid w:val="0006455B"/>
    <w:rsid w:val="00075C79"/>
    <w:rsid w:val="00080602"/>
    <w:rsid w:val="00085318"/>
    <w:rsid w:val="00090B77"/>
    <w:rsid w:val="0009772C"/>
    <w:rsid w:val="00097A25"/>
    <w:rsid w:val="000B5B94"/>
    <w:rsid w:val="000D1564"/>
    <w:rsid w:val="000D54A5"/>
    <w:rsid w:val="000D7431"/>
    <w:rsid w:val="000D7478"/>
    <w:rsid w:val="000E3B5F"/>
    <w:rsid w:val="000E3E62"/>
    <w:rsid w:val="000F0D58"/>
    <w:rsid w:val="000F638E"/>
    <w:rsid w:val="001024E8"/>
    <w:rsid w:val="0010723D"/>
    <w:rsid w:val="00115C5B"/>
    <w:rsid w:val="00122E26"/>
    <w:rsid w:val="001244CA"/>
    <w:rsid w:val="001249D8"/>
    <w:rsid w:val="00132EB8"/>
    <w:rsid w:val="001440EC"/>
    <w:rsid w:val="00145317"/>
    <w:rsid w:val="001664A6"/>
    <w:rsid w:val="00170166"/>
    <w:rsid w:val="001705AF"/>
    <w:rsid w:val="001731E0"/>
    <w:rsid w:val="00174C22"/>
    <w:rsid w:val="00177FA1"/>
    <w:rsid w:val="001814D6"/>
    <w:rsid w:val="0018401B"/>
    <w:rsid w:val="00197ED7"/>
    <w:rsid w:val="001A1E8C"/>
    <w:rsid w:val="001A1EB9"/>
    <w:rsid w:val="001A61D2"/>
    <w:rsid w:val="001B1CAE"/>
    <w:rsid w:val="001B53ED"/>
    <w:rsid w:val="001B677E"/>
    <w:rsid w:val="001C1EC3"/>
    <w:rsid w:val="001C67F9"/>
    <w:rsid w:val="001C6F04"/>
    <w:rsid w:val="001D0194"/>
    <w:rsid w:val="001D4519"/>
    <w:rsid w:val="001E11AA"/>
    <w:rsid w:val="001E2329"/>
    <w:rsid w:val="00211BE2"/>
    <w:rsid w:val="0021256A"/>
    <w:rsid w:val="0022235F"/>
    <w:rsid w:val="00226A32"/>
    <w:rsid w:val="00226AB6"/>
    <w:rsid w:val="00227B68"/>
    <w:rsid w:val="002303D2"/>
    <w:rsid w:val="00233E0E"/>
    <w:rsid w:val="00237969"/>
    <w:rsid w:val="00237A68"/>
    <w:rsid w:val="00237BC8"/>
    <w:rsid w:val="00245062"/>
    <w:rsid w:val="00246A4C"/>
    <w:rsid w:val="00250043"/>
    <w:rsid w:val="002650A5"/>
    <w:rsid w:val="00267EA7"/>
    <w:rsid w:val="002705BC"/>
    <w:rsid w:val="0027346C"/>
    <w:rsid w:val="00274AA5"/>
    <w:rsid w:val="00274DEE"/>
    <w:rsid w:val="00277DB2"/>
    <w:rsid w:val="002912B2"/>
    <w:rsid w:val="00292EC3"/>
    <w:rsid w:val="00293D79"/>
    <w:rsid w:val="002A653B"/>
    <w:rsid w:val="002B6421"/>
    <w:rsid w:val="002B6DF9"/>
    <w:rsid w:val="002C3B19"/>
    <w:rsid w:val="002D1A88"/>
    <w:rsid w:val="002D5E1B"/>
    <w:rsid w:val="002D6945"/>
    <w:rsid w:val="002D6E35"/>
    <w:rsid w:val="002F2D66"/>
    <w:rsid w:val="002F2ED7"/>
    <w:rsid w:val="002F79B5"/>
    <w:rsid w:val="00306DB5"/>
    <w:rsid w:val="00326F2A"/>
    <w:rsid w:val="003271EE"/>
    <w:rsid w:val="00327347"/>
    <w:rsid w:val="00337D66"/>
    <w:rsid w:val="00341EF1"/>
    <w:rsid w:val="0034562C"/>
    <w:rsid w:val="003476B5"/>
    <w:rsid w:val="0035650F"/>
    <w:rsid w:val="00364C4D"/>
    <w:rsid w:val="0037262E"/>
    <w:rsid w:val="003753E9"/>
    <w:rsid w:val="003778CC"/>
    <w:rsid w:val="00382944"/>
    <w:rsid w:val="00382CF8"/>
    <w:rsid w:val="003906E5"/>
    <w:rsid w:val="00393609"/>
    <w:rsid w:val="003A70F4"/>
    <w:rsid w:val="003B1555"/>
    <w:rsid w:val="003B5162"/>
    <w:rsid w:val="003C212D"/>
    <w:rsid w:val="003C2E59"/>
    <w:rsid w:val="003D40B0"/>
    <w:rsid w:val="003E648D"/>
    <w:rsid w:val="003F7D53"/>
    <w:rsid w:val="00403A14"/>
    <w:rsid w:val="00406152"/>
    <w:rsid w:val="004062CE"/>
    <w:rsid w:val="00413B68"/>
    <w:rsid w:val="00424151"/>
    <w:rsid w:val="0042485E"/>
    <w:rsid w:val="00440E17"/>
    <w:rsid w:val="00470A0A"/>
    <w:rsid w:val="0047350C"/>
    <w:rsid w:val="004745A3"/>
    <w:rsid w:val="00486D83"/>
    <w:rsid w:val="004962ED"/>
    <w:rsid w:val="00497023"/>
    <w:rsid w:val="004A055F"/>
    <w:rsid w:val="004A1520"/>
    <w:rsid w:val="004B2735"/>
    <w:rsid w:val="004B2A70"/>
    <w:rsid w:val="004B2C8C"/>
    <w:rsid w:val="004B6537"/>
    <w:rsid w:val="004C0807"/>
    <w:rsid w:val="004C5047"/>
    <w:rsid w:val="004C69A9"/>
    <w:rsid w:val="004D378E"/>
    <w:rsid w:val="004F3EA3"/>
    <w:rsid w:val="005053AE"/>
    <w:rsid w:val="00505790"/>
    <w:rsid w:val="00506885"/>
    <w:rsid w:val="00510D19"/>
    <w:rsid w:val="00521BF4"/>
    <w:rsid w:val="0052757A"/>
    <w:rsid w:val="00535D68"/>
    <w:rsid w:val="00537E7D"/>
    <w:rsid w:val="00544843"/>
    <w:rsid w:val="00545705"/>
    <w:rsid w:val="005474B9"/>
    <w:rsid w:val="005839F7"/>
    <w:rsid w:val="005872B5"/>
    <w:rsid w:val="0059500F"/>
    <w:rsid w:val="005A2357"/>
    <w:rsid w:val="005A563F"/>
    <w:rsid w:val="005A578D"/>
    <w:rsid w:val="005B1A9E"/>
    <w:rsid w:val="005B1D8D"/>
    <w:rsid w:val="005C0025"/>
    <w:rsid w:val="005D4369"/>
    <w:rsid w:val="005D4ED4"/>
    <w:rsid w:val="00602706"/>
    <w:rsid w:val="00611359"/>
    <w:rsid w:val="00612132"/>
    <w:rsid w:val="00613121"/>
    <w:rsid w:val="00616C60"/>
    <w:rsid w:val="0062225E"/>
    <w:rsid w:val="00622A26"/>
    <w:rsid w:val="00622FEB"/>
    <w:rsid w:val="006359C2"/>
    <w:rsid w:val="00635E75"/>
    <w:rsid w:val="00644359"/>
    <w:rsid w:val="00644F60"/>
    <w:rsid w:val="00653FD3"/>
    <w:rsid w:val="006577A5"/>
    <w:rsid w:val="00665BBE"/>
    <w:rsid w:val="0067669A"/>
    <w:rsid w:val="006775E8"/>
    <w:rsid w:val="00682D44"/>
    <w:rsid w:val="0069246D"/>
    <w:rsid w:val="006A111D"/>
    <w:rsid w:val="006B43F1"/>
    <w:rsid w:val="006B5D74"/>
    <w:rsid w:val="006B7714"/>
    <w:rsid w:val="006C25EC"/>
    <w:rsid w:val="006C3A54"/>
    <w:rsid w:val="006C6EAF"/>
    <w:rsid w:val="006D0B8C"/>
    <w:rsid w:val="006D1E08"/>
    <w:rsid w:val="006D2B48"/>
    <w:rsid w:val="006D2FF6"/>
    <w:rsid w:val="006D35A6"/>
    <w:rsid w:val="006D462D"/>
    <w:rsid w:val="006D7A09"/>
    <w:rsid w:val="00702239"/>
    <w:rsid w:val="007074D9"/>
    <w:rsid w:val="00710D41"/>
    <w:rsid w:val="007133EC"/>
    <w:rsid w:val="00721285"/>
    <w:rsid w:val="00725845"/>
    <w:rsid w:val="00726B66"/>
    <w:rsid w:val="00726D37"/>
    <w:rsid w:val="00727018"/>
    <w:rsid w:val="00731D5F"/>
    <w:rsid w:val="00731DC3"/>
    <w:rsid w:val="007377AC"/>
    <w:rsid w:val="00751055"/>
    <w:rsid w:val="00752E0C"/>
    <w:rsid w:val="007530E9"/>
    <w:rsid w:val="00766853"/>
    <w:rsid w:val="00777902"/>
    <w:rsid w:val="007807AD"/>
    <w:rsid w:val="00795732"/>
    <w:rsid w:val="007A0596"/>
    <w:rsid w:val="007B09FA"/>
    <w:rsid w:val="007B2142"/>
    <w:rsid w:val="007B3EEB"/>
    <w:rsid w:val="007C18F6"/>
    <w:rsid w:val="007C64A5"/>
    <w:rsid w:val="007D2CE4"/>
    <w:rsid w:val="007E4735"/>
    <w:rsid w:val="007E62D4"/>
    <w:rsid w:val="007E7664"/>
    <w:rsid w:val="007E7836"/>
    <w:rsid w:val="00802C0D"/>
    <w:rsid w:val="0080594B"/>
    <w:rsid w:val="00805CE8"/>
    <w:rsid w:val="00816B46"/>
    <w:rsid w:val="00831C96"/>
    <w:rsid w:val="00833673"/>
    <w:rsid w:val="00840095"/>
    <w:rsid w:val="008456E6"/>
    <w:rsid w:val="00845714"/>
    <w:rsid w:val="00852E8F"/>
    <w:rsid w:val="00856E57"/>
    <w:rsid w:val="00861256"/>
    <w:rsid w:val="00881D94"/>
    <w:rsid w:val="00882E3B"/>
    <w:rsid w:val="00886D70"/>
    <w:rsid w:val="00891C83"/>
    <w:rsid w:val="0089327B"/>
    <w:rsid w:val="008B287F"/>
    <w:rsid w:val="008B5DFE"/>
    <w:rsid w:val="008D3222"/>
    <w:rsid w:val="008D5C0A"/>
    <w:rsid w:val="008E1ACD"/>
    <w:rsid w:val="008E7F35"/>
    <w:rsid w:val="008F191D"/>
    <w:rsid w:val="008F45DB"/>
    <w:rsid w:val="0091268B"/>
    <w:rsid w:val="00913BF5"/>
    <w:rsid w:val="009204FF"/>
    <w:rsid w:val="00924FE4"/>
    <w:rsid w:val="00926050"/>
    <w:rsid w:val="00931F75"/>
    <w:rsid w:val="00933195"/>
    <w:rsid w:val="009371F9"/>
    <w:rsid w:val="00942B4A"/>
    <w:rsid w:val="00942E37"/>
    <w:rsid w:val="009526BA"/>
    <w:rsid w:val="00961BDF"/>
    <w:rsid w:val="00967FA3"/>
    <w:rsid w:val="009711B5"/>
    <w:rsid w:val="00972D09"/>
    <w:rsid w:val="0097719D"/>
    <w:rsid w:val="00980697"/>
    <w:rsid w:val="00991157"/>
    <w:rsid w:val="009A1870"/>
    <w:rsid w:val="009A4B53"/>
    <w:rsid w:val="009A556E"/>
    <w:rsid w:val="009B1072"/>
    <w:rsid w:val="009B7F2A"/>
    <w:rsid w:val="009C0BB2"/>
    <w:rsid w:val="009D4C6D"/>
    <w:rsid w:val="009E46D7"/>
    <w:rsid w:val="009F61C9"/>
    <w:rsid w:val="009F711D"/>
    <w:rsid w:val="00A03155"/>
    <w:rsid w:val="00A11F8B"/>
    <w:rsid w:val="00A26062"/>
    <w:rsid w:val="00A35A7B"/>
    <w:rsid w:val="00A35C1E"/>
    <w:rsid w:val="00A47B08"/>
    <w:rsid w:val="00A5604D"/>
    <w:rsid w:val="00A62954"/>
    <w:rsid w:val="00A6405E"/>
    <w:rsid w:val="00A7051E"/>
    <w:rsid w:val="00A715A1"/>
    <w:rsid w:val="00A72C85"/>
    <w:rsid w:val="00A82602"/>
    <w:rsid w:val="00A87583"/>
    <w:rsid w:val="00A90AF9"/>
    <w:rsid w:val="00A92A29"/>
    <w:rsid w:val="00A94DC9"/>
    <w:rsid w:val="00A97113"/>
    <w:rsid w:val="00AA35A4"/>
    <w:rsid w:val="00AA43A8"/>
    <w:rsid w:val="00AA5FD8"/>
    <w:rsid w:val="00AC1240"/>
    <w:rsid w:val="00AD6231"/>
    <w:rsid w:val="00AE42B1"/>
    <w:rsid w:val="00AE7DAC"/>
    <w:rsid w:val="00AF22B0"/>
    <w:rsid w:val="00B00EBB"/>
    <w:rsid w:val="00B074E9"/>
    <w:rsid w:val="00B20384"/>
    <w:rsid w:val="00B23316"/>
    <w:rsid w:val="00B24074"/>
    <w:rsid w:val="00B4626A"/>
    <w:rsid w:val="00B4654F"/>
    <w:rsid w:val="00B46667"/>
    <w:rsid w:val="00B50D34"/>
    <w:rsid w:val="00B55F5C"/>
    <w:rsid w:val="00B561D0"/>
    <w:rsid w:val="00B64499"/>
    <w:rsid w:val="00B72E72"/>
    <w:rsid w:val="00B87C0A"/>
    <w:rsid w:val="00B9220B"/>
    <w:rsid w:val="00BA595E"/>
    <w:rsid w:val="00BA5F0F"/>
    <w:rsid w:val="00BB286A"/>
    <w:rsid w:val="00BC260A"/>
    <w:rsid w:val="00BE0E0C"/>
    <w:rsid w:val="00BE4ADA"/>
    <w:rsid w:val="00BF2600"/>
    <w:rsid w:val="00BF474B"/>
    <w:rsid w:val="00BF5F0F"/>
    <w:rsid w:val="00C12A02"/>
    <w:rsid w:val="00C308C6"/>
    <w:rsid w:val="00C33351"/>
    <w:rsid w:val="00C36F38"/>
    <w:rsid w:val="00C56AA1"/>
    <w:rsid w:val="00C63934"/>
    <w:rsid w:val="00C76AD7"/>
    <w:rsid w:val="00C778A8"/>
    <w:rsid w:val="00C870ED"/>
    <w:rsid w:val="00C87495"/>
    <w:rsid w:val="00C967A6"/>
    <w:rsid w:val="00CB15F6"/>
    <w:rsid w:val="00CB6262"/>
    <w:rsid w:val="00CB77F0"/>
    <w:rsid w:val="00CC2F5E"/>
    <w:rsid w:val="00CD39E2"/>
    <w:rsid w:val="00CD76AF"/>
    <w:rsid w:val="00CF0CFE"/>
    <w:rsid w:val="00D01B49"/>
    <w:rsid w:val="00D06B86"/>
    <w:rsid w:val="00D11C3D"/>
    <w:rsid w:val="00D16A54"/>
    <w:rsid w:val="00D177DA"/>
    <w:rsid w:val="00D4429C"/>
    <w:rsid w:val="00D45E0C"/>
    <w:rsid w:val="00D5007B"/>
    <w:rsid w:val="00D5060E"/>
    <w:rsid w:val="00D57CB1"/>
    <w:rsid w:val="00D83A52"/>
    <w:rsid w:val="00D843E6"/>
    <w:rsid w:val="00DA1DBB"/>
    <w:rsid w:val="00DB16F7"/>
    <w:rsid w:val="00DC3082"/>
    <w:rsid w:val="00DD1D80"/>
    <w:rsid w:val="00DD4F9B"/>
    <w:rsid w:val="00DD56AA"/>
    <w:rsid w:val="00DE369F"/>
    <w:rsid w:val="00DE4EBA"/>
    <w:rsid w:val="00DF2D5E"/>
    <w:rsid w:val="00DF5B09"/>
    <w:rsid w:val="00E06B09"/>
    <w:rsid w:val="00E118FC"/>
    <w:rsid w:val="00E1250C"/>
    <w:rsid w:val="00E23756"/>
    <w:rsid w:val="00E30DDE"/>
    <w:rsid w:val="00E32818"/>
    <w:rsid w:val="00E331BF"/>
    <w:rsid w:val="00E349C4"/>
    <w:rsid w:val="00E57F4C"/>
    <w:rsid w:val="00E6211F"/>
    <w:rsid w:val="00E800FD"/>
    <w:rsid w:val="00EA0057"/>
    <w:rsid w:val="00EA2A42"/>
    <w:rsid w:val="00EA480D"/>
    <w:rsid w:val="00EB348E"/>
    <w:rsid w:val="00EB5AC6"/>
    <w:rsid w:val="00EB6F14"/>
    <w:rsid w:val="00EC06C9"/>
    <w:rsid w:val="00ED08ED"/>
    <w:rsid w:val="00ED3747"/>
    <w:rsid w:val="00ED59F4"/>
    <w:rsid w:val="00EE194B"/>
    <w:rsid w:val="00EE216D"/>
    <w:rsid w:val="00EF1D1C"/>
    <w:rsid w:val="00EF2074"/>
    <w:rsid w:val="00EF2331"/>
    <w:rsid w:val="00EF3C1D"/>
    <w:rsid w:val="00EF5C0A"/>
    <w:rsid w:val="00F30CB8"/>
    <w:rsid w:val="00F425C1"/>
    <w:rsid w:val="00F454C5"/>
    <w:rsid w:val="00F45C80"/>
    <w:rsid w:val="00F471BF"/>
    <w:rsid w:val="00F60433"/>
    <w:rsid w:val="00F634AC"/>
    <w:rsid w:val="00F66BA6"/>
    <w:rsid w:val="00F703FC"/>
    <w:rsid w:val="00F7217E"/>
    <w:rsid w:val="00F83FFA"/>
    <w:rsid w:val="00F95F60"/>
    <w:rsid w:val="00FA0BEF"/>
    <w:rsid w:val="00FA5036"/>
    <w:rsid w:val="00FB0370"/>
    <w:rsid w:val="00FB183D"/>
    <w:rsid w:val="00FB7C55"/>
    <w:rsid w:val="00FC2EFE"/>
    <w:rsid w:val="00FC6028"/>
    <w:rsid w:val="00FE5602"/>
    <w:rsid w:val="00FE5AAF"/>
    <w:rsid w:val="00FF2604"/>
    <w:rsid w:val="00FF5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45BF7"/>
  <w15:docId w15:val="{4BFCBCB0-61A8-48B5-8CC0-1952C148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4A6"/>
    <w:pPr>
      <w:spacing w:after="200" w:line="276" w:lineRule="auto"/>
    </w:pPr>
    <w:rPr>
      <w:rFonts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ListParagraph">
    <w:name w:val="List Paragraph"/>
    <w:basedOn w:val="Normal"/>
    <w:uiPriority w:val="72"/>
    <w:qFormat/>
    <w:rsid w:val="00226A32"/>
    <w:pPr>
      <w:ind w:left="720"/>
      <w:contextualSpacing/>
    </w:pPr>
  </w:style>
  <w:style w:type="paragraph" w:styleId="FootnoteText">
    <w:name w:val="footnote text"/>
    <w:basedOn w:val="Normal"/>
    <w:link w:val="FootnoteTextChar"/>
    <w:uiPriority w:val="99"/>
    <w:unhideWhenUsed/>
    <w:rsid w:val="0042415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4151"/>
    <w:rPr>
      <w:rFonts w:asciiTheme="minorHAnsi" w:eastAsiaTheme="minorHAnsi" w:hAnsiTheme="minorHAnsi" w:cstheme="minorBidi"/>
      <w:lang w:eastAsia="en-US"/>
    </w:rPr>
  </w:style>
  <w:style w:type="character" w:customStyle="1" w:styleId="sden">
    <w:name w:val="s_den"/>
    <w:basedOn w:val="DefaultParagraphFont"/>
    <w:rsid w:val="00726D37"/>
  </w:style>
  <w:style w:type="character" w:customStyle="1" w:styleId="shdr">
    <w:name w:val="s_hdr"/>
    <w:basedOn w:val="DefaultParagraphFont"/>
    <w:rsid w:val="00726D37"/>
  </w:style>
  <w:style w:type="character" w:customStyle="1" w:styleId="semtttl">
    <w:name w:val="s_emt_ttl"/>
    <w:basedOn w:val="DefaultParagraphFont"/>
    <w:rsid w:val="00726D37"/>
  </w:style>
  <w:style w:type="character" w:customStyle="1" w:styleId="semtbdy">
    <w:name w:val="s_emt_bdy"/>
    <w:basedOn w:val="DefaultParagraphFont"/>
    <w:rsid w:val="00726D37"/>
  </w:style>
  <w:style w:type="character" w:customStyle="1" w:styleId="spubttl">
    <w:name w:val="s_pub_ttl"/>
    <w:basedOn w:val="DefaultParagraphFont"/>
    <w:rsid w:val="00726D37"/>
  </w:style>
  <w:style w:type="character" w:customStyle="1" w:styleId="spubbdy">
    <w:name w:val="s_pub_bdy"/>
    <w:basedOn w:val="DefaultParagraphFont"/>
    <w:rsid w:val="00726D37"/>
  </w:style>
  <w:style w:type="character" w:customStyle="1" w:styleId="spar">
    <w:name w:val="s_par"/>
    <w:basedOn w:val="DefaultParagraphFont"/>
    <w:rsid w:val="00726D37"/>
  </w:style>
  <w:style w:type="paragraph" w:styleId="BodyText">
    <w:name w:val="Body Text"/>
    <w:basedOn w:val="Normal"/>
    <w:link w:val="BodyTextChar"/>
    <w:rsid w:val="0009772C"/>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sid w:val="0009772C"/>
    <w:rPr>
      <w:rFonts w:ascii="Times New Roman" w:eastAsia="Times New Roman" w:hAnsi="Times New Roman"/>
      <w:sz w:val="28"/>
      <w:lang w:val="en-US"/>
    </w:rPr>
  </w:style>
  <w:style w:type="character" w:styleId="FootnoteReference">
    <w:name w:val="footnote reference"/>
    <w:basedOn w:val="DefaultParagraphFont"/>
    <w:uiPriority w:val="99"/>
    <w:unhideWhenUsed/>
    <w:rsid w:val="000D7431"/>
    <w:rPr>
      <w:rFonts w:ascii="Trebuchet MS" w:hAnsi="Trebuchet MS"/>
      <w:sz w:val="22"/>
      <w:vertAlign w:val="superscript"/>
    </w:rPr>
  </w:style>
  <w:style w:type="character" w:styleId="Hyperlink">
    <w:name w:val="Hyperlink"/>
    <w:basedOn w:val="DefaultParagraphFont"/>
    <w:uiPriority w:val="99"/>
    <w:unhideWhenUsed/>
    <w:rsid w:val="00725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63634">
      <w:bodyDiv w:val="1"/>
      <w:marLeft w:val="0"/>
      <w:marRight w:val="0"/>
      <w:marTop w:val="0"/>
      <w:marBottom w:val="0"/>
      <w:divBdr>
        <w:top w:val="none" w:sz="0" w:space="0" w:color="auto"/>
        <w:left w:val="none" w:sz="0" w:space="0" w:color="auto"/>
        <w:bottom w:val="none" w:sz="0" w:space="0" w:color="auto"/>
        <w:right w:val="none" w:sz="0" w:space="0" w:color="auto"/>
      </w:divBdr>
    </w:div>
    <w:div w:id="892690155">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803692337">
      <w:bodyDiv w:val="1"/>
      <w:marLeft w:val="0"/>
      <w:marRight w:val="0"/>
      <w:marTop w:val="0"/>
      <w:marBottom w:val="0"/>
      <w:divBdr>
        <w:top w:val="none" w:sz="0" w:space="0" w:color="auto"/>
        <w:left w:val="none" w:sz="0" w:space="0" w:color="auto"/>
        <w:bottom w:val="none" w:sz="0" w:space="0" w:color="auto"/>
        <w:right w:val="none" w:sz="0" w:space="0" w:color="auto"/>
      </w:divBdr>
    </w:div>
    <w:div w:id="19846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2146</Words>
  <Characters>12234</Characters>
  <Application>Microsoft Office Word</Application>
  <DocSecurity>0</DocSecurity>
  <Lines>101</Lines>
  <Paragraphs>28</Paragraphs>
  <ScaleCrop>false</ScaleCrop>
  <HeadingPairs>
    <vt:vector size="6" baseType="variant">
      <vt:variant>
        <vt:lpstr>Title</vt:lpstr>
      </vt:variant>
      <vt:variant>
        <vt:i4>1</vt:i4>
      </vt:variant>
      <vt:variant>
        <vt:lpstr>Titlu</vt:lpstr>
      </vt:variant>
      <vt:variant>
        <vt:i4>1</vt:i4>
      </vt:variant>
      <vt:variant>
        <vt:lpstr>Τίτλος</vt:lpstr>
      </vt:variant>
      <vt:variant>
        <vt:i4>1</vt:i4>
      </vt:variant>
    </vt:vector>
  </HeadingPairs>
  <TitlesOfParts>
    <vt:vector size="3" baseType="lpstr">
      <vt:lpstr/>
      <vt:lpstr>NOTĂ DE FUNDAMENTARE</vt:lpstr>
      <vt:lpstr>NOTĂ DE FUNDAMENTARE</vt:lpstr>
    </vt:vector>
  </TitlesOfParts>
  <Company>Ministerul Justitiei</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Miclaus-Badin</dc:creator>
  <cp:lastModifiedBy>George Miclaus</cp:lastModifiedBy>
  <cp:revision>4</cp:revision>
  <cp:lastPrinted>2020-12-22T14:19:00Z</cp:lastPrinted>
  <dcterms:created xsi:type="dcterms:W3CDTF">2021-01-08T08:18:00Z</dcterms:created>
  <dcterms:modified xsi:type="dcterms:W3CDTF">2021-01-08T08:25:00Z</dcterms:modified>
</cp:coreProperties>
</file>