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E0" w:rsidRPr="005C0DE0" w:rsidRDefault="005C0DE0" w:rsidP="006B0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DE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2618949</wp:posOffset>
            </wp:positionH>
            <wp:positionV relativeFrom="paragraph">
              <wp:posOffset>-232012</wp:posOffset>
            </wp:positionV>
            <wp:extent cx="533684" cy="743803"/>
            <wp:effectExtent l="19050" t="0" r="0" b="0"/>
            <wp:wrapNone/>
            <wp:docPr id="2" name="Picture 2" descr="http://www.appc.ro/sigla%20guv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ppc.ro/sigla%20guver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4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E0" w:rsidRPr="005C0DE0" w:rsidRDefault="005C0DE0" w:rsidP="006B05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DE0" w:rsidRPr="005C0DE0" w:rsidRDefault="005C0DE0" w:rsidP="005C0D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0D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 O T Ă R Â R E</w:t>
      </w:r>
    </w:p>
    <w:p w:rsidR="00ED0E33" w:rsidRPr="005C0DE0" w:rsidRDefault="005C0DE0" w:rsidP="006B0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DE0">
        <w:rPr>
          <w:rFonts w:ascii="Times New Roman" w:hAnsi="Times New Roman" w:cs="Times New Roman"/>
          <w:sz w:val="24"/>
          <w:szCs w:val="24"/>
        </w:rPr>
        <w:t xml:space="preserve">pentru </w:t>
      </w:r>
      <w:r w:rsidR="003A6232" w:rsidRPr="005C0DE0">
        <w:rPr>
          <w:rFonts w:ascii="Times New Roman" w:hAnsi="Times New Roman" w:cs="Times New Roman"/>
          <w:sz w:val="24"/>
          <w:szCs w:val="24"/>
        </w:rPr>
        <w:t xml:space="preserve">aprobarea Strategiei </w:t>
      </w:r>
      <w:hyperlink r:id="rId7" w:history="1">
        <w:r w:rsidR="00983B66"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național</w:t>
        </w:r>
      </w:hyperlink>
      <w:r w:rsidR="0069428F" w:rsidRPr="005C0DE0">
        <w:rPr>
          <w:rFonts w:ascii="Times New Roman" w:hAnsi="Times New Roman" w:cs="Times New Roman"/>
          <w:sz w:val="24"/>
          <w:szCs w:val="24"/>
        </w:rPr>
        <w:t>e</w:t>
      </w:r>
      <w:r w:rsidR="00983B66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2E3A8F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în domeniul drogurilor </w:t>
      </w:r>
      <w:r w:rsidR="003A6232" w:rsidRPr="005C0DE0">
        <w:rPr>
          <w:rFonts w:ascii="Times New Roman" w:hAnsi="Times New Roman" w:cs="Times New Roman"/>
          <w:sz w:val="24"/>
          <w:szCs w:val="24"/>
        </w:rPr>
        <w:t>2021</w:t>
      </w:r>
      <w:r w:rsidR="006B0513" w:rsidRPr="005C0DE0">
        <w:rPr>
          <w:rFonts w:ascii="Times New Roman" w:hAnsi="Times New Roman" w:cs="Times New Roman"/>
          <w:sz w:val="24"/>
          <w:szCs w:val="24"/>
        </w:rPr>
        <w:t>-2025</w:t>
      </w:r>
      <w:r w:rsidR="003A6232" w:rsidRPr="005C0DE0">
        <w:rPr>
          <w:rFonts w:ascii="Times New Roman" w:hAnsi="Times New Roman" w:cs="Times New Roman"/>
          <w:sz w:val="24"/>
          <w:szCs w:val="24"/>
        </w:rPr>
        <w:t xml:space="preserve"> și a Planului de acțiune pentru implementarea Strategiei </w:t>
      </w:r>
      <w:hyperlink r:id="rId8" w:history="1">
        <w:r w:rsidR="00983B66"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național</w:t>
        </w:r>
      </w:hyperlink>
      <w:r w:rsidR="00983B66" w:rsidRPr="005C0DE0">
        <w:rPr>
          <w:rFonts w:ascii="Times New Roman" w:hAnsi="Times New Roman" w:cs="Times New Roman"/>
          <w:sz w:val="24"/>
          <w:szCs w:val="24"/>
        </w:rPr>
        <w:t>e</w:t>
      </w:r>
      <w:r w:rsidR="00983B66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3B0DBE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în domeniul drogurilor </w:t>
      </w:r>
      <w:r w:rsidR="003A6232" w:rsidRPr="005C0DE0">
        <w:rPr>
          <w:rFonts w:ascii="Times New Roman" w:hAnsi="Times New Roman" w:cs="Times New Roman"/>
          <w:sz w:val="24"/>
          <w:szCs w:val="24"/>
        </w:rPr>
        <w:t>2021</w:t>
      </w:r>
      <w:r w:rsidR="006B0513" w:rsidRPr="005C0DE0">
        <w:rPr>
          <w:rFonts w:ascii="Times New Roman" w:hAnsi="Times New Roman" w:cs="Times New Roman"/>
          <w:sz w:val="24"/>
          <w:szCs w:val="24"/>
        </w:rPr>
        <w:t>-2025</w:t>
      </w:r>
    </w:p>
    <w:p w:rsidR="00A07209" w:rsidRDefault="00A07209" w:rsidP="0012283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66DE2" w:rsidRPr="005C0DE0" w:rsidRDefault="00266DE2" w:rsidP="00122835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 temeiul </w:t>
      </w:r>
      <w:hyperlink r:id="rId9" w:anchor="A591" w:history="1">
        <w:r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 108 din Constituția României, republicată</w:t>
        </w:r>
      </w:hyperlink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C0DE9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Guvernul României adoptă prezenta hotărâre</w:t>
      </w:r>
      <w:r w:rsidR="005C0DE0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A07209" w:rsidRDefault="005C0DE0" w:rsidP="00A07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D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Articolul 1</w:t>
      </w:r>
    </w:p>
    <w:p w:rsidR="0069428F" w:rsidRPr="005C0DE0" w:rsidRDefault="005C0DE0" w:rsidP="00A072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E5EAB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>e aprobă </w:t>
      </w:r>
      <w:hyperlink r:id="rId10" w:history="1">
        <w:r w:rsidR="00BE5EAB"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Strategia națională</w:t>
        </w:r>
      </w:hyperlink>
      <w:r w:rsidR="00BE5EAB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59F1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>în domeniul drogurilor</w:t>
      </w:r>
      <w:r w:rsidR="002E3A8F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0513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r w:rsidR="009159F1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>ntru</w:t>
      </w:r>
      <w:r w:rsidR="006B0513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perioada 2021-2025</w:t>
      </w:r>
      <w:r w:rsidR="00BE5EAB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>, denumită în continuare </w:t>
      </w:r>
      <w:hyperlink r:id="rId11" w:history="1">
        <w:r w:rsidR="00BE5EAB"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Strategia națională</w:t>
        </w:r>
      </w:hyperlink>
      <w:r w:rsidR="00BE5EAB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>, prevăzută în </w:t>
      </w:r>
      <w:r w:rsidR="00BE5EAB" w:rsidRPr="005C0DE0">
        <w:rPr>
          <w:rStyle w:val="slg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anexa nr. 1</w:t>
      </w:r>
      <w:r w:rsidR="00BE5EAB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5EAB" w:rsidRPr="005C0DE0" w:rsidRDefault="00BE5EAB" w:rsidP="00A07209">
      <w:pPr>
        <w:spacing w:line="240" w:lineRule="auto"/>
        <w:jc w:val="both"/>
        <w:rPr>
          <w:rStyle w:val="sar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ar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Articolul 2</w:t>
      </w:r>
    </w:p>
    <w:p w:rsidR="00BE5EAB" w:rsidRPr="005C0DE0" w:rsidRDefault="00BE5EAB" w:rsidP="00A07209">
      <w:pPr>
        <w:spacing w:line="24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</w:t>
      </w:r>
      <w:r w:rsidR="00F92E08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aprobă </w:t>
      </w:r>
      <w:hyperlink r:id="rId12" w:history="1">
        <w:r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Planul de acțiune</w:t>
        </w:r>
      </w:hyperlink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pentru implementarea </w:t>
      </w:r>
      <w:hyperlink r:id="rId13" w:history="1">
        <w:r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Strategiei naționale</w:t>
        </w:r>
      </w:hyperlink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159F1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>în domeniul drogurilor</w:t>
      </w:r>
      <w:r w:rsidR="00661013" w:rsidRPr="005C0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0513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2021-2025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prevăzut în </w:t>
      </w:r>
      <w:r w:rsidRPr="005C0DE0">
        <w:rPr>
          <w:rStyle w:val="slg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anexa nr. 2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23433" w:rsidRPr="005C0DE0" w:rsidRDefault="00423433" w:rsidP="00A07209">
      <w:pPr>
        <w:spacing w:line="240" w:lineRule="auto"/>
        <w:jc w:val="both"/>
        <w:rPr>
          <w:rStyle w:val="sar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ar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Articolul 3</w:t>
      </w:r>
    </w:p>
    <w:p w:rsidR="00423433" w:rsidRPr="005C0DE0" w:rsidRDefault="00423433" w:rsidP="00A07209">
      <w:pPr>
        <w:spacing w:line="24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Agenția Națională Antidrog, ministerele și celelalte organe de specialitate ale administrației publice centrale, instituția prefectului, precum și autoritățile administrației publice locale</w:t>
      </w:r>
      <w:r w:rsidR="00333713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sunt responsabile pentru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îndeplinire</w:t>
      </w:r>
      <w:r w:rsidR="00333713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obiectivel</w:t>
      </w:r>
      <w:r w:rsidR="00333713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specifice domeniului lor de activitate, prevăzute în Strategia națională.</w:t>
      </w:r>
    </w:p>
    <w:p w:rsidR="00423433" w:rsidRPr="005C0DE0" w:rsidRDefault="00423433" w:rsidP="00A07209">
      <w:pPr>
        <w:spacing w:line="240" w:lineRule="auto"/>
        <w:jc w:val="both"/>
        <w:rPr>
          <w:rStyle w:val="sar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ar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Articolul 4</w:t>
      </w:r>
    </w:p>
    <w:p w:rsidR="00423433" w:rsidRPr="005C0DE0" w:rsidRDefault="00423433" w:rsidP="00A07209">
      <w:pPr>
        <w:spacing w:line="24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Fondurile necesare îndeplinirii obiectivelor </w:t>
      </w:r>
      <w:hyperlink r:id="rId14" w:history="1">
        <w:r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Strategi</w:t>
        </w:r>
        <w:r w:rsidR="00611C91"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ei</w:t>
        </w:r>
        <w:r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național</w:t>
        </w:r>
        <w:r w:rsidR="00611C91" w:rsidRPr="005C0D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</w:t>
        </w:r>
      </w:hyperlink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se </w:t>
      </w:r>
      <w:r w:rsidR="00611C91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prevăd și se 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asigură de către fiecare instituție/autoritate publică implicată, </w:t>
      </w:r>
      <w:r w:rsidR="00172A0F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prin bugetele proprii,</w:t>
      </w:r>
      <w:r w:rsidR="000B0F44"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 raport cu termenele de realizare.</w:t>
      </w:r>
    </w:p>
    <w:p w:rsidR="00D82933" w:rsidRPr="005C0DE0" w:rsidRDefault="007D6A51" w:rsidP="00A07209">
      <w:pPr>
        <w:spacing w:line="240" w:lineRule="auto"/>
        <w:jc w:val="both"/>
        <w:rPr>
          <w:rStyle w:val="sar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ar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Articolul 5</w:t>
      </w:r>
    </w:p>
    <w:p w:rsidR="007D6A51" w:rsidRPr="005C0DE0" w:rsidRDefault="007D6A51" w:rsidP="00A07209">
      <w:pPr>
        <w:spacing w:line="24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lg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Anexele nr. 1-2</w:t>
      </w:r>
      <w:r w:rsidRPr="005C0DE0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fac parte integrantă din prezenta hotărâre.</w:t>
      </w:r>
    </w:p>
    <w:p w:rsidR="00A07209" w:rsidRDefault="00A07209" w:rsidP="00122835">
      <w:pPr>
        <w:pStyle w:val="NoSpacing"/>
        <w:jc w:val="center"/>
        <w:rPr>
          <w:rStyle w:val="ssmn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A07209" w:rsidRDefault="00A07209" w:rsidP="00122835">
      <w:pPr>
        <w:pStyle w:val="NoSpacing"/>
        <w:jc w:val="center"/>
        <w:rPr>
          <w:rStyle w:val="ssmn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A07209" w:rsidRDefault="00A07209" w:rsidP="00122835">
      <w:pPr>
        <w:pStyle w:val="NoSpacing"/>
        <w:jc w:val="center"/>
        <w:rPr>
          <w:rStyle w:val="ssmn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5C0DE0" w:rsidRDefault="00D82933" w:rsidP="00122835">
      <w:pPr>
        <w:pStyle w:val="NoSpacing"/>
        <w:jc w:val="center"/>
        <w:rPr>
          <w:rStyle w:val="ssmn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smn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PRIM-MINISTRU</w:t>
      </w:r>
      <w:r w:rsidRPr="005C0DE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472A4D" w:rsidRPr="005C0DE0" w:rsidRDefault="002A16E4" w:rsidP="00122835">
      <w:pPr>
        <w:pStyle w:val="NoSpacing"/>
        <w:jc w:val="center"/>
        <w:rPr>
          <w:rStyle w:val="ssmn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0DE0">
        <w:rPr>
          <w:rStyle w:val="ssmn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A07209">
        <w:rPr>
          <w:rStyle w:val="ssmn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lorin - Vasile</w:t>
      </w:r>
      <w:r w:rsidRPr="005C0DE0">
        <w:rPr>
          <w:rStyle w:val="ssmn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CÎȚU</w:t>
      </w:r>
    </w:p>
    <w:p w:rsidR="00A07209" w:rsidRDefault="00D82933" w:rsidP="007F74DC">
      <w:pPr>
        <w:rPr>
          <w:rFonts w:ascii="Times New Roman" w:hAnsi="Times New Roman" w:cs="Times New Roman"/>
          <w:sz w:val="24"/>
          <w:szCs w:val="24"/>
        </w:rPr>
      </w:pPr>
      <w:r w:rsidRPr="005C0DE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bookmarkStart w:id="0" w:name="_GoBack"/>
      <w:bookmarkEnd w:id="0"/>
    </w:p>
    <w:p w:rsidR="00A07209" w:rsidRDefault="00A07209" w:rsidP="007F7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București</w:t>
      </w:r>
    </w:p>
    <w:p w:rsidR="00A07209" w:rsidRPr="005C0DE0" w:rsidRDefault="00A07209" w:rsidP="007F7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___________</w:t>
      </w:r>
    </w:p>
    <w:sectPr w:rsidR="00A07209" w:rsidRPr="005C0DE0" w:rsidSect="00791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zatori">
    <w15:presenceInfo w15:providerId="None" w15:userId="utilizator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hyphenationZone w:val="425"/>
  <w:characterSpacingControl w:val="doNotCompress"/>
  <w:compat/>
  <w:rsids>
    <w:rsidRoot w:val="003A6232"/>
    <w:rsid w:val="00067B0E"/>
    <w:rsid w:val="00082D7B"/>
    <w:rsid w:val="00091A94"/>
    <w:rsid w:val="000B0F44"/>
    <w:rsid w:val="000C30E9"/>
    <w:rsid w:val="000E2AD1"/>
    <w:rsid w:val="001205AE"/>
    <w:rsid w:val="00122835"/>
    <w:rsid w:val="00146354"/>
    <w:rsid w:val="00172A0F"/>
    <w:rsid w:val="001765F4"/>
    <w:rsid w:val="00180ABD"/>
    <w:rsid w:val="001971D9"/>
    <w:rsid w:val="001C0DE9"/>
    <w:rsid w:val="001D22CB"/>
    <w:rsid w:val="0024421B"/>
    <w:rsid w:val="00266DE2"/>
    <w:rsid w:val="00271DB5"/>
    <w:rsid w:val="002A16E4"/>
    <w:rsid w:val="002E3A8F"/>
    <w:rsid w:val="00333713"/>
    <w:rsid w:val="00342DB8"/>
    <w:rsid w:val="00373009"/>
    <w:rsid w:val="003A6232"/>
    <w:rsid w:val="003B0DBE"/>
    <w:rsid w:val="00423433"/>
    <w:rsid w:val="00447344"/>
    <w:rsid w:val="00472A4D"/>
    <w:rsid w:val="004922A3"/>
    <w:rsid w:val="00501A92"/>
    <w:rsid w:val="00577BC8"/>
    <w:rsid w:val="005C0DE0"/>
    <w:rsid w:val="00605EAE"/>
    <w:rsid w:val="00611C91"/>
    <w:rsid w:val="00623D6D"/>
    <w:rsid w:val="00661013"/>
    <w:rsid w:val="00666829"/>
    <w:rsid w:val="00673E12"/>
    <w:rsid w:val="006772D9"/>
    <w:rsid w:val="0069428F"/>
    <w:rsid w:val="006B0513"/>
    <w:rsid w:val="00732B6A"/>
    <w:rsid w:val="00757241"/>
    <w:rsid w:val="007726A5"/>
    <w:rsid w:val="007910AE"/>
    <w:rsid w:val="007A1D4C"/>
    <w:rsid w:val="007D6A51"/>
    <w:rsid w:val="007F74DC"/>
    <w:rsid w:val="008532EB"/>
    <w:rsid w:val="00853A82"/>
    <w:rsid w:val="008D7C9E"/>
    <w:rsid w:val="009159F1"/>
    <w:rsid w:val="00921796"/>
    <w:rsid w:val="009836CD"/>
    <w:rsid w:val="00983B66"/>
    <w:rsid w:val="009C640E"/>
    <w:rsid w:val="00A07209"/>
    <w:rsid w:val="00A4386C"/>
    <w:rsid w:val="00A44B22"/>
    <w:rsid w:val="00A9379A"/>
    <w:rsid w:val="00AA1E15"/>
    <w:rsid w:val="00AC3603"/>
    <w:rsid w:val="00B17DC6"/>
    <w:rsid w:val="00B375E0"/>
    <w:rsid w:val="00BB03D8"/>
    <w:rsid w:val="00BE5EAB"/>
    <w:rsid w:val="00C00643"/>
    <w:rsid w:val="00C21021"/>
    <w:rsid w:val="00C47B2F"/>
    <w:rsid w:val="00C92DB7"/>
    <w:rsid w:val="00CA2D01"/>
    <w:rsid w:val="00CB2F2F"/>
    <w:rsid w:val="00CD1B57"/>
    <w:rsid w:val="00CF1C6A"/>
    <w:rsid w:val="00CF7142"/>
    <w:rsid w:val="00D05272"/>
    <w:rsid w:val="00D82933"/>
    <w:rsid w:val="00E13D11"/>
    <w:rsid w:val="00E6193C"/>
    <w:rsid w:val="00EA6D2E"/>
    <w:rsid w:val="00ED45B5"/>
    <w:rsid w:val="00F823FD"/>
    <w:rsid w:val="00F92E08"/>
    <w:rsid w:val="00FE3CF5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AE"/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082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mtttl">
    <w:name w:val="s_emt_ttl"/>
    <w:basedOn w:val="DefaultParagraphFont"/>
    <w:rsid w:val="00266DE2"/>
  </w:style>
  <w:style w:type="character" w:customStyle="1" w:styleId="semtbdy">
    <w:name w:val="s_emt_bdy"/>
    <w:basedOn w:val="DefaultParagraphFont"/>
    <w:rsid w:val="00266DE2"/>
  </w:style>
  <w:style w:type="character" w:customStyle="1" w:styleId="spubttl">
    <w:name w:val="s_pub_ttl"/>
    <w:basedOn w:val="DefaultParagraphFont"/>
    <w:rsid w:val="00266DE2"/>
  </w:style>
  <w:style w:type="character" w:customStyle="1" w:styleId="spubbdy">
    <w:name w:val="s_pub_bdy"/>
    <w:basedOn w:val="DefaultParagraphFont"/>
    <w:rsid w:val="00266DE2"/>
  </w:style>
  <w:style w:type="character" w:customStyle="1" w:styleId="spar">
    <w:name w:val="s_par"/>
    <w:basedOn w:val="DefaultParagraphFont"/>
    <w:rsid w:val="00266DE2"/>
  </w:style>
  <w:style w:type="character" w:styleId="Hyperlink">
    <w:name w:val="Hyperlink"/>
    <w:basedOn w:val="DefaultParagraphFont"/>
    <w:uiPriority w:val="99"/>
    <w:semiHidden/>
    <w:unhideWhenUsed/>
    <w:rsid w:val="00266DE2"/>
    <w:rPr>
      <w:color w:val="0000FF"/>
      <w:u w:val="single"/>
    </w:rPr>
  </w:style>
  <w:style w:type="character" w:customStyle="1" w:styleId="sartttl">
    <w:name w:val="s_art_ttl"/>
    <w:basedOn w:val="DefaultParagraphFont"/>
    <w:rsid w:val="00266DE2"/>
  </w:style>
  <w:style w:type="character" w:customStyle="1" w:styleId="slgi">
    <w:name w:val="s_lgi"/>
    <w:basedOn w:val="DefaultParagraphFont"/>
    <w:rsid w:val="00BE5EAB"/>
  </w:style>
  <w:style w:type="character" w:customStyle="1" w:styleId="ssmnpar">
    <w:name w:val="s_smn_par"/>
    <w:basedOn w:val="DefaultParagraphFont"/>
    <w:rsid w:val="00D82933"/>
  </w:style>
  <w:style w:type="character" w:customStyle="1" w:styleId="sanxttl">
    <w:name w:val="s_anx_ttl"/>
    <w:basedOn w:val="DefaultParagraphFont"/>
    <w:rsid w:val="00FF6724"/>
  </w:style>
  <w:style w:type="character" w:customStyle="1" w:styleId="sref">
    <w:name w:val="s_ref"/>
    <w:basedOn w:val="DefaultParagraphFont"/>
    <w:rsid w:val="00FF6724"/>
  </w:style>
  <w:style w:type="character" w:styleId="FollowedHyperlink">
    <w:name w:val="FollowedHyperlink"/>
    <w:basedOn w:val="DefaultParagraphFont"/>
    <w:uiPriority w:val="99"/>
    <w:semiHidden/>
    <w:unhideWhenUsed/>
    <w:rsid w:val="007F74D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73E12"/>
    <w:rPr>
      <w:i/>
      <w:iCs/>
    </w:rPr>
  </w:style>
  <w:style w:type="character" w:styleId="Strong">
    <w:name w:val="Strong"/>
    <w:basedOn w:val="DefaultParagraphFont"/>
    <w:uiPriority w:val="22"/>
    <w:qFormat/>
    <w:rsid w:val="00673E12"/>
    <w:rPr>
      <w:b/>
      <w:bCs/>
    </w:rPr>
  </w:style>
  <w:style w:type="paragraph" w:styleId="NoSpacing">
    <w:name w:val="No Spacing"/>
    <w:uiPriority w:val="1"/>
    <w:qFormat/>
    <w:rsid w:val="00122835"/>
    <w:pPr>
      <w:spacing w:after="0" w:line="240" w:lineRule="auto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82D7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0E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06688" TargetMode="External"/><Relationship Id="rId13" Type="http://schemas.openxmlformats.org/officeDocument/2006/relationships/hyperlink" Target="http://legislatie.just.ro/Public/DetaliiDocumentAfis/206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206688" TargetMode="External"/><Relationship Id="rId12" Type="http://schemas.openxmlformats.org/officeDocument/2006/relationships/hyperlink" Target="http://legislatie.just.ro/Public/DetaliiDocumentAfis/206689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http://www.appc.ro/sigla%20guvern.jpg" TargetMode="External"/><Relationship Id="rId11" Type="http://schemas.openxmlformats.org/officeDocument/2006/relationships/hyperlink" Target="http://legislatie.just.ro/Public/DetaliiDocumentAfis/20668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legislatie.just.ro/Public/DetaliiDocumentAfis/2066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tie.just.ro/Public/DetaliiDocumentAfis/47355" TargetMode="External"/><Relationship Id="rId14" Type="http://schemas.openxmlformats.org/officeDocument/2006/relationships/hyperlink" Target="http://legislatie.just.ro/Public/DetaliiDocumentAfis/2066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EB26D-F49C-4B47-ABE4-6B005B83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raluca.ionus</dc:creator>
  <cp:lastModifiedBy>veronica.mihai</cp:lastModifiedBy>
  <cp:revision>2</cp:revision>
  <cp:lastPrinted>2021-04-22T05:47:00Z</cp:lastPrinted>
  <dcterms:created xsi:type="dcterms:W3CDTF">2021-05-24T07:22:00Z</dcterms:created>
  <dcterms:modified xsi:type="dcterms:W3CDTF">2021-05-24T07:22:00Z</dcterms:modified>
</cp:coreProperties>
</file>