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278EA" w14:textId="77777777" w:rsidR="009920A0" w:rsidRPr="00B939C6" w:rsidRDefault="009920A0" w:rsidP="00B939C6">
      <w:pPr>
        <w:ind w:left="-851"/>
        <w:jc w:val="center"/>
        <w:rPr>
          <w:rFonts w:cs="Arial"/>
          <w:b/>
          <w:snapToGrid w:val="0"/>
        </w:rPr>
      </w:pPr>
    </w:p>
    <w:p w14:paraId="0C45A58B" w14:textId="77777777" w:rsidR="009920A0" w:rsidRPr="00B939C6" w:rsidRDefault="009920A0" w:rsidP="00B939C6">
      <w:pPr>
        <w:ind w:left="-851"/>
        <w:jc w:val="center"/>
        <w:rPr>
          <w:rFonts w:cs="Arial"/>
          <w:b/>
          <w:snapToGrid w:val="0"/>
        </w:rPr>
      </w:pPr>
    </w:p>
    <w:p w14:paraId="3A2F3380" w14:textId="52AC8F50" w:rsidR="002902EE" w:rsidRPr="00B939C6" w:rsidRDefault="00002BB0" w:rsidP="00FE3B1B">
      <w:pPr>
        <w:ind w:left="-851"/>
        <w:jc w:val="center"/>
        <w:rPr>
          <w:rFonts w:cs="Arial"/>
          <w:b/>
          <w:snapToGrid w:val="0"/>
        </w:rPr>
      </w:pPr>
      <w:r w:rsidRPr="00B939C6">
        <w:rPr>
          <w:rFonts w:cs="Arial"/>
          <w:b/>
          <w:snapToGrid w:val="0"/>
        </w:rPr>
        <w:t>NOTĂ DE FUNDAMENTARE</w:t>
      </w:r>
    </w:p>
    <w:p w14:paraId="3FD7951C" w14:textId="77777777" w:rsidR="004175F0" w:rsidRPr="00B939C6" w:rsidRDefault="004175F0" w:rsidP="00B939C6">
      <w:pPr>
        <w:ind w:left="-851"/>
        <w:rPr>
          <w:rFonts w:cs="Arial"/>
          <w:b/>
          <w:snapToGrid w:val="0"/>
        </w:rPr>
      </w:pPr>
    </w:p>
    <w:tbl>
      <w:tblPr>
        <w:tblW w:w="10101"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0"/>
        <w:gridCol w:w="1559"/>
        <w:gridCol w:w="1134"/>
        <w:gridCol w:w="1134"/>
        <w:gridCol w:w="1134"/>
        <w:gridCol w:w="1133"/>
        <w:gridCol w:w="1277"/>
      </w:tblGrid>
      <w:tr w:rsidR="00EC7E47" w:rsidRPr="00B939C6" w14:paraId="10168C38" w14:textId="77777777" w:rsidTr="00B939C6">
        <w:trPr>
          <w:cantSplit/>
          <w:trHeight w:val="950"/>
        </w:trPr>
        <w:tc>
          <w:tcPr>
            <w:tcW w:w="10101" w:type="dxa"/>
            <w:gridSpan w:val="7"/>
          </w:tcPr>
          <w:p w14:paraId="365854AC" w14:textId="20A29CFC" w:rsidR="00A728B1" w:rsidRPr="00A728B1" w:rsidRDefault="00DB3D92" w:rsidP="00A728B1">
            <w:pPr>
              <w:spacing w:after="0"/>
              <w:ind w:left="69" w:right="-391"/>
              <w:jc w:val="center"/>
              <w:rPr>
                <w:rFonts w:cs="Arial"/>
                <w:b/>
                <w:snapToGrid w:val="0"/>
              </w:rPr>
            </w:pPr>
            <w:r w:rsidRPr="00B939C6">
              <w:rPr>
                <w:rFonts w:cs="Arial"/>
                <w:b/>
                <w:snapToGrid w:val="0"/>
              </w:rPr>
              <w:t>Secțiunea</w:t>
            </w:r>
            <w:r w:rsidR="004175F0" w:rsidRPr="00B939C6">
              <w:rPr>
                <w:rFonts w:cs="Arial"/>
                <w:b/>
                <w:snapToGrid w:val="0"/>
              </w:rPr>
              <w:t xml:space="preserve"> 1 – Titlul proiectului de act normativ</w:t>
            </w:r>
          </w:p>
          <w:p w14:paraId="34081FEA" w14:textId="4585BAB4" w:rsidR="000F17C6" w:rsidRPr="00A728B1" w:rsidRDefault="000F17C6" w:rsidP="00A728B1">
            <w:pPr>
              <w:spacing w:after="0"/>
              <w:ind w:left="69" w:right="-391"/>
              <w:jc w:val="center"/>
              <w:rPr>
                <w:rFonts w:cs="Arial"/>
                <w:b/>
                <w:snapToGrid w:val="0"/>
              </w:rPr>
            </w:pPr>
            <w:r w:rsidRPr="00B939C6">
              <w:rPr>
                <w:rFonts w:cs="Arial"/>
                <w:b/>
              </w:rPr>
              <w:t>Hotărâre</w:t>
            </w:r>
          </w:p>
          <w:p w14:paraId="36BD1D37" w14:textId="37557B24" w:rsidR="00B939C6" w:rsidRPr="00B939C6" w:rsidRDefault="000F17C6" w:rsidP="00A728B1">
            <w:pPr>
              <w:adjustRightInd w:val="0"/>
              <w:spacing w:after="0"/>
              <w:ind w:left="69"/>
              <w:jc w:val="center"/>
              <w:rPr>
                <w:rFonts w:cs="Arial"/>
                <w:b/>
              </w:rPr>
            </w:pPr>
            <w:r w:rsidRPr="00B939C6">
              <w:rPr>
                <w:rFonts w:cs="Arial"/>
                <w:b/>
              </w:rPr>
              <w:t xml:space="preserve">privind suplimentarea numărului maxim de posturi pentru </w:t>
            </w:r>
            <w:r w:rsidR="00AE0064">
              <w:rPr>
                <w:rFonts w:cs="Arial"/>
                <w:b/>
              </w:rPr>
              <w:t>unele instituții din sistemul justiției</w:t>
            </w:r>
          </w:p>
        </w:tc>
      </w:tr>
      <w:tr w:rsidR="00EC7E47" w:rsidRPr="00B939C6" w14:paraId="4D5E1BD3" w14:textId="77777777" w:rsidTr="00B939C6">
        <w:trPr>
          <w:cantSplit/>
          <w:trHeight w:val="468"/>
        </w:trPr>
        <w:tc>
          <w:tcPr>
            <w:tcW w:w="10101" w:type="dxa"/>
            <w:gridSpan w:val="7"/>
          </w:tcPr>
          <w:p w14:paraId="19643FC7" w14:textId="77777777" w:rsidR="00A728B1" w:rsidRDefault="00A728B1" w:rsidP="00A728B1">
            <w:pPr>
              <w:spacing w:after="0"/>
              <w:ind w:left="69" w:right="-391"/>
              <w:jc w:val="center"/>
              <w:rPr>
                <w:rFonts w:cs="Arial"/>
                <w:b/>
                <w:snapToGrid w:val="0"/>
              </w:rPr>
            </w:pPr>
          </w:p>
          <w:p w14:paraId="3CAFDDF2" w14:textId="77777777" w:rsidR="00B939C6" w:rsidRDefault="00B939C6" w:rsidP="00A728B1">
            <w:pPr>
              <w:spacing w:after="0"/>
              <w:ind w:left="69" w:right="-391"/>
              <w:jc w:val="center"/>
              <w:rPr>
                <w:rFonts w:cs="Arial"/>
                <w:b/>
                <w:snapToGrid w:val="0"/>
              </w:rPr>
            </w:pPr>
            <w:r w:rsidRPr="00B939C6">
              <w:rPr>
                <w:rFonts w:cs="Arial"/>
                <w:b/>
                <w:snapToGrid w:val="0"/>
              </w:rPr>
              <w:t>Secțiunea</w:t>
            </w:r>
            <w:r w:rsidR="004175F0" w:rsidRPr="00B939C6">
              <w:rPr>
                <w:rFonts w:cs="Arial"/>
                <w:b/>
                <w:snapToGrid w:val="0"/>
              </w:rPr>
              <w:t xml:space="preserve"> a 2-a – Motivul emiterii actului normativ</w:t>
            </w:r>
          </w:p>
          <w:p w14:paraId="4C0DED86" w14:textId="35EF6985" w:rsidR="00A728B1" w:rsidRPr="00B939C6" w:rsidRDefault="00A728B1" w:rsidP="00A728B1">
            <w:pPr>
              <w:spacing w:after="0"/>
              <w:ind w:left="69" w:right="-391"/>
              <w:jc w:val="center"/>
              <w:rPr>
                <w:rFonts w:cs="Arial"/>
                <w:b/>
                <w:snapToGrid w:val="0"/>
              </w:rPr>
            </w:pPr>
          </w:p>
        </w:tc>
      </w:tr>
      <w:tr w:rsidR="00EC7E47" w:rsidRPr="00B939C6" w14:paraId="6EE23E26" w14:textId="77777777" w:rsidTr="00B939C6">
        <w:tc>
          <w:tcPr>
            <w:tcW w:w="2730" w:type="dxa"/>
            <w:tcBorders>
              <w:right w:val="single" w:sz="4" w:space="0" w:color="auto"/>
            </w:tcBorders>
          </w:tcPr>
          <w:p w14:paraId="2E5E47F1" w14:textId="797CAF4A" w:rsidR="00614922" w:rsidRPr="00B939C6" w:rsidRDefault="004175F0" w:rsidP="00A728B1">
            <w:pPr>
              <w:spacing w:after="0"/>
              <w:ind w:left="69" w:right="182"/>
              <w:rPr>
                <w:rFonts w:cs="Arial"/>
                <w:snapToGrid w:val="0"/>
              </w:rPr>
            </w:pPr>
            <w:r w:rsidRPr="00B939C6">
              <w:rPr>
                <w:rFonts w:cs="Arial"/>
                <w:snapToGrid w:val="0"/>
              </w:rPr>
              <w:t xml:space="preserve">1. Descrierea </w:t>
            </w:r>
            <w:r w:rsidR="00B939C6" w:rsidRPr="00B939C6">
              <w:rPr>
                <w:rFonts w:cs="Arial"/>
                <w:snapToGrid w:val="0"/>
              </w:rPr>
              <w:t>situației</w:t>
            </w:r>
            <w:r w:rsidRPr="00B939C6">
              <w:rPr>
                <w:rFonts w:cs="Arial"/>
                <w:snapToGrid w:val="0"/>
              </w:rPr>
              <w:t xml:space="preserve"> actuale </w:t>
            </w:r>
          </w:p>
          <w:p w14:paraId="71FABDAB" w14:textId="77777777" w:rsidR="00614922" w:rsidRPr="00B939C6" w:rsidRDefault="00614922" w:rsidP="00A728B1">
            <w:pPr>
              <w:spacing w:after="0"/>
              <w:ind w:left="69" w:right="-391"/>
              <w:rPr>
                <w:rFonts w:cs="Arial"/>
              </w:rPr>
            </w:pPr>
          </w:p>
          <w:p w14:paraId="3B4B3026" w14:textId="77777777" w:rsidR="00614922" w:rsidRPr="00B939C6" w:rsidRDefault="00614922" w:rsidP="00A728B1">
            <w:pPr>
              <w:spacing w:after="0"/>
              <w:ind w:left="69" w:right="-391"/>
              <w:rPr>
                <w:rFonts w:cs="Arial"/>
              </w:rPr>
            </w:pPr>
          </w:p>
          <w:p w14:paraId="4E82F25A" w14:textId="77777777" w:rsidR="00614922" w:rsidRPr="00B939C6" w:rsidRDefault="00614922" w:rsidP="00A728B1">
            <w:pPr>
              <w:spacing w:after="0"/>
              <w:ind w:left="69" w:right="-391"/>
              <w:rPr>
                <w:rFonts w:cs="Arial"/>
              </w:rPr>
            </w:pPr>
          </w:p>
          <w:p w14:paraId="10984AA7" w14:textId="77777777" w:rsidR="00614922" w:rsidRPr="00B939C6" w:rsidRDefault="00614922" w:rsidP="00A728B1">
            <w:pPr>
              <w:spacing w:after="0"/>
              <w:ind w:left="69" w:right="-391"/>
              <w:rPr>
                <w:rFonts w:cs="Arial"/>
              </w:rPr>
            </w:pPr>
          </w:p>
          <w:p w14:paraId="3D74A7FC" w14:textId="77777777" w:rsidR="00614922" w:rsidRPr="00B939C6" w:rsidRDefault="00614922" w:rsidP="00A728B1">
            <w:pPr>
              <w:spacing w:after="0"/>
              <w:ind w:left="69" w:right="-391"/>
              <w:rPr>
                <w:rFonts w:cs="Arial"/>
              </w:rPr>
            </w:pPr>
          </w:p>
          <w:p w14:paraId="3F5D34AE" w14:textId="77777777" w:rsidR="00614922" w:rsidRPr="00B939C6" w:rsidRDefault="00614922" w:rsidP="00A728B1">
            <w:pPr>
              <w:spacing w:after="0"/>
              <w:ind w:left="69" w:right="-391"/>
              <w:rPr>
                <w:rFonts w:cs="Arial"/>
              </w:rPr>
            </w:pPr>
          </w:p>
          <w:p w14:paraId="75BAD1A5" w14:textId="77777777" w:rsidR="00614922" w:rsidRPr="00B939C6" w:rsidRDefault="00614922" w:rsidP="00A728B1">
            <w:pPr>
              <w:spacing w:after="0"/>
              <w:ind w:left="69" w:right="-391"/>
              <w:rPr>
                <w:rFonts w:cs="Arial"/>
              </w:rPr>
            </w:pPr>
          </w:p>
          <w:p w14:paraId="1B09B05D" w14:textId="77777777" w:rsidR="00614922" w:rsidRPr="00B939C6" w:rsidRDefault="00614922" w:rsidP="00A728B1">
            <w:pPr>
              <w:spacing w:after="0"/>
              <w:ind w:left="69" w:right="-391"/>
              <w:rPr>
                <w:rFonts w:cs="Arial"/>
              </w:rPr>
            </w:pPr>
          </w:p>
          <w:p w14:paraId="5DBF985B" w14:textId="77777777" w:rsidR="00614922" w:rsidRPr="00B939C6" w:rsidRDefault="00614922" w:rsidP="00A728B1">
            <w:pPr>
              <w:spacing w:after="0"/>
              <w:ind w:left="69" w:right="-391"/>
              <w:rPr>
                <w:rFonts w:cs="Arial"/>
              </w:rPr>
            </w:pPr>
          </w:p>
          <w:p w14:paraId="1A44BA38" w14:textId="77777777" w:rsidR="00614922" w:rsidRPr="00B939C6" w:rsidRDefault="00614922" w:rsidP="00A728B1">
            <w:pPr>
              <w:spacing w:after="0"/>
              <w:ind w:left="69" w:right="-391"/>
              <w:rPr>
                <w:rFonts w:cs="Arial"/>
              </w:rPr>
            </w:pPr>
          </w:p>
          <w:p w14:paraId="59A8C40B" w14:textId="77777777" w:rsidR="004175F0" w:rsidRPr="00B939C6" w:rsidRDefault="004175F0" w:rsidP="00A728B1">
            <w:pPr>
              <w:spacing w:after="0"/>
              <w:ind w:left="69" w:right="-391"/>
              <w:rPr>
                <w:rFonts w:cs="Arial"/>
              </w:rPr>
            </w:pPr>
          </w:p>
        </w:tc>
        <w:tc>
          <w:tcPr>
            <w:tcW w:w="7371" w:type="dxa"/>
            <w:gridSpan w:val="6"/>
            <w:tcBorders>
              <w:top w:val="single" w:sz="4" w:space="0" w:color="auto"/>
              <w:left w:val="single" w:sz="4" w:space="0" w:color="auto"/>
              <w:bottom w:val="single" w:sz="4" w:space="0" w:color="auto"/>
              <w:right w:val="single" w:sz="4" w:space="0" w:color="auto"/>
            </w:tcBorders>
          </w:tcPr>
          <w:p w14:paraId="338B61D3" w14:textId="77777777" w:rsidR="00AE0064" w:rsidRPr="00AE0064" w:rsidRDefault="00AE0064" w:rsidP="00AE0064">
            <w:pPr>
              <w:autoSpaceDE w:val="0"/>
              <w:autoSpaceDN w:val="0"/>
              <w:adjustRightInd w:val="0"/>
              <w:spacing w:after="0"/>
              <w:ind w:left="34"/>
              <w:rPr>
                <w:rFonts w:cs="Arial"/>
              </w:rPr>
            </w:pPr>
            <w:r w:rsidRPr="00AE0064">
              <w:rPr>
                <w:rFonts w:cs="Arial"/>
              </w:rPr>
              <w:t>Potrivit art. 134 alin. (1) din Legea nr. 304/2004 privind organizarea judiciară, republicată, cu modificările și completările ulterioare: „</w:t>
            </w:r>
            <w:r w:rsidRPr="00AE0064">
              <w:rPr>
                <w:rFonts w:cs="Arial"/>
                <w:i/>
              </w:rPr>
              <w:t>(1) Numărul maxim de posturi pentru instanțe și parchete se stabilește prin hotărâre a Guvernului, la propunerea ministrului justiției, cu avizul Consiliului Superior al Magistraturii.</w:t>
            </w:r>
            <w:r w:rsidRPr="00AE0064">
              <w:rPr>
                <w:rFonts w:cs="Arial"/>
              </w:rPr>
              <w:t>”</w:t>
            </w:r>
          </w:p>
          <w:p w14:paraId="0534AD67" w14:textId="38A7612A" w:rsidR="00AE0064" w:rsidRPr="00AE0064" w:rsidRDefault="00AE0064" w:rsidP="00AE0064">
            <w:pPr>
              <w:autoSpaceDE w:val="0"/>
              <w:autoSpaceDN w:val="0"/>
              <w:adjustRightInd w:val="0"/>
              <w:spacing w:after="0"/>
              <w:ind w:left="34"/>
              <w:rPr>
                <w:rFonts w:cs="Arial"/>
              </w:rPr>
            </w:pPr>
            <w:r w:rsidRPr="00AE0064">
              <w:rPr>
                <w:rFonts w:cs="Arial"/>
              </w:rPr>
              <w:t>Art. 107 din aceeași lege prevede că: „</w:t>
            </w:r>
            <w:r w:rsidRPr="00AE0064">
              <w:rPr>
                <w:rFonts w:cs="Arial"/>
                <w:i/>
              </w:rPr>
              <w:t>(1) Numărul maxim de posturi pentru Institutul National al Magistraturii se stabilește prin hotărâre a Guvernului.</w:t>
            </w:r>
            <w:r w:rsidRPr="00AE0064">
              <w:rPr>
                <w:rFonts w:cs="Arial"/>
              </w:rPr>
              <w:t>”</w:t>
            </w:r>
            <w:r>
              <w:rPr>
                <w:rFonts w:cs="Arial"/>
              </w:rPr>
              <w:t xml:space="preserve"> </w:t>
            </w:r>
          </w:p>
          <w:p w14:paraId="443B34D1" w14:textId="4DEF1DB7" w:rsidR="00B939C6" w:rsidRPr="00B939C6" w:rsidRDefault="00F570FB" w:rsidP="00A728B1">
            <w:pPr>
              <w:autoSpaceDE w:val="0"/>
              <w:autoSpaceDN w:val="0"/>
              <w:adjustRightInd w:val="0"/>
              <w:spacing w:after="0"/>
              <w:ind w:left="34"/>
              <w:rPr>
                <w:iCs/>
              </w:rPr>
            </w:pPr>
            <w:r>
              <w:rPr>
                <w:iCs/>
              </w:rPr>
              <w:t xml:space="preserve">Începând cu anul 2019, </w:t>
            </w:r>
            <w:r w:rsidR="000378B6" w:rsidRPr="00B939C6">
              <w:rPr>
                <w:iCs/>
              </w:rPr>
              <w:t xml:space="preserve">Consiliul Superior al Magistraturii </w:t>
            </w:r>
            <w:r w:rsidR="005F1A9B">
              <w:rPr>
                <w:iCs/>
              </w:rPr>
              <w:t xml:space="preserve">și </w:t>
            </w:r>
            <w:r w:rsidR="000378B6" w:rsidRPr="00B939C6">
              <w:t xml:space="preserve">Parchetul de pe lângă Înalta Curte de Casație </w:t>
            </w:r>
            <w:r w:rsidR="00B939C6" w:rsidRPr="00B939C6">
              <w:t>și</w:t>
            </w:r>
            <w:r w:rsidR="000378B6" w:rsidRPr="00B939C6">
              <w:t xml:space="preserve"> Justiție</w:t>
            </w:r>
            <w:r w:rsidR="005F1A9B">
              <w:t xml:space="preserve"> </w:t>
            </w:r>
            <w:r w:rsidR="000378B6" w:rsidRPr="00B939C6">
              <w:t xml:space="preserve">au </w:t>
            </w:r>
            <w:r w:rsidR="00500927" w:rsidRPr="00B939C6">
              <w:rPr>
                <w:iCs/>
              </w:rPr>
              <w:t>solicitat</w:t>
            </w:r>
            <w:r w:rsidR="00810DA2" w:rsidRPr="00B939C6">
              <w:rPr>
                <w:iCs/>
              </w:rPr>
              <w:t xml:space="preserve"> Ministerului Justiției</w:t>
            </w:r>
            <w:r>
              <w:rPr>
                <w:iCs/>
              </w:rPr>
              <w:t xml:space="preserve"> inițierea demersurilor în vederea </w:t>
            </w:r>
            <w:r w:rsidR="00810DA2" w:rsidRPr="00B939C6">
              <w:rPr>
                <w:iCs/>
              </w:rPr>
              <w:t>asigur</w:t>
            </w:r>
            <w:r>
              <w:rPr>
                <w:iCs/>
              </w:rPr>
              <w:t>ării</w:t>
            </w:r>
            <w:r w:rsidR="00810DA2" w:rsidRPr="00B939C6">
              <w:rPr>
                <w:iCs/>
              </w:rPr>
              <w:t xml:space="preserve"> unor posturi de psiholog – personal contractual pentru următoarele instituții din sistemul judiciar: Curtea de Apel Brașov, Curtea de Apel București, </w:t>
            </w:r>
            <w:r w:rsidR="00810DA2" w:rsidRPr="00F570FB">
              <w:rPr>
                <w:iCs/>
              </w:rPr>
              <w:t>Inspecția Judiciară</w:t>
            </w:r>
            <w:r w:rsidR="00810DA2" w:rsidRPr="00B939C6">
              <w:rPr>
                <w:iCs/>
              </w:rPr>
              <w:t>, Institutul Național al Magistraturii, Parchetul de pe lângă Înalta Curte de Casație și Justiț</w:t>
            </w:r>
            <w:r w:rsidR="00B8501C" w:rsidRPr="00B939C6">
              <w:rPr>
                <w:iCs/>
              </w:rPr>
              <w:t>ie, parchetele de pe lângă curț</w:t>
            </w:r>
            <w:r w:rsidR="00810DA2" w:rsidRPr="00B939C6">
              <w:rPr>
                <w:iCs/>
              </w:rPr>
              <w:t>ile de apel, Direcția Națională Anticorupție, Direcția de Investigare a Infracțiunilor de Crimi</w:t>
            </w:r>
            <w:r w:rsidR="006356EE" w:rsidRPr="00B939C6">
              <w:rPr>
                <w:iCs/>
              </w:rPr>
              <w:t>nalitate Organizată și Terorism -</w:t>
            </w:r>
            <w:r w:rsidR="00AF126D" w:rsidRPr="00B939C6">
              <w:rPr>
                <w:iCs/>
              </w:rPr>
              <w:t xml:space="preserve"> în total un număr de 23</w:t>
            </w:r>
            <w:r w:rsidR="00810DA2" w:rsidRPr="00B939C6">
              <w:rPr>
                <w:iCs/>
              </w:rPr>
              <w:t xml:space="preserve"> de posturi de psiholog.</w:t>
            </w:r>
          </w:p>
          <w:p w14:paraId="676DCE9A" w14:textId="3BB79B7C" w:rsidR="00810DA2" w:rsidRPr="00B939C6" w:rsidRDefault="00810DA2" w:rsidP="00A728B1">
            <w:pPr>
              <w:autoSpaceDE w:val="0"/>
              <w:autoSpaceDN w:val="0"/>
              <w:adjustRightInd w:val="0"/>
              <w:spacing w:after="0"/>
              <w:ind w:left="34"/>
              <w:rPr>
                <w:i/>
                <w:iCs/>
              </w:rPr>
            </w:pPr>
            <w:r w:rsidRPr="00B939C6">
              <w:rPr>
                <w:iCs/>
              </w:rPr>
              <w:t>Solicitarea este justificată de faptul că, potrivit noilor dispoziții legale (art. 42</w:t>
            </w:r>
            <w:r w:rsidRPr="00B939C6">
              <w:rPr>
                <w:iCs/>
                <w:vertAlign w:val="superscript"/>
              </w:rPr>
              <w:t>1</w:t>
            </w:r>
            <w:r w:rsidRPr="00B939C6">
              <w:rPr>
                <w:iCs/>
              </w:rPr>
              <w:t xml:space="preserve"> din Legea nr. 303/2004 privind statutul judecătorilor și procurorilor, astfel cum a fost modificată prin Legea nr. 242/2018), </w:t>
            </w:r>
            <w:r w:rsidR="00B939C6" w:rsidRPr="00B939C6">
              <w:rPr>
                <w:iCs/>
              </w:rPr>
              <w:t>„</w:t>
            </w:r>
            <w:r w:rsidRPr="00B939C6">
              <w:rPr>
                <w:i/>
                <w:iCs/>
              </w:rPr>
              <w:t xml:space="preserve">(1) Judecătorii, procurorii, </w:t>
            </w:r>
            <w:r w:rsidR="00B939C6" w:rsidRPr="00B939C6">
              <w:rPr>
                <w:i/>
                <w:iCs/>
              </w:rPr>
              <w:t>magistrații asistenți</w:t>
            </w:r>
            <w:r w:rsidRPr="00B939C6">
              <w:rPr>
                <w:i/>
                <w:iCs/>
              </w:rPr>
              <w:t xml:space="preserve"> </w:t>
            </w:r>
            <w:r w:rsidR="00B939C6" w:rsidRPr="00B939C6">
              <w:rPr>
                <w:i/>
                <w:iCs/>
              </w:rPr>
              <w:t>și</w:t>
            </w:r>
            <w:r w:rsidRPr="00B939C6">
              <w:rPr>
                <w:i/>
                <w:iCs/>
              </w:rPr>
              <w:t xml:space="preserve"> personalul de specialitate juridică asimilat judecătorilor </w:t>
            </w:r>
            <w:r w:rsidR="00B939C6" w:rsidRPr="00B939C6">
              <w:rPr>
                <w:i/>
                <w:iCs/>
              </w:rPr>
              <w:t>și</w:t>
            </w:r>
            <w:r w:rsidRPr="00B939C6">
              <w:rPr>
                <w:i/>
                <w:iCs/>
              </w:rPr>
              <w:t xml:space="preserve"> procurorilor sunt </w:t>
            </w:r>
            <w:r w:rsidR="00B939C6" w:rsidRPr="00B939C6">
              <w:rPr>
                <w:i/>
                <w:iCs/>
              </w:rPr>
              <w:t>supuși</w:t>
            </w:r>
            <w:r w:rsidRPr="00B939C6">
              <w:rPr>
                <w:i/>
                <w:iCs/>
              </w:rPr>
              <w:t xml:space="preserve"> la fiecare 5 ani unei evaluări psihologice.</w:t>
            </w:r>
          </w:p>
          <w:p w14:paraId="7A9BE8A5" w14:textId="312903FA" w:rsidR="00810DA2" w:rsidRPr="00B939C6" w:rsidRDefault="00810DA2" w:rsidP="00A728B1">
            <w:pPr>
              <w:autoSpaceDE w:val="0"/>
              <w:autoSpaceDN w:val="0"/>
              <w:adjustRightInd w:val="0"/>
              <w:spacing w:after="0"/>
              <w:ind w:left="34"/>
              <w:rPr>
                <w:i/>
                <w:iCs/>
              </w:rPr>
            </w:pPr>
            <w:r w:rsidRPr="00B939C6">
              <w:rPr>
                <w:i/>
                <w:iCs/>
              </w:rPr>
              <w:t xml:space="preserve">(2) Dacă în urma evaluării psihologice judecătorul, procurorul, magistratul-asistent sau personalul de specialitate juridică asimilat judecătorilor </w:t>
            </w:r>
            <w:r w:rsidR="00B939C6" w:rsidRPr="00B939C6">
              <w:rPr>
                <w:i/>
                <w:iCs/>
              </w:rPr>
              <w:t>și</w:t>
            </w:r>
            <w:r w:rsidRPr="00B939C6">
              <w:rPr>
                <w:i/>
                <w:iCs/>
              </w:rPr>
              <w:t xml:space="preserve"> procurorilor </w:t>
            </w:r>
            <w:r w:rsidR="00B939C6" w:rsidRPr="00B939C6">
              <w:rPr>
                <w:i/>
                <w:iCs/>
              </w:rPr>
              <w:t>primește</w:t>
            </w:r>
            <w:r w:rsidRPr="00B939C6">
              <w:rPr>
                <w:i/>
                <w:iCs/>
              </w:rPr>
              <w:t xml:space="preserve"> calificativul "inapt", acesta este obligat să urmeze un program de consiliere psihologică cu o durată de cel mult 6 luni, urmând ca judecătorul sau procurorul să fie supus unei noi evaluări.</w:t>
            </w:r>
          </w:p>
          <w:p w14:paraId="08F72D0D" w14:textId="5D08921B" w:rsidR="00810DA2" w:rsidRPr="00B939C6" w:rsidRDefault="00810DA2" w:rsidP="00A728B1">
            <w:pPr>
              <w:autoSpaceDE w:val="0"/>
              <w:autoSpaceDN w:val="0"/>
              <w:adjustRightInd w:val="0"/>
              <w:spacing w:after="0"/>
              <w:ind w:left="34"/>
            </w:pPr>
            <w:r w:rsidRPr="00B939C6">
              <w:rPr>
                <w:i/>
                <w:iCs/>
              </w:rPr>
              <w:t xml:space="preserve">(3) Procedura de evaluare/reevaluare psihologică, inclusiv modalitatea de constituire a comisiilor de evaluare psihologică, plata membrilor acestora </w:t>
            </w:r>
            <w:r w:rsidR="00B939C6" w:rsidRPr="00B939C6">
              <w:rPr>
                <w:i/>
                <w:iCs/>
              </w:rPr>
              <w:t>și</w:t>
            </w:r>
            <w:r w:rsidRPr="00B939C6">
              <w:rPr>
                <w:i/>
                <w:iCs/>
              </w:rPr>
              <w:t xml:space="preserve"> </w:t>
            </w:r>
            <w:r w:rsidR="00B939C6" w:rsidRPr="00B939C6">
              <w:rPr>
                <w:i/>
                <w:iCs/>
              </w:rPr>
              <w:t>desfășurarea</w:t>
            </w:r>
            <w:r w:rsidRPr="00B939C6">
              <w:rPr>
                <w:i/>
                <w:iCs/>
              </w:rPr>
              <w:t xml:space="preserve"> programului de consiliere psihologică se stabilesc prin hotărâre a Plenului Consiliului Superior al Magistraturii</w:t>
            </w:r>
            <w:r w:rsidRPr="00B939C6">
              <w:rPr>
                <w:iCs/>
              </w:rPr>
              <w:t>”.</w:t>
            </w:r>
          </w:p>
          <w:p w14:paraId="5E3CB463" w14:textId="5FDA8617" w:rsidR="00B939C6" w:rsidRPr="00B939C6" w:rsidRDefault="006C37A1" w:rsidP="00A728B1">
            <w:pPr>
              <w:autoSpaceDE w:val="0"/>
              <w:autoSpaceDN w:val="0"/>
              <w:adjustRightInd w:val="0"/>
              <w:spacing w:after="0"/>
              <w:ind w:left="69"/>
              <w:rPr>
                <w:iCs/>
              </w:rPr>
            </w:pPr>
            <w:r w:rsidRPr="00B939C6">
              <w:rPr>
                <w:iCs/>
              </w:rPr>
              <w:t>În vederea implementării noilor dispoziții în materi</w:t>
            </w:r>
            <w:r w:rsidR="005F1A9B">
              <w:rPr>
                <w:iCs/>
              </w:rPr>
              <w:t>a</w:t>
            </w:r>
            <w:r w:rsidRPr="00B939C6">
              <w:rPr>
                <w:iCs/>
              </w:rPr>
              <w:t xml:space="preserve"> evalu</w:t>
            </w:r>
            <w:r w:rsidR="005F1A9B">
              <w:rPr>
                <w:iCs/>
              </w:rPr>
              <w:t>ării</w:t>
            </w:r>
            <w:r w:rsidRPr="00B939C6">
              <w:rPr>
                <w:iCs/>
              </w:rPr>
              <w:t xml:space="preserve"> psihologic</w:t>
            </w:r>
            <w:r w:rsidR="005F1A9B">
              <w:rPr>
                <w:iCs/>
              </w:rPr>
              <w:t>e</w:t>
            </w:r>
            <w:r w:rsidRPr="00B939C6">
              <w:rPr>
                <w:iCs/>
              </w:rPr>
              <w:t xml:space="preserve"> a magistraților, prin Hotărârea Consiliului Superior al Magistraturii nr.</w:t>
            </w:r>
            <w:r w:rsidR="00B8501C" w:rsidRPr="00B939C6">
              <w:rPr>
                <w:iCs/>
              </w:rPr>
              <w:t xml:space="preserve"> 318/20.03.2018 a fost aprobat P</w:t>
            </w:r>
            <w:r w:rsidRPr="00B939C6">
              <w:rPr>
                <w:iCs/>
              </w:rPr>
              <w:t>roiectul privind ”</w:t>
            </w:r>
            <w:r w:rsidRPr="00B939C6">
              <w:rPr>
                <w:i/>
                <w:iCs/>
              </w:rPr>
              <w:t xml:space="preserve">Creșterea performanței și calității instituționale prin îmbunătățirea </w:t>
            </w:r>
            <w:r w:rsidRPr="00B939C6">
              <w:rPr>
                <w:i/>
                <w:iCs/>
              </w:rPr>
              <w:lastRenderedPageBreak/>
              <w:t>sistemului de testare, evaluare și asistență psihologică la nivelul sistemului judiciar</w:t>
            </w:r>
            <w:r w:rsidRPr="00B939C6">
              <w:rPr>
                <w:iCs/>
              </w:rPr>
              <w:t>”, aprobat spre finanțare prin Programul Operațional Capacitate Administrativă – POCA – 2014-2020.</w:t>
            </w:r>
          </w:p>
          <w:p w14:paraId="2D6AD8DC" w14:textId="786CB148" w:rsidR="00B939C6" w:rsidRPr="00B939C6" w:rsidRDefault="006C37A1" w:rsidP="00A728B1">
            <w:pPr>
              <w:autoSpaceDE w:val="0"/>
              <w:autoSpaceDN w:val="0"/>
              <w:adjustRightInd w:val="0"/>
              <w:spacing w:after="0"/>
              <w:ind w:left="69"/>
              <w:rPr>
                <w:iCs/>
              </w:rPr>
            </w:pPr>
            <w:r w:rsidRPr="00B939C6">
              <w:rPr>
                <w:iCs/>
              </w:rPr>
              <w:t>Consiliul Superior al Magistraturii a inițiat demersurile pentru obținerea finanțării, depunând în acest sens o Fișă de proiect la Ministerul Dezvoltării Regionale</w:t>
            </w:r>
            <w:r w:rsidR="006356EE" w:rsidRPr="00B939C6">
              <w:rPr>
                <w:iCs/>
              </w:rPr>
              <w:t xml:space="preserve"> și</w:t>
            </w:r>
            <w:r w:rsidRPr="00B939C6">
              <w:rPr>
                <w:iCs/>
              </w:rPr>
              <w:t xml:space="preserve"> Administrației Publice la data de 22.02.2019 prin</w:t>
            </w:r>
            <w:r w:rsidR="00B8501C" w:rsidRPr="00B939C6">
              <w:rPr>
                <w:iCs/>
              </w:rPr>
              <w:t xml:space="preserve"> care solicită finanțare pentru</w:t>
            </w:r>
            <w:r w:rsidRPr="00B939C6">
              <w:rPr>
                <w:iCs/>
              </w:rPr>
              <w:t xml:space="preserve"> implementarea proiectului ”CPCI – Creșterea perfo</w:t>
            </w:r>
            <w:r w:rsidR="00B8501C" w:rsidRPr="00B939C6">
              <w:rPr>
                <w:iCs/>
              </w:rPr>
              <w:t>r</w:t>
            </w:r>
            <w:r w:rsidRPr="00B939C6">
              <w:rPr>
                <w:iCs/>
              </w:rPr>
              <w:t>manței și calității instituționale prin îmbunătățirea sistemului de evaluare și asistență psihologică la nivelul sistemului judiciar”. Fișa de proiect a fost aprobată în data de 04.03.</w:t>
            </w:r>
            <w:r w:rsidR="000C1F52">
              <w:rPr>
                <w:iCs/>
              </w:rPr>
              <w:t>2</w:t>
            </w:r>
            <w:r w:rsidRPr="00B939C6">
              <w:rPr>
                <w:iCs/>
              </w:rPr>
              <w:t xml:space="preserve">019, în prezent fiind întreprinse demersuri pentru </w:t>
            </w:r>
            <w:r w:rsidR="00662BB7" w:rsidRPr="00B939C6">
              <w:rPr>
                <w:iCs/>
              </w:rPr>
              <w:t xml:space="preserve">dezvoltarea și transmiterea cererii de finanțare. </w:t>
            </w:r>
          </w:p>
          <w:p w14:paraId="30AC719B" w14:textId="7524CB19" w:rsidR="00B8501C" w:rsidRPr="00B939C6" w:rsidRDefault="00B8501C" w:rsidP="00A728B1">
            <w:pPr>
              <w:autoSpaceDE w:val="0"/>
              <w:autoSpaceDN w:val="0"/>
              <w:adjustRightInd w:val="0"/>
              <w:spacing w:after="0"/>
              <w:ind w:left="69"/>
              <w:rPr>
                <w:iCs/>
              </w:rPr>
            </w:pPr>
            <w:r w:rsidRPr="00B939C6">
              <w:rPr>
                <w:iCs/>
              </w:rPr>
              <w:t xml:space="preserve">Prin proiectul aprobat spre finanțare se urmărește realizarea unei strategii unitare de evaluare și asistență psihologică a magistraților, în contextul noilor dispoziții legale, dar și îmbunătățirea performanței profesionale a membrilor corpului judiciar și garantarea dreptului la un proces echitabil, prin asigurarea unui suport psihologic permanent pe parcursul activității profesionale. Astfel, prin proiect sunt prevăzute activități prin intermediul cărora va fi implementat un mecanism unic de evaluare și asistență psihologică </w:t>
            </w:r>
            <w:r w:rsidR="00B47C66" w:rsidRPr="00B939C6">
              <w:rPr>
                <w:iCs/>
              </w:rPr>
              <w:t>cu ajutorul</w:t>
            </w:r>
            <w:r w:rsidRPr="00B939C6">
              <w:rPr>
                <w:iCs/>
              </w:rPr>
              <w:t xml:space="preserve"> psihologilor din sistemul judiciar care vor beneficia de cabinete dotate corespunzător. În plus, aceștia vor avea acces la o platformă IT de evaluare psihologică, ce va fi dezvoltată și implementată în cadrul proiectului. Se vor derula sesiuni de formare profesională a psihologilor din sistem și a f</w:t>
            </w:r>
            <w:r w:rsidR="00B47C66" w:rsidRPr="00B939C6">
              <w:rPr>
                <w:iCs/>
              </w:rPr>
              <w:t>ormatorilor Institutului Național al Magistraturii</w:t>
            </w:r>
            <w:r w:rsidRPr="00B939C6">
              <w:rPr>
                <w:iCs/>
              </w:rPr>
              <w:t xml:space="preserve">, cu privire la noile mecanisme de evaluare psihologică, în vederea dobândirii competențelor și calificărilor specifice. În acest context, din grupul-țintă al proiectului vor face parte următoarele categorii: psihologi (43 de persoane), judecători și procurori care participă la campania de informare (1230 persoane), formatori </w:t>
            </w:r>
            <w:r w:rsidR="00B47C66" w:rsidRPr="00B939C6">
              <w:rPr>
                <w:iCs/>
              </w:rPr>
              <w:t>ai Institutului Național al Magistraturii</w:t>
            </w:r>
            <w:r w:rsidRPr="00B939C6">
              <w:rPr>
                <w:iCs/>
              </w:rPr>
              <w:t xml:space="preserve"> (30 de persoane)</w:t>
            </w:r>
            <w:r w:rsidR="00B920DC" w:rsidRPr="00B939C6">
              <w:rPr>
                <w:iCs/>
              </w:rPr>
              <w:t>, conducătorii</w:t>
            </w:r>
            <w:r w:rsidR="00B47C66" w:rsidRPr="00B939C6">
              <w:rPr>
                <w:iCs/>
              </w:rPr>
              <w:t xml:space="preserve"> instanțelor și</w:t>
            </w:r>
            <w:r w:rsidR="00B920DC" w:rsidRPr="00B939C6">
              <w:rPr>
                <w:iCs/>
              </w:rPr>
              <w:t xml:space="preserve"> parchete</w:t>
            </w:r>
            <w:r w:rsidR="00B47C66" w:rsidRPr="00B939C6">
              <w:rPr>
                <w:iCs/>
              </w:rPr>
              <w:t>lor</w:t>
            </w:r>
            <w:r w:rsidR="00B920DC" w:rsidRPr="00B939C6">
              <w:rPr>
                <w:iCs/>
              </w:rPr>
              <w:t xml:space="preserve"> care vor primi manualul de asistență psihologică (695 de persoane).</w:t>
            </w:r>
            <w:r w:rsidRPr="00B939C6">
              <w:rPr>
                <w:iCs/>
              </w:rPr>
              <w:t xml:space="preserve">  </w:t>
            </w:r>
          </w:p>
          <w:p w14:paraId="27C6A2AD" w14:textId="1D498B56" w:rsidR="00B8501C" w:rsidRPr="00B939C6" w:rsidRDefault="00B920DC" w:rsidP="00A728B1">
            <w:pPr>
              <w:autoSpaceDE w:val="0"/>
              <w:autoSpaceDN w:val="0"/>
              <w:adjustRightInd w:val="0"/>
              <w:spacing w:after="0"/>
              <w:ind w:left="69"/>
              <w:rPr>
                <w:iCs/>
              </w:rPr>
            </w:pPr>
            <w:r w:rsidRPr="00B939C6">
              <w:rPr>
                <w:iCs/>
              </w:rPr>
              <w:t>După cum se poate observa din cele prezentate mai sus, r</w:t>
            </w:r>
            <w:r w:rsidR="00662BB7" w:rsidRPr="00B939C6">
              <w:rPr>
                <w:iCs/>
              </w:rPr>
              <w:t xml:space="preserve">ealizarea obiectivelor acestui proiect depinde în cea mai mare măsură de asigurarea necesarului de </w:t>
            </w:r>
            <w:r w:rsidR="00071067" w:rsidRPr="00B939C6">
              <w:rPr>
                <w:iCs/>
              </w:rPr>
              <w:t xml:space="preserve">resurse umane </w:t>
            </w:r>
            <w:r w:rsidR="00321733" w:rsidRPr="00B939C6">
              <w:rPr>
                <w:iCs/>
              </w:rPr>
              <w:t>specializat</w:t>
            </w:r>
            <w:r w:rsidR="00071067" w:rsidRPr="00B939C6">
              <w:rPr>
                <w:iCs/>
              </w:rPr>
              <w:t xml:space="preserve">e – </w:t>
            </w:r>
            <w:r w:rsidR="00662BB7" w:rsidRPr="00B939C6">
              <w:rPr>
                <w:iCs/>
              </w:rPr>
              <w:t>psihologi</w:t>
            </w:r>
            <w:r w:rsidR="00071067" w:rsidRPr="00B939C6">
              <w:rPr>
                <w:iCs/>
              </w:rPr>
              <w:t xml:space="preserve">, </w:t>
            </w:r>
            <w:r w:rsidR="00662BB7" w:rsidRPr="00B939C6">
              <w:rPr>
                <w:iCs/>
              </w:rPr>
              <w:t xml:space="preserve"> la nivelul tuturor instanțelor și parchetelor și al celorlalte instituții din sistem</w:t>
            </w:r>
            <w:r w:rsidRPr="00B939C6">
              <w:rPr>
                <w:iCs/>
              </w:rPr>
              <w:t xml:space="preserve">.  Lipsa numărului </w:t>
            </w:r>
            <w:r w:rsidR="00071067" w:rsidRPr="00B939C6">
              <w:rPr>
                <w:iCs/>
              </w:rPr>
              <w:t xml:space="preserve">minim </w:t>
            </w:r>
            <w:r w:rsidRPr="00B939C6">
              <w:rPr>
                <w:iCs/>
              </w:rPr>
              <w:t>de psihologi nu numai că va afecta buna derulare a proiectului</w:t>
            </w:r>
            <w:r w:rsidR="00071067" w:rsidRPr="00B939C6">
              <w:rPr>
                <w:iCs/>
              </w:rPr>
              <w:t>, dar</w:t>
            </w:r>
            <w:r w:rsidRPr="00B939C6">
              <w:rPr>
                <w:iCs/>
              </w:rPr>
              <w:t xml:space="preserve"> va face dificilă </w:t>
            </w:r>
            <w:r w:rsidR="00071067" w:rsidRPr="00B939C6">
              <w:rPr>
                <w:iCs/>
              </w:rPr>
              <w:t xml:space="preserve">și </w:t>
            </w:r>
            <w:r w:rsidRPr="00B939C6">
              <w:rPr>
                <w:iCs/>
              </w:rPr>
              <w:t>respectarea prevederilor legale în materie de evalua</w:t>
            </w:r>
            <w:r w:rsidR="00632D1A" w:rsidRPr="00B939C6">
              <w:rPr>
                <w:iCs/>
              </w:rPr>
              <w:t>re psihologică a magistraților.</w:t>
            </w:r>
          </w:p>
          <w:p w14:paraId="28DD03DC" w14:textId="77777777" w:rsidR="00AE0064" w:rsidRPr="00AE0064" w:rsidRDefault="00AE0064" w:rsidP="00AE0064">
            <w:pPr>
              <w:autoSpaceDE w:val="0"/>
              <w:autoSpaceDN w:val="0"/>
              <w:adjustRightInd w:val="0"/>
              <w:spacing w:after="0"/>
              <w:ind w:left="69"/>
              <w:rPr>
                <w:iCs/>
              </w:rPr>
            </w:pPr>
            <w:r w:rsidRPr="00AE0064">
              <w:rPr>
                <w:iCs/>
              </w:rPr>
              <w:t>În prezent, în schema de personal a 14 curți de apel există prevăzut câte un post de psiholog (consilier sau referent de specialitate), în timp ce la nivelul Ministerului Public există doar un singur post de acest fel (consilier – personal contractual) în cadrul Parchetului de pe lângă Înalta Curte de Casație și Justiție – Secția de urmărire penală și criminalistică.</w:t>
            </w:r>
          </w:p>
          <w:p w14:paraId="41E9D847" w14:textId="55D9DE5D" w:rsidR="00AE0064" w:rsidRPr="00AE0064" w:rsidRDefault="00AE0064" w:rsidP="00AE0064">
            <w:pPr>
              <w:autoSpaceDE w:val="0"/>
              <w:autoSpaceDN w:val="0"/>
              <w:adjustRightInd w:val="0"/>
              <w:spacing w:after="0"/>
              <w:ind w:left="69"/>
              <w:rPr>
                <w:iCs/>
              </w:rPr>
            </w:pPr>
            <w:r w:rsidRPr="00AE0064">
              <w:rPr>
                <w:iCs/>
              </w:rPr>
              <w:t xml:space="preserve">La nivelul aparatului Consiliului Superior al Magistraturii există un singur post de psiholog (funcționar public), iar la nivelul Institutului Național al Magistraturii nu există niciun post. </w:t>
            </w:r>
          </w:p>
          <w:p w14:paraId="431AEEF7" w14:textId="77777777" w:rsidR="00AE0064" w:rsidRPr="00AE0064" w:rsidRDefault="00AE0064" w:rsidP="00AE0064">
            <w:pPr>
              <w:autoSpaceDE w:val="0"/>
              <w:autoSpaceDN w:val="0"/>
              <w:adjustRightInd w:val="0"/>
              <w:spacing w:after="0"/>
              <w:ind w:left="69"/>
              <w:rPr>
                <w:iCs/>
              </w:rPr>
            </w:pPr>
            <w:r w:rsidRPr="00AE0064">
              <w:rPr>
                <w:iCs/>
              </w:rPr>
              <w:t xml:space="preserve">În vederea implementării și bunei desfășurări a proiectului menționat mai sus, dar și pentru respectarea obligațiilor legale în materia evaluării și testării psihologice a magistraților, a rezultat necesitatea </w:t>
            </w:r>
            <w:r w:rsidRPr="00AE0064">
              <w:rPr>
                <w:iCs/>
              </w:rPr>
              <w:lastRenderedPageBreak/>
              <w:t>suplimentării schemelor de personal cu psihologi – personal contractual, după cum urmează:</w:t>
            </w:r>
          </w:p>
          <w:p w14:paraId="7B4E4508" w14:textId="77777777" w:rsidR="00AE0064" w:rsidRPr="00AE0064" w:rsidRDefault="00AE0064" w:rsidP="00AE0064">
            <w:pPr>
              <w:numPr>
                <w:ilvl w:val="0"/>
                <w:numId w:val="18"/>
              </w:numPr>
              <w:autoSpaceDE w:val="0"/>
              <w:autoSpaceDN w:val="0"/>
              <w:adjustRightInd w:val="0"/>
              <w:spacing w:after="0"/>
              <w:rPr>
                <w:iCs/>
              </w:rPr>
            </w:pPr>
            <w:r w:rsidRPr="00AE0064">
              <w:rPr>
                <w:iCs/>
              </w:rPr>
              <w:t>Curtea de Apel Brașov: 1 post;</w:t>
            </w:r>
          </w:p>
          <w:p w14:paraId="04BB32CE" w14:textId="77777777" w:rsidR="00AE0064" w:rsidRPr="00AE0064" w:rsidRDefault="00AE0064" w:rsidP="00AE0064">
            <w:pPr>
              <w:numPr>
                <w:ilvl w:val="0"/>
                <w:numId w:val="18"/>
              </w:numPr>
              <w:autoSpaceDE w:val="0"/>
              <w:autoSpaceDN w:val="0"/>
              <w:adjustRightInd w:val="0"/>
              <w:spacing w:after="0"/>
              <w:rPr>
                <w:iCs/>
              </w:rPr>
            </w:pPr>
            <w:r w:rsidRPr="00AE0064">
              <w:rPr>
                <w:iCs/>
              </w:rPr>
              <w:t>Curtea de Apel București: 1 post;</w:t>
            </w:r>
          </w:p>
          <w:p w14:paraId="41A11B4C" w14:textId="77777777" w:rsidR="00AE0064" w:rsidRDefault="00AE0064" w:rsidP="00AE0064">
            <w:pPr>
              <w:numPr>
                <w:ilvl w:val="0"/>
                <w:numId w:val="18"/>
              </w:numPr>
              <w:autoSpaceDE w:val="0"/>
              <w:autoSpaceDN w:val="0"/>
              <w:adjustRightInd w:val="0"/>
              <w:spacing w:after="0"/>
              <w:rPr>
                <w:iCs/>
                <w:lang w:val="it-IT"/>
              </w:rPr>
            </w:pPr>
            <w:r w:rsidRPr="00AE0064">
              <w:rPr>
                <w:iCs/>
              </w:rPr>
              <w:t>Institutul Național</w:t>
            </w:r>
            <w:r w:rsidRPr="00AE0064">
              <w:rPr>
                <w:iCs/>
                <w:lang w:val="it-IT"/>
              </w:rPr>
              <w:t xml:space="preserve"> al Magistraturii: 2 posturi;</w:t>
            </w:r>
          </w:p>
          <w:p w14:paraId="6702F460" w14:textId="77777777" w:rsidR="00A728B1" w:rsidRDefault="00AE0064" w:rsidP="00AE0064">
            <w:pPr>
              <w:numPr>
                <w:ilvl w:val="0"/>
                <w:numId w:val="18"/>
              </w:numPr>
              <w:autoSpaceDE w:val="0"/>
              <w:autoSpaceDN w:val="0"/>
              <w:adjustRightInd w:val="0"/>
              <w:spacing w:after="0"/>
              <w:rPr>
                <w:iCs/>
                <w:lang w:val="it-IT"/>
              </w:rPr>
            </w:pPr>
            <w:r w:rsidRPr="00AE0064">
              <w:rPr>
                <w:iCs/>
                <w:lang w:val="it-IT"/>
              </w:rPr>
              <w:t>Ministerul Public: 18 posturi – câte un post la nivelul parchetelor de pe lângă curțile de apel și câte un post la Parchetul de pe lângă Înalta Curte de Casație și Justiție, Direcția Națională Anticorupție și Direcția de Investigare a Infracțiunilor de Criminalitate Organizată și Terorism.</w:t>
            </w:r>
          </w:p>
          <w:p w14:paraId="5EF16CA7" w14:textId="29732335" w:rsidR="006C7396" w:rsidRPr="006C7396" w:rsidRDefault="006C7396" w:rsidP="006C7396">
            <w:pPr>
              <w:autoSpaceDE w:val="0"/>
              <w:autoSpaceDN w:val="0"/>
              <w:adjustRightInd w:val="0"/>
              <w:spacing w:after="0"/>
              <w:ind w:left="69"/>
              <w:rPr>
                <w:iCs/>
                <w:lang w:val="it-IT"/>
              </w:rPr>
            </w:pPr>
          </w:p>
        </w:tc>
        <w:bookmarkStart w:id="0" w:name="_GoBack"/>
        <w:bookmarkEnd w:id="0"/>
      </w:tr>
      <w:tr w:rsidR="00EC7E47" w:rsidRPr="00B939C6" w14:paraId="06DEE521" w14:textId="77777777" w:rsidTr="00B939C6">
        <w:tc>
          <w:tcPr>
            <w:tcW w:w="2730" w:type="dxa"/>
            <w:tcBorders>
              <w:right w:val="single" w:sz="4" w:space="0" w:color="auto"/>
            </w:tcBorders>
          </w:tcPr>
          <w:p w14:paraId="78771ED4" w14:textId="77777777" w:rsidR="00614922" w:rsidRPr="00B939C6" w:rsidRDefault="00614922" w:rsidP="00A728B1">
            <w:pPr>
              <w:spacing w:after="0"/>
              <w:ind w:left="69" w:right="34"/>
              <w:rPr>
                <w:rFonts w:cs="Arial"/>
                <w:snapToGrid w:val="0"/>
              </w:rPr>
            </w:pPr>
            <w:r w:rsidRPr="00B939C6">
              <w:rPr>
                <w:rFonts w:cs="Arial"/>
                <w:snapToGrid w:val="0"/>
              </w:rPr>
              <w:lastRenderedPageBreak/>
              <w:t>1</w:t>
            </w:r>
            <w:r w:rsidRPr="00B939C6">
              <w:rPr>
                <w:rFonts w:cs="Arial"/>
                <w:snapToGrid w:val="0"/>
                <w:vertAlign w:val="superscript"/>
              </w:rPr>
              <w:t>1</w:t>
            </w:r>
            <w:r w:rsidRPr="00B939C6">
              <w:rPr>
                <w:rFonts w:cs="Arial"/>
                <w:snapToGrid w:val="0"/>
              </w:rPr>
              <w:t>. În cazul proiectelor de acte normative care transpun legislație comunitară sau creează cadrul pentru aplicarea directă a acesteia, se vor specifica doar actele comunitare în cauză, însoțite de elementele de identificare ale acestora</w:t>
            </w:r>
          </w:p>
        </w:tc>
        <w:tc>
          <w:tcPr>
            <w:tcW w:w="7371" w:type="dxa"/>
            <w:gridSpan w:val="6"/>
            <w:tcBorders>
              <w:top w:val="single" w:sz="4" w:space="0" w:color="auto"/>
              <w:left w:val="single" w:sz="4" w:space="0" w:color="auto"/>
              <w:bottom w:val="single" w:sz="4" w:space="0" w:color="auto"/>
              <w:right w:val="single" w:sz="4" w:space="0" w:color="auto"/>
            </w:tcBorders>
          </w:tcPr>
          <w:p w14:paraId="0CE6A1EE" w14:textId="77777777" w:rsidR="00614922" w:rsidRPr="00B939C6" w:rsidRDefault="00614922" w:rsidP="00A728B1">
            <w:pPr>
              <w:spacing w:after="0"/>
              <w:ind w:left="69" w:right="51"/>
            </w:pPr>
          </w:p>
        </w:tc>
      </w:tr>
      <w:tr w:rsidR="00EC7E47" w:rsidRPr="00B939C6" w14:paraId="41CE06D2" w14:textId="77777777" w:rsidTr="00B939C6">
        <w:tc>
          <w:tcPr>
            <w:tcW w:w="2730" w:type="dxa"/>
            <w:tcBorders>
              <w:right w:val="single" w:sz="4" w:space="0" w:color="auto"/>
            </w:tcBorders>
          </w:tcPr>
          <w:p w14:paraId="3008E946" w14:textId="77777777" w:rsidR="004175F0" w:rsidRPr="00B939C6" w:rsidRDefault="004175F0" w:rsidP="00A728B1">
            <w:pPr>
              <w:spacing w:after="0"/>
              <w:ind w:left="69" w:right="-391"/>
              <w:rPr>
                <w:rFonts w:cs="Arial"/>
                <w:snapToGrid w:val="0"/>
              </w:rPr>
            </w:pPr>
            <w:r w:rsidRPr="00B939C6">
              <w:rPr>
                <w:rFonts w:cs="Arial"/>
                <w:snapToGrid w:val="0"/>
              </w:rPr>
              <w:t>2. Schimbări preconizate</w:t>
            </w:r>
          </w:p>
        </w:tc>
        <w:tc>
          <w:tcPr>
            <w:tcW w:w="7371" w:type="dxa"/>
            <w:gridSpan w:val="6"/>
            <w:tcBorders>
              <w:top w:val="single" w:sz="4" w:space="0" w:color="auto"/>
              <w:left w:val="single" w:sz="4" w:space="0" w:color="auto"/>
              <w:bottom w:val="single" w:sz="4" w:space="0" w:color="auto"/>
              <w:right w:val="single" w:sz="4" w:space="0" w:color="auto"/>
            </w:tcBorders>
          </w:tcPr>
          <w:p w14:paraId="2E03E6AA" w14:textId="77777777" w:rsidR="00A728B1" w:rsidRDefault="00AE0064" w:rsidP="00904AD9">
            <w:pPr>
              <w:spacing w:after="0"/>
              <w:ind w:left="69"/>
              <w:rPr>
                <w:bCs/>
              </w:rPr>
            </w:pPr>
            <w:r w:rsidRPr="00B939C6">
              <w:rPr>
                <w:bCs/>
              </w:rPr>
              <w:t>Prin prezentul proiect de hotărâre a Guvernului, se propune suplimentarea numărului maxim de posturi al instanțelor judecătorești, al Ministerului Public</w:t>
            </w:r>
            <w:r>
              <w:rPr>
                <w:bCs/>
              </w:rPr>
              <w:t xml:space="preserve"> și al</w:t>
            </w:r>
            <w:r w:rsidRPr="00B939C6">
              <w:rPr>
                <w:bCs/>
              </w:rPr>
              <w:t xml:space="preserve"> Institutului Național al Magistraturii, cu numărul de posturi menționat la punctul 1</w:t>
            </w:r>
            <w:r>
              <w:rPr>
                <w:bCs/>
              </w:rPr>
              <w:t>, prin modificarea în mod corespunzător a hotărârilor Guvernului care reglementează numărul maxim de posturi pentru fiecare dintre aceste instituții.</w:t>
            </w:r>
          </w:p>
          <w:p w14:paraId="07ED9DDE" w14:textId="411A6E3D" w:rsidR="00DB4421" w:rsidRPr="00B939C6" w:rsidRDefault="00DB4421" w:rsidP="00904AD9">
            <w:pPr>
              <w:spacing w:after="0"/>
              <w:ind w:left="69"/>
              <w:rPr>
                <w:bCs/>
              </w:rPr>
            </w:pPr>
          </w:p>
        </w:tc>
      </w:tr>
      <w:tr w:rsidR="00EC7E47" w:rsidRPr="00B939C6" w14:paraId="781C10A2" w14:textId="77777777" w:rsidTr="00B939C6">
        <w:tc>
          <w:tcPr>
            <w:tcW w:w="2730" w:type="dxa"/>
          </w:tcPr>
          <w:p w14:paraId="411D8056" w14:textId="77777777" w:rsidR="004175F0" w:rsidRDefault="004175F0" w:rsidP="00A728B1">
            <w:pPr>
              <w:spacing w:after="0"/>
              <w:ind w:left="69" w:right="-391"/>
              <w:rPr>
                <w:rFonts w:cs="Arial"/>
                <w:snapToGrid w:val="0"/>
              </w:rPr>
            </w:pPr>
            <w:r w:rsidRPr="00B939C6">
              <w:rPr>
                <w:rFonts w:cs="Arial"/>
                <w:snapToGrid w:val="0"/>
              </w:rPr>
              <w:t xml:space="preserve">3. Alte </w:t>
            </w:r>
            <w:r w:rsidR="00B939C6" w:rsidRPr="00B939C6">
              <w:rPr>
                <w:rFonts w:cs="Arial"/>
                <w:snapToGrid w:val="0"/>
              </w:rPr>
              <w:t>informați</w:t>
            </w:r>
            <w:r w:rsidR="00A728B1">
              <w:rPr>
                <w:rFonts w:cs="Arial"/>
                <w:snapToGrid w:val="0"/>
              </w:rPr>
              <w:t>i</w:t>
            </w:r>
          </w:p>
          <w:p w14:paraId="17E87079" w14:textId="66B4CCB1" w:rsidR="00DB4421" w:rsidRPr="00B939C6" w:rsidRDefault="00DB4421" w:rsidP="00A728B1">
            <w:pPr>
              <w:spacing w:after="0"/>
              <w:ind w:left="69" w:right="-391"/>
              <w:rPr>
                <w:rFonts w:cs="Arial"/>
                <w:snapToGrid w:val="0"/>
              </w:rPr>
            </w:pPr>
          </w:p>
        </w:tc>
        <w:tc>
          <w:tcPr>
            <w:tcW w:w="7371" w:type="dxa"/>
            <w:gridSpan w:val="6"/>
          </w:tcPr>
          <w:p w14:paraId="4B2F7EB0" w14:textId="69224CD3" w:rsidR="00B939C6" w:rsidRPr="00B939C6" w:rsidRDefault="00B939C6" w:rsidP="00A728B1">
            <w:pPr>
              <w:spacing w:after="0"/>
              <w:ind w:left="0"/>
              <w:rPr>
                <w:rFonts w:cs="Arial"/>
              </w:rPr>
            </w:pPr>
          </w:p>
        </w:tc>
      </w:tr>
      <w:tr w:rsidR="00EC7E47" w:rsidRPr="00B939C6" w14:paraId="74025C97" w14:textId="77777777" w:rsidTr="00B939C6">
        <w:tc>
          <w:tcPr>
            <w:tcW w:w="10101" w:type="dxa"/>
            <w:gridSpan w:val="7"/>
          </w:tcPr>
          <w:p w14:paraId="0CE7F7B5" w14:textId="77777777" w:rsidR="00A728B1" w:rsidRDefault="00A728B1" w:rsidP="00A728B1">
            <w:pPr>
              <w:spacing w:after="0"/>
              <w:ind w:left="69"/>
              <w:jc w:val="center"/>
              <w:rPr>
                <w:rFonts w:cs="Arial"/>
                <w:b/>
                <w:snapToGrid w:val="0"/>
              </w:rPr>
            </w:pPr>
          </w:p>
          <w:p w14:paraId="0CF9AF04" w14:textId="77777777" w:rsidR="004175F0" w:rsidRDefault="00DB3D92" w:rsidP="00A728B1">
            <w:pPr>
              <w:spacing w:after="0"/>
              <w:ind w:left="69"/>
              <w:jc w:val="center"/>
              <w:rPr>
                <w:rFonts w:cs="Arial"/>
                <w:b/>
                <w:snapToGrid w:val="0"/>
              </w:rPr>
            </w:pPr>
            <w:r w:rsidRPr="00B939C6">
              <w:rPr>
                <w:rFonts w:cs="Arial"/>
                <w:b/>
                <w:snapToGrid w:val="0"/>
              </w:rPr>
              <w:t>Secțiunea</w:t>
            </w:r>
            <w:r w:rsidR="004175F0" w:rsidRPr="00B939C6">
              <w:rPr>
                <w:rFonts w:cs="Arial"/>
                <w:b/>
                <w:snapToGrid w:val="0"/>
              </w:rPr>
              <w:t xml:space="preserve"> a 3-a – Impactul socioeconomic al proiectului de act normativ</w:t>
            </w:r>
          </w:p>
          <w:p w14:paraId="67B709DD" w14:textId="3A168504" w:rsidR="00A728B1" w:rsidRPr="00B939C6" w:rsidRDefault="00A728B1" w:rsidP="00A728B1">
            <w:pPr>
              <w:spacing w:after="0"/>
              <w:ind w:left="69"/>
              <w:jc w:val="center"/>
              <w:rPr>
                <w:rFonts w:cs="Arial"/>
                <w:b/>
                <w:snapToGrid w:val="0"/>
              </w:rPr>
            </w:pPr>
          </w:p>
        </w:tc>
      </w:tr>
      <w:tr w:rsidR="00EC7E47" w:rsidRPr="00B939C6" w14:paraId="2492C221" w14:textId="77777777" w:rsidTr="00B939C6">
        <w:tc>
          <w:tcPr>
            <w:tcW w:w="2730" w:type="dxa"/>
          </w:tcPr>
          <w:p w14:paraId="19A70FFC" w14:textId="77777777" w:rsidR="004175F0" w:rsidRPr="00B939C6" w:rsidRDefault="004175F0" w:rsidP="00A728B1">
            <w:pPr>
              <w:spacing w:after="0"/>
              <w:ind w:left="69"/>
              <w:rPr>
                <w:rFonts w:cs="Arial"/>
                <w:snapToGrid w:val="0"/>
              </w:rPr>
            </w:pPr>
            <w:r w:rsidRPr="00B939C6">
              <w:rPr>
                <w:rFonts w:cs="Arial"/>
                <w:snapToGrid w:val="0"/>
              </w:rPr>
              <w:t>1. Impactul macroeconomic</w:t>
            </w:r>
          </w:p>
        </w:tc>
        <w:tc>
          <w:tcPr>
            <w:tcW w:w="7371" w:type="dxa"/>
            <w:gridSpan w:val="6"/>
          </w:tcPr>
          <w:p w14:paraId="391CE53A" w14:textId="77777777" w:rsidR="004175F0" w:rsidRPr="00B939C6" w:rsidRDefault="004175F0" w:rsidP="00A728B1">
            <w:pPr>
              <w:spacing w:after="0"/>
              <w:ind w:left="69"/>
              <w:rPr>
                <w:rFonts w:cs="Arial"/>
              </w:rPr>
            </w:pPr>
            <w:r w:rsidRPr="00B939C6">
              <w:rPr>
                <w:rFonts w:cs="Arial"/>
              </w:rPr>
              <w:t xml:space="preserve">Nu este cazul. </w:t>
            </w:r>
          </w:p>
        </w:tc>
      </w:tr>
      <w:tr w:rsidR="00EC7E47" w:rsidRPr="00B939C6" w14:paraId="0EA1EFFC" w14:textId="77777777" w:rsidTr="00B939C6">
        <w:tc>
          <w:tcPr>
            <w:tcW w:w="2730" w:type="dxa"/>
          </w:tcPr>
          <w:p w14:paraId="2D2E4095" w14:textId="77777777" w:rsidR="004175F0" w:rsidRPr="00B939C6" w:rsidRDefault="004175F0" w:rsidP="00A728B1">
            <w:pPr>
              <w:spacing w:after="0"/>
              <w:ind w:left="69" w:right="34"/>
              <w:rPr>
                <w:rFonts w:cs="Arial"/>
                <w:snapToGrid w:val="0"/>
              </w:rPr>
            </w:pPr>
            <w:r w:rsidRPr="00B939C6">
              <w:rPr>
                <w:rFonts w:cs="Arial"/>
                <w:snapToGrid w:val="0"/>
              </w:rPr>
              <w:t>1</w:t>
            </w:r>
            <w:r w:rsidRPr="00B939C6">
              <w:rPr>
                <w:rFonts w:cs="Arial"/>
                <w:snapToGrid w:val="0"/>
                <w:vertAlign w:val="superscript"/>
              </w:rPr>
              <w:t>1</w:t>
            </w:r>
            <w:r w:rsidRPr="00B939C6">
              <w:rPr>
                <w:rFonts w:cs="Arial"/>
                <w:snapToGrid w:val="0"/>
              </w:rPr>
              <w:t>. Impactul asupra mediului concurențial și domeniului ajutoarelor de stat</w:t>
            </w:r>
          </w:p>
        </w:tc>
        <w:tc>
          <w:tcPr>
            <w:tcW w:w="7371" w:type="dxa"/>
            <w:gridSpan w:val="6"/>
          </w:tcPr>
          <w:p w14:paraId="627070BD" w14:textId="5811DEF3" w:rsidR="004175F0" w:rsidRPr="00B939C6" w:rsidRDefault="004175F0" w:rsidP="00A728B1">
            <w:pPr>
              <w:spacing w:after="0"/>
              <w:ind w:left="69"/>
              <w:rPr>
                <w:rFonts w:cs="Arial"/>
              </w:rPr>
            </w:pPr>
            <w:r w:rsidRPr="00B939C6">
              <w:rPr>
                <w:rFonts w:cs="Arial"/>
              </w:rPr>
              <w:t>Nu este cazul</w:t>
            </w:r>
            <w:r w:rsidR="00053A95">
              <w:rPr>
                <w:rFonts w:cs="Arial"/>
              </w:rPr>
              <w:t>.</w:t>
            </w:r>
          </w:p>
        </w:tc>
      </w:tr>
      <w:tr w:rsidR="00EC7E47" w:rsidRPr="00B939C6" w14:paraId="2A9BFEE5" w14:textId="77777777" w:rsidTr="00B939C6">
        <w:tc>
          <w:tcPr>
            <w:tcW w:w="2730" w:type="dxa"/>
          </w:tcPr>
          <w:p w14:paraId="75804A8B" w14:textId="77777777" w:rsidR="004175F0" w:rsidRPr="00B939C6" w:rsidRDefault="004175F0" w:rsidP="00A728B1">
            <w:pPr>
              <w:spacing w:after="0"/>
              <w:ind w:left="69"/>
              <w:rPr>
                <w:rFonts w:cs="Arial"/>
                <w:snapToGrid w:val="0"/>
              </w:rPr>
            </w:pPr>
            <w:r w:rsidRPr="00B939C6">
              <w:rPr>
                <w:rFonts w:cs="Arial"/>
                <w:snapToGrid w:val="0"/>
              </w:rPr>
              <w:t>2. Impactul asupra mediului afaceri</w:t>
            </w:r>
          </w:p>
        </w:tc>
        <w:tc>
          <w:tcPr>
            <w:tcW w:w="7371" w:type="dxa"/>
            <w:gridSpan w:val="6"/>
          </w:tcPr>
          <w:p w14:paraId="55B8B8F2" w14:textId="6CE9781A" w:rsidR="004175F0" w:rsidRPr="00B939C6" w:rsidRDefault="004175F0" w:rsidP="00A728B1">
            <w:pPr>
              <w:spacing w:after="0"/>
              <w:ind w:left="69"/>
              <w:rPr>
                <w:rFonts w:cs="Arial"/>
              </w:rPr>
            </w:pPr>
            <w:r w:rsidRPr="00B939C6">
              <w:rPr>
                <w:rFonts w:cs="Arial"/>
              </w:rPr>
              <w:t>Nu este cazul</w:t>
            </w:r>
            <w:r w:rsidR="00053A95">
              <w:rPr>
                <w:rFonts w:cs="Arial"/>
              </w:rPr>
              <w:t>.</w:t>
            </w:r>
          </w:p>
        </w:tc>
      </w:tr>
      <w:tr w:rsidR="00EC7E47" w:rsidRPr="00B939C6" w14:paraId="2FA9091C" w14:textId="77777777" w:rsidTr="00B939C6">
        <w:tc>
          <w:tcPr>
            <w:tcW w:w="2730" w:type="dxa"/>
          </w:tcPr>
          <w:p w14:paraId="3D8E6F02" w14:textId="77777777" w:rsidR="004175F0" w:rsidRPr="00B939C6" w:rsidRDefault="004175F0" w:rsidP="00A728B1">
            <w:pPr>
              <w:spacing w:after="0"/>
              <w:ind w:left="69" w:right="-391"/>
              <w:rPr>
                <w:rFonts w:cs="Arial"/>
                <w:snapToGrid w:val="0"/>
              </w:rPr>
            </w:pPr>
            <w:r w:rsidRPr="00B939C6">
              <w:rPr>
                <w:rFonts w:cs="Arial"/>
                <w:snapToGrid w:val="0"/>
              </w:rPr>
              <w:t>3. Impactul social</w:t>
            </w:r>
          </w:p>
        </w:tc>
        <w:tc>
          <w:tcPr>
            <w:tcW w:w="7371" w:type="dxa"/>
            <w:gridSpan w:val="6"/>
          </w:tcPr>
          <w:p w14:paraId="59E86743" w14:textId="40B03C51" w:rsidR="004175F0" w:rsidRDefault="004175F0" w:rsidP="00A728B1">
            <w:pPr>
              <w:spacing w:after="0"/>
              <w:ind w:left="69"/>
              <w:rPr>
                <w:rFonts w:cs="Arial"/>
              </w:rPr>
            </w:pPr>
            <w:r w:rsidRPr="00B939C6">
              <w:rPr>
                <w:rFonts w:cs="Arial"/>
              </w:rPr>
              <w:t>Nu este cazul</w:t>
            </w:r>
            <w:r w:rsidR="00053A95">
              <w:rPr>
                <w:rFonts w:cs="Arial"/>
              </w:rPr>
              <w:t>.</w:t>
            </w:r>
          </w:p>
          <w:p w14:paraId="1C457513" w14:textId="13345688" w:rsidR="00FE3B1B" w:rsidRPr="00B939C6" w:rsidRDefault="00FE3B1B" w:rsidP="00A728B1">
            <w:pPr>
              <w:spacing w:after="0"/>
              <w:ind w:left="69"/>
              <w:rPr>
                <w:rFonts w:cs="Arial"/>
              </w:rPr>
            </w:pPr>
          </w:p>
        </w:tc>
      </w:tr>
      <w:tr w:rsidR="00EC7E47" w:rsidRPr="00B939C6" w14:paraId="2DE36AF1" w14:textId="77777777" w:rsidTr="00B939C6">
        <w:tc>
          <w:tcPr>
            <w:tcW w:w="2730" w:type="dxa"/>
          </w:tcPr>
          <w:p w14:paraId="2CE4C305" w14:textId="77777777" w:rsidR="004175F0" w:rsidRDefault="004175F0" w:rsidP="00A728B1">
            <w:pPr>
              <w:spacing w:after="0"/>
              <w:ind w:left="69"/>
              <w:rPr>
                <w:rFonts w:cs="Arial"/>
                <w:snapToGrid w:val="0"/>
              </w:rPr>
            </w:pPr>
            <w:r w:rsidRPr="00B939C6">
              <w:rPr>
                <w:rFonts w:cs="Arial"/>
                <w:snapToGrid w:val="0"/>
              </w:rPr>
              <w:t>4. Impactul asupra mediului</w:t>
            </w:r>
          </w:p>
          <w:p w14:paraId="02CF3B49" w14:textId="23D13B82" w:rsidR="00DB4421" w:rsidRPr="00B939C6" w:rsidRDefault="00DB4421" w:rsidP="00A728B1">
            <w:pPr>
              <w:spacing w:after="0"/>
              <w:ind w:left="69"/>
              <w:rPr>
                <w:rFonts w:cs="Arial"/>
                <w:snapToGrid w:val="0"/>
              </w:rPr>
            </w:pPr>
          </w:p>
        </w:tc>
        <w:tc>
          <w:tcPr>
            <w:tcW w:w="7371" w:type="dxa"/>
            <w:gridSpan w:val="6"/>
          </w:tcPr>
          <w:p w14:paraId="63221744" w14:textId="68FCAE1B" w:rsidR="004175F0" w:rsidRPr="00B939C6" w:rsidRDefault="004175F0" w:rsidP="00A728B1">
            <w:pPr>
              <w:spacing w:after="0"/>
              <w:ind w:left="69"/>
              <w:rPr>
                <w:rFonts w:cs="Arial"/>
              </w:rPr>
            </w:pPr>
            <w:r w:rsidRPr="00B939C6">
              <w:rPr>
                <w:rFonts w:cs="Arial"/>
              </w:rPr>
              <w:t>Nu este cazul</w:t>
            </w:r>
            <w:r w:rsidR="00053A95">
              <w:rPr>
                <w:rFonts w:cs="Arial"/>
              </w:rPr>
              <w:t>.</w:t>
            </w:r>
          </w:p>
        </w:tc>
      </w:tr>
      <w:tr w:rsidR="00EC7E47" w:rsidRPr="00B939C6" w14:paraId="446B5A59" w14:textId="77777777" w:rsidTr="00B939C6">
        <w:tc>
          <w:tcPr>
            <w:tcW w:w="2730" w:type="dxa"/>
          </w:tcPr>
          <w:p w14:paraId="250E517A" w14:textId="77777777" w:rsidR="004175F0" w:rsidRDefault="004175F0" w:rsidP="00A728B1">
            <w:pPr>
              <w:spacing w:after="0"/>
              <w:ind w:left="69" w:right="-391"/>
              <w:rPr>
                <w:rFonts w:cs="Arial"/>
                <w:snapToGrid w:val="0"/>
              </w:rPr>
            </w:pPr>
            <w:r w:rsidRPr="00B939C6">
              <w:rPr>
                <w:rFonts w:cs="Arial"/>
                <w:snapToGrid w:val="0"/>
              </w:rPr>
              <w:t xml:space="preserve">5. Alte </w:t>
            </w:r>
            <w:r w:rsidR="00B939C6" w:rsidRPr="00B939C6">
              <w:rPr>
                <w:rFonts w:cs="Arial"/>
                <w:snapToGrid w:val="0"/>
              </w:rPr>
              <w:t>informații</w:t>
            </w:r>
          </w:p>
          <w:p w14:paraId="088A64DD" w14:textId="41E26375" w:rsidR="00A728B1" w:rsidRPr="00B939C6" w:rsidRDefault="00A728B1" w:rsidP="00A728B1">
            <w:pPr>
              <w:spacing w:after="0"/>
              <w:ind w:left="69" w:right="-391"/>
              <w:rPr>
                <w:rFonts w:cs="Arial"/>
                <w:snapToGrid w:val="0"/>
              </w:rPr>
            </w:pPr>
          </w:p>
        </w:tc>
        <w:tc>
          <w:tcPr>
            <w:tcW w:w="7371" w:type="dxa"/>
            <w:gridSpan w:val="6"/>
          </w:tcPr>
          <w:p w14:paraId="404C2670" w14:textId="77777777" w:rsidR="004175F0" w:rsidRPr="00B939C6" w:rsidRDefault="004175F0" w:rsidP="00A728B1">
            <w:pPr>
              <w:spacing w:after="0"/>
              <w:ind w:left="69"/>
              <w:rPr>
                <w:rFonts w:cs="Arial"/>
              </w:rPr>
            </w:pPr>
          </w:p>
        </w:tc>
      </w:tr>
      <w:tr w:rsidR="00EC7E47" w:rsidRPr="00B939C6" w14:paraId="7692223B" w14:textId="77777777" w:rsidTr="00B939C6">
        <w:tc>
          <w:tcPr>
            <w:tcW w:w="10101" w:type="dxa"/>
            <w:gridSpan w:val="7"/>
          </w:tcPr>
          <w:p w14:paraId="00B291D1" w14:textId="77777777" w:rsidR="00A728B1" w:rsidRDefault="00A728B1" w:rsidP="00A728B1">
            <w:pPr>
              <w:autoSpaceDE w:val="0"/>
              <w:autoSpaceDN w:val="0"/>
              <w:adjustRightInd w:val="0"/>
              <w:spacing w:after="0"/>
              <w:ind w:left="69"/>
              <w:jc w:val="center"/>
              <w:rPr>
                <w:rFonts w:cs="Arial"/>
                <w:b/>
                <w:snapToGrid w:val="0"/>
              </w:rPr>
            </w:pPr>
          </w:p>
          <w:p w14:paraId="12A8D023" w14:textId="77777777" w:rsidR="004175F0" w:rsidRDefault="00B40F1C" w:rsidP="00A728B1">
            <w:pPr>
              <w:autoSpaceDE w:val="0"/>
              <w:autoSpaceDN w:val="0"/>
              <w:adjustRightInd w:val="0"/>
              <w:spacing w:after="0"/>
              <w:ind w:left="69"/>
              <w:jc w:val="center"/>
              <w:rPr>
                <w:rFonts w:cs="Arial"/>
                <w:b/>
                <w:snapToGrid w:val="0"/>
              </w:rPr>
            </w:pPr>
            <w:r w:rsidRPr="00B939C6">
              <w:rPr>
                <w:rFonts w:cs="Arial"/>
                <w:b/>
                <w:snapToGrid w:val="0"/>
              </w:rPr>
              <w:t>Secțiunea</w:t>
            </w:r>
            <w:r w:rsidR="004175F0" w:rsidRPr="00B939C6">
              <w:rPr>
                <w:rFonts w:cs="Arial"/>
                <w:b/>
                <w:snapToGrid w:val="0"/>
              </w:rPr>
              <w:t xml:space="preserve"> a 4-a – Impactul financiar asupra bugetului general consolidat, atât pe termen scurt, pentru anul curent, cât </w:t>
            </w:r>
            <w:r w:rsidRPr="00B939C6">
              <w:rPr>
                <w:rFonts w:cs="Arial"/>
                <w:b/>
                <w:snapToGrid w:val="0"/>
              </w:rPr>
              <w:t>și</w:t>
            </w:r>
            <w:r w:rsidR="004175F0" w:rsidRPr="00B939C6">
              <w:rPr>
                <w:rFonts w:cs="Arial"/>
                <w:b/>
                <w:snapToGrid w:val="0"/>
              </w:rPr>
              <w:t xml:space="preserve"> pe termen lung (5 ani)</w:t>
            </w:r>
          </w:p>
          <w:p w14:paraId="6575E2FE" w14:textId="5D90AF7A" w:rsidR="00A728B1" w:rsidRPr="00B939C6" w:rsidRDefault="00A728B1" w:rsidP="00A728B1">
            <w:pPr>
              <w:autoSpaceDE w:val="0"/>
              <w:autoSpaceDN w:val="0"/>
              <w:adjustRightInd w:val="0"/>
              <w:spacing w:after="0"/>
              <w:ind w:left="69"/>
              <w:jc w:val="center"/>
              <w:rPr>
                <w:rFonts w:cs="Arial"/>
                <w:b/>
                <w:snapToGrid w:val="0"/>
              </w:rPr>
            </w:pPr>
          </w:p>
        </w:tc>
      </w:tr>
      <w:tr w:rsidR="00EC7E47" w:rsidRPr="00B939C6" w14:paraId="08B878B2" w14:textId="77777777" w:rsidTr="00B939C6">
        <w:tc>
          <w:tcPr>
            <w:tcW w:w="10101" w:type="dxa"/>
            <w:gridSpan w:val="7"/>
          </w:tcPr>
          <w:p w14:paraId="5F382A37" w14:textId="77777777" w:rsidR="004175F0" w:rsidRPr="00B939C6" w:rsidRDefault="004175F0" w:rsidP="00A728B1">
            <w:pPr>
              <w:spacing w:after="0"/>
              <w:ind w:left="69"/>
              <w:jc w:val="right"/>
              <w:rPr>
                <w:rFonts w:cs="Arial"/>
                <w:snapToGrid w:val="0"/>
              </w:rPr>
            </w:pPr>
            <w:r w:rsidRPr="00B939C6">
              <w:rPr>
                <w:rFonts w:cs="Arial"/>
                <w:snapToGrid w:val="0"/>
              </w:rPr>
              <w:t>- mii lei -</w:t>
            </w:r>
          </w:p>
        </w:tc>
      </w:tr>
      <w:tr w:rsidR="00EC7E47" w:rsidRPr="00B939C6" w14:paraId="664DAD63" w14:textId="77777777" w:rsidTr="00B939C6">
        <w:trPr>
          <w:trHeight w:val="562"/>
        </w:trPr>
        <w:tc>
          <w:tcPr>
            <w:tcW w:w="2730" w:type="dxa"/>
          </w:tcPr>
          <w:p w14:paraId="27FAE9AE" w14:textId="77777777" w:rsidR="004175F0" w:rsidRPr="00B939C6" w:rsidRDefault="004175F0" w:rsidP="00A728B1">
            <w:pPr>
              <w:spacing w:after="0"/>
              <w:ind w:left="69"/>
              <w:jc w:val="center"/>
              <w:rPr>
                <w:rFonts w:cs="Arial"/>
                <w:snapToGrid w:val="0"/>
              </w:rPr>
            </w:pPr>
            <w:r w:rsidRPr="00B939C6">
              <w:rPr>
                <w:rFonts w:cs="Arial"/>
                <w:snapToGrid w:val="0"/>
              </w:rPr>
              <w:t>Indicatori</w:t>
            </w:r>
          </w:p>
        </w:tc>
        <w:tc>
          <w:tcPr>
            <w:tcW w:w="1559" w:type="dxa"/>
            <w:shd w:val="clear" w:color="auto" w:fill="auto"/>
          </w:tcPr>
          <w:p w14:paraId="36DA203E" w14:textId="633B0D66" w:rsidR="004175F0" w:rsidRPr="00B939C6" w:rsidRDefault="004175F0" w:rsidP="00A728B1">
            <w:pPr>
              <w:spacing w:after="0"/>
              <w:ind w:left="69"/>
              <w:jc w:val="center"/>
              <w:rPr>
                <w:rFonts w:cs="Arial"/>
              </w:rPr>
            </w:pPr>
            <w:r w:rsidRPr="00B939C6">
              <w:rPr>
                <w:rFonts w:cs="Arial"/>
              </w:rPr>
              <w:t>Anul curent</w:t>
            </w:r>
          </w:p>
        </w:tc>
        <w:tc>
          <w:tcPr>
            <w:tcW w:w="4535" w:type="dxa"/>
            <w:gridSpan w:val="4"/>
            <w:shd w:val="clear" w:color="auto" w:fill="auto"/>
          </w:tcPr>
          <w:p w14:paraId="6913BD2B" w14:textId="77777777" w:rsidR="004175F0" w:rsidRPr="00B939C6" w:rsidRDefault="004175F0" w:rsidP="00A728B1">
            <w:pPr>
              <w:spacing w:after="0"/>
              <w:ind w:left="69"/>
              <w:jc w:val="center"/>
              <w:rPr>
                <w:rFonts w:cs="Arial"/>
              </w:rPr>
            </w:pPr>
            <w:r w:rsidRPr="00B939C6">
              <w:rPr>
                <w:rFonts w:cs="Arial"/>
              </w:rPr>
              <w:t>Următorii 4 ani</w:t>
            </w:r>
          </w:p>
        </w:tc>
        <w:tc>
          <w:tcPr>
            <w:tcW w:w="1277" w:type="dxa"/>
            <w:shd w:val="clear" w:color="auto" w:fill="auto"/>
          </w:tcPr>
          <w:p w14:paraId="354D01E0" w14:textId="77777777" w:rsidR="004175F0" w:rsidRPr="00B939C6" w:rsidRDefault="004175F0" w:rsidP="00A728B1">
            <w:pPr>
              <w:spacing w:after="0"/>
              <w:ind w:left="69"/>
              <w:jc w:val="center"/>
              <w:rPr>
                <w:rFonts w:cs="Arial"/>
              </w:rPr>
            </w:pPr>
            <w:r w:rsidRPr="00B939C6">
              <w:rPr>
                <w:rFonts w:cs="Arial"/>
              </w:rPr>
              <w:t>Media pe 5 ani</w:t>
            </w:r>
          </w:p>
        </w:tc>
      </w:tr>
      <w:tr w:rsidR="00EC7E47" w:rsidRPr="00B939C6" w14:paraId="74D00753" w14:textId="77777777" w:rsidTr="00783590">
        <w:trPr>
          <w:trHeight w:val="728"/>
        </w:trPr>
        <w:tc>
          <w:tcPr>
            <w:tcW w:w="2730" w:type="dxa"/>
          </w:tcPr>
          <w:p w14:paraId="4D01A5F3" w14:textId="77777777" w:rsidR="004175F0" w:rsidRPr="00B939C6" w:rsidRDefault="004175F0" w:rsidP="00A728B1">
            <w:pPr>
              <w:spacing w:after="0"/>
              <w:ind w:left="69"/>
              <w:jc w:val="center"/>
              <w:rPr>
                <w:rFonts w:cs="Arial"/>
                <w:snapToGrid w:val="0"/>
              </w:rPr>
            </w:pPr>
            <w:r w:rsidRPr="00B939C6">
              <w:rPr>
                <w:rFonts w:cs="Arial"/>
                <w:snapToGrid w:val="0"/>
              </w:rPr>
              <w:t>1</w:t>
            </w:r>
          </w:p>
        </w:tc>
        <w:tc>
          <w:tcPr>
            <w:tcW w:w="1559" w:type="dxa"/>
            <w:shd w:val="clear" w:color="auto" w:fill="auto"/>
          </w:tcPr>
          <w:p w14:paraId="53484633" w14:textId="77777777" w:rsidR="004175F0" w:rsidRPr="00B939C6" w:rsidRDefault="004175F0" w:rsidP="00A728B1">
            <w:pPr>
              <w:spacing w:after="0"/>
              <w:ind w:left="69"/>
              <w:jc w:val="center"/>
              <w:rPr>
                <w:rFonts w:cs="Arial"/>
              </w:rPr>
            </w:pPr>
            <w:r w:rsidRPr="00B939C6">
              <w:rPr>
                <w:rFonts w:cs="Arial"/>
              </w:rPr>
              <w:t>2</w:t>
            </w:r>
          </w:p>
          <w:p w14:paraId="16B9F416" w14:textId="72053DAF" w:rsidR="004175F0" w:rsidRPr="00B939C6" w:rsidRDefault="00253FC8" w:rsidP="00A728B1">
            <w:pPr>
              <w:spacing w:after="0"/>
              <w:ind w:left="69"/>
              <w:jc w:val="center"/>
              <w:rPr>
                <w:rFonts w:cs="Arial"/>
              </w:rPr>
            </w:pPr>
            <w:r w:rsidRPr="00B939C6">
              <w:rPr>
                <w:rFonts w:cs="Arial"/>
              </w:rPr>
              <w:t>20</w:t>
            </w:r>
            <w:r w:rsidR="00B939C6">
              <w:rPr>
                <w:rFonts w:cs="Arial"/>
              </w:rPr>
              <w:t>2</w:t>
            </w:r>
            <w:r w:rsidR="00A728B1">
              <w:rPr>
                <w:rFonts w:cs="Arial"/>
              </w:rPr>
              <w:t>1</w:t>
            </w:r>
          </w:p>
        </w:tc>
        <w:tc>
          <w:tcPr>
            <w:tcW w:w="1134" w:type="dxa"/>
            <w:shd w:val="clear" w:color="auto" w:fill="auto"/>
          </w:tcPr>
          <w:p w14:paraId="76D5B67F" w14:textId="77777777" w:rsidR="004175F0" w:rsidRPr="00B939C6" w:rsidRDefault="004175F0" w:rsidP="00A728B1">
            <w:pPr>
              <w:spacing w:after="0"/>
              <w:ind w:left="69"/>
              <w:jc w:val="center"/>
              <w:rPr>
                <w:rFonts w:cs="Arial"/>
              </w:rPr>
            </w:pPr>
            <w:r w:rsidRPr="00B939C6">
              <w:rPr>
                <w:rFonts w:cs="Arial"/>
              </w:rPr>
              <w:t>3</w:t>
            </w:r>
          </w:p>
          <w:p w14:paraId="7FC7236A" w14:textId="2DE74D6E" w:rsidR="004175F0" w:rsidRPr="00B939C6" w:rsidRDefault="00253FC8" w:rsidP="00A728B1">
            <w:pPr>
              <w:spacing w:after="0"/>
              <w:ind w:left="69"/>
              <w:jc w:val="center"/>
              <w:rPr>
                <w:rFonts w:cs="Arial"/>
              </w:rPr>
            </w:pPr>
            <w:r w:rsidRPr="00B939C6">
              <w:rPr>
                <w:rFonts w:cs="Arial"/>
              </w:rPr>
              <w:t>202</w:t>
            </w:r>
            <w:r w:rsidR="00A728B1">
              <w:rPr>
                <w:rFonts w:cs="Arial"/>
              </w:rPr>
              <w:t>2</w:t>
            </w:r>
          </w:p>
        </w:tc>
        <w:tc>
          <w:tcPr>
            <w:tcW w:w="1134" w:type="dxa"/>
            <w:shd w:val="clear" w:color="auto" w:fill="auto"/>
          </w:tcPr>
          <w:p w14:paraId="15A68E53" w14:textId="77777777" w:rsidR="004175F0" w:rsidRPr="00B939C6" w:rsidRDefault="004175F0" w:rsidP="00A728B1">
            <w:pPr>
              <w:spacing w:after="0"/>
              <w:ind w:left="69"/>
              <w:jc w:val="center"/>
              <w:rPr>
                <w:rFonts w:cs="Arial"/>
              </w:rPr>
            </w:pPr>
            <w:r w:rsidRPr="00B939C6">
              <w:rPr>
                <w:rFonts w:cs="Arial"/>
              </w:rPr>
              <w:t>4</w:t>
            </w:r>
          </w:p>
          <w:p w14:paraId="31AEC086" w14:textId="0D84A713" w:rsidR="004175F0" w:rsidRPr="00B939C6" w:rsidRDefault="00253FC8" w:rsidP="00A728B1">
            <w:pPr>
              <w:spacing w:after="0"/>
              <w:ind w:left="69"/>
              <w:jc w:val="center"/>
              <w:rPr>
                <w:rFonts w:cs="Arial"/>
              </w:rPr>
            </w:pPr>
            <w:r w:rsidRPr="00B939C6">
              <w:rPr>
                <w:rFonts w:cs="Arial"/>
              </w:rPr>
              <w:t>202</w:t>
            </w:r>
            <w:r w:rsidR="00A728B1">
              <w:rPr>
                <w:rFonts w:cs="Arial"/>
              </w:rPr>
              <w:t>3</w:t>
            </w:r>
          </w:p>
        </w:tc>
        <w:tc>
          <w:tcPr>
            <w:tcW w:w="1134" w:type="dxa"/>
            <w:shd w:val="clear" w:color="auto" w:fill="auto"/>
          </w:tcPr>
          <w:p w14:paraId="181C9B44" w14:textId="77777777" w:rsidR="004175F0" w:rsidRPr="00B939C6" w:rsidRDefault="004175F0" w:rsidP="00A728B1">
            <w:pPr>
              <w:spacing w:after="0"/>
              <w:ind w:left="69"/>
              <w:jc w:val="center"/>
              <w:rPr>
                <w:rFonts w:cs="Arial"/>
              </w:rPr>
            </w:pPr>
            <w:r w:rsidRPr="00B939C6">
              <w:rPr>
                <w:rFonts w:cs="Arial"/>
              </w:rPr>
              <w:t>5</w:t>
            </w:r>
          </w:p>
          <w:p w14:paraId="1C7D373A" w14:textId="65D5A092" w:rsidR="004175F0" w:rsidRPr="00B939C6" w:rsidRDefault="00253FC8" w:rsidP="00A728B1">
            <w:pPr>
              <w:spacing w:after="0"/>
              <w:ind w:left="69"/>
              <w:jc w:val="center"/>
              <w:rPr>
                <w:rFonts w:cs="Arial"/>
              </w:rPr>
            </w:pPr>
            <w:r w:rsidRPr="00B939C6">
              <w:rPr>
                <w:rFonts w:cs="Arial"/>
              </w:rPr>
              <w:t>202</w:t>
            </w:r>
            <w:r w:rsidR="00A728B1">
              <w:rPr>
                <w:rFonts w:cs="Arial"/>
              </w:rPr>
              <w:t>4</w:t>
            </w:r>
          </w:p>
        </w:tc>
        <w:tc>
          <w:tcPr>
            <w:tcW w:w="1133" w:type="dxa"/>
            <w:shd w:val="clear" w:color="auto" w:fill="auto"/>
          </w:tcPr>
          <w:p w14:paraId="0ABC7667" w14:textId="77777777" w:rsidR="004175F0" w:rsidRPr="00B939C6" w:rsidRDefault="004175F0" w:rsidP="00A728B1">
            <w:pPr>
              <w:spacing w:after="0"/>
              <w:ind w:left="69"/>
              <w:jc w:val="center"/>
              <w:rPr>
                <w:rFonts w:cs="Arial"/>
              </w:rPr>
            </w:pPr>
            <w:r w:rsidRPr="00B939C6">
              <w:rPr>
                <w:rFonts w:cs="Arial"/>
              </w:rPr>
              <w:t>6</w:t>
            </w:r>
          </w:p>
          <w:p w14:paraId="7B170815" w14:textId="2BC6C9F4" w:rsidR="004175F0" w:rsidRPr="00B939C6" w:rsidRDefault="0059449D" w:rsidP="00A728B1">
            <w:pPr>
              <w:spacing w:after="0"/>
              <w:ind w:left="69"/>
              <w:jc w:val="center"/>
              <w:rPr>
                <w:rFonts w:cs="Arial"/>
              </w:rPr>
            </w:pPr>
            <w:r w:rsidRPr="00B939C6">
              <w:rPr>
                <w:rFonts w:cs="Arial"/>
              </w:rPr>
              <w:t>202</w:t>
            </w:r>
            <w:r w:rsidR="00A728B1">
              <w:rPr>
                <w:rFonts w:cs="Arial"/>
              </w:rPr>
              <w:t>5</w:t>
            </w:r>
          </w:p>
        </w:tc>
        <w:tc>
          <w:tcPr>
            <w:tcW w:w="1277" w:type="dxa"/>
            <w:shd w:val="clear" w:color="auto" w:fill="auto"/>
          </w:tcPr>
          <w:p w14:paraId="3D9E1673" w14:textId="77777777" w:rsidR="004175F0" w:rsidRPr="00B939C6" w:rsidRDefault="004175F0" w:rsidP="00A728B1">
            <w:pPr>
              <w:spacing w:after="0"/>
              <w:ind w:left="69"/>
              <w:jc w:val="center"/>
              <w:rPr>
                <w:rFonts w:cs="Arial"/>
              </w:rPr>
            </w:pPr>
            <w:r w:rsidRPr="00B939C6">
              <w:rPr>
                <w:rFonts w:cs="Arial"/>
              </w:rPr>
              <w:t>7</w:t>
            </w:r>
          </w:p>
        </w:tc>
      </w:tr>
      <w:tr w:rsidR="00EC7E47" w:rsidRPr="00B939C6" w14:paraId="23ED6C40" w14:textId="77777777" w:rsidTr="00B939C6">
        <w:tc>
          <w:tcPr>
            <w:tcW w:w="2730" w:type="dxa"/>
          </w:tcPr>
          <w:p w14:paraId="6BB5FB47" w14:textId="77777777" w:rsidR="004175F0" w:rsidRPr="00B939C6" w:rsidRDefault="004175F0" w:rsidP="00A728B1">
            <w:pPr>
              <w:spacing w:after="0"/>
              <w:ind w:left="69"/>
              <w:rPr>
                <w:rFonts w:cs="Arial"/>
                <w:snapToGrid w:val="0"/>
              </w:rPr>
            </w:pPr>
            <w:r w:rsidRPr="00B939C6">
              <w:rPr>
                <w:rFonts w:cs="Arial"/>
                <w:snapToGrid w:val="0"/>
              </w:rPr>
              <w:t>1. Modificări ale veniturilor bugetare, plus/minus, din care:</w:t>
            </w:r>
          </w:p>
        </w:tc>
        <w:tc>
          <w:tcPr>
            <w:tcW w:w="7371" w:type="dxa"/>
            <w:gridSpan w:val="6"/>
            <w:shd w:val="clear" w:color="auto" w:fill="auto"/>
          </w:tcPr>
          <w:p w14:paraId="3F75C403" w14:textId="77777777" w:rsidR="004175F0" w:rsidRPr="00B939C6" w:rsidRDefault="004175F0" w:rsidP="00A728B1">
            <w:pPr>
              <w:spacing w:after="0"/>
              <w:ind w:left="69"/>
              <w:jc w:val="center"/>
              <w:rPr>
                <w:rFonts w:cs="Arial"/>
              </w:rPr>
            </w:pPr>
          </w:p>
        </w:tc>
      </w:tr>
      <w:tr w:rsidR="00EC7E47" w:rsidRPr="00B939C6" w14:paraId="4F143A1B" w14:textId="77777777" w:rsidTr="00B939C6">
        <w:tc>
          <w:tcPr>
            <w:tcW w:w="2730" w:type="dxa"/>
          </w:tcPr>
          <w:p w14:paraId="665E9FD3" w14:textId="77777777" w:rsidR="004175F0" w:rsidRPr="00B939C6" w:rsidRDefault="004175F0" w:rsidP="00A728B1">
            <w:pPr>
              <w:spacing w:after="0"/>
              <w:ind w:left="69"/>
              <w:rPr>
                <w:rFonts w:cs="Arial"/>
                <w:snapToGrid w:val="0"/>
              </w:rPr>
            </w:pPr>
            <w:r w:rsidRPr="00B939C6">
              <w:rPr>
                <w:rFonts w:cs="Arial"/>
                <w:snapToGrid w:val="0"/>
              </w:rPr>
              <w:t>a) buget de stat, din acesta:</w:t>
            </w:r>
          </w:p>
        </w:tc>
        <w:tc>
          <w:tcPr>
            <w:tcW w:w="1559" w:type="dxa"/>
            <w:shd w:val="clear" w:color="auto" w:fill="auto"/>
          </w:tcPr>
          <w:p w14:paraId="572653EB" w14:textId="77777777" w:rsidR="004175F0" w:rsidRPr="00B939C6" w:rsidRDefault="004175F0" w:rsidP="00A728B1">
            <w:pPr>
              <w:spacing w:after="0"/>
              <w:ind w:left="69"/>
              <w:jc w:val="center"/>
              <w:rPr>
                <w:rFonts w:cs="Arial"/>
              </w:rPr>
            </w:pPr>
          </w:p>
        </w:tc>
        <w:tc>
          <w:tcPr>
            <w:tcW w:w="1134" w:type="dxa"/>
            <w:shd w:val="clear" w:color="auto" w:fill="auto"/>
          </w:tcPr>
          <w:p w14:paraId="746E3848" w14:textId="77777777" w:rsidR="004175F0" w:rsidRPr="00B939C6" w:rsidRDefault="004175F0" w:rsidP="00A728B1">
            <w:pPr>
              <w:spacing w:after="0"/>
              <w:ind w:left="69"/>
              <w:jc w:val="center"/>
              <w:rPr>
                <w:rFonts w:cs="Arial"/>
              </w:rPr>
            </w:pPr>
          </w:p>
        </w:tc>
        <w:tc>
          <w:tcPr>
            <w:tcW w:w="1134" w:type="dxa"/>
            <w:shd w:val="clear" w:color="auto" w:fill="auto"/>
          </w:tcPr>
          <w:p w14:paraId="43722129" w14:textId="77777777" w:rsidR="004175F0" w:rsidRPr="00B939C6" w:rsidRDefault="004175F0" w:rsidP="00A728B1">
            <w:pPr>
              <w:spacing w:after="0"/>
              <w:ind w:left="69"/>
              <w:jc w:val="center"/>
              <w:rPr>
                <w:rFonts w:cs="Arial"/>
              </w:rPr>
            </w:pPr>
          </w:p>
        </w:tc>
        <w:tc>
          <w:tcPr>
            <w:tcW w:w="1134" w:type="dxa"/>
            <w:shd w:val="clear" w:color="auto" w:fill="auto"/>
          </w:tcPr>
          <w:p w14:paraId="0C6EF73E" w14:textId="77777777" w:rsidR="004175F0" w:rsidRPr="00B939C6" w:rsidRDefault="004175F0" w:rsidP="00A728B1">
            <w:pPr>
              <w:spacing w:after="0"/>
              <w:ind w:left="69"/>
              <w:jc w:val="center"/>
              <w:rPr>
                <w:rFonts w:cs="Arial"/>
              </w:rPr>
            </w:pPr>
          </w:p>
        </w:tc>
        <w:tc>
          <w:tcPr>
            <w:tcW w:w="1133" w:type="dxa"/>
            <w:shd w:val="clear" w:color="auto" w:fill="auto"/>
          </w:tcPr>
          <w:p w14:paraId="180FB4BB" w14:textId="77777777" w:rsidR="004175F0" w:rsidRPr="00B939C6" w:rsidRDefault="004175F0" w:rsidP="00A728B1">
            <w:pPr>
              <w:spacing w:after="0"/>
              <w:ind w:left="69"/>
              <w:jc w:val="center"/>
              <w:rPr>
                <w:rFonts w:cs="Arial"/>
              </w:rPr>
            </w:pPr>
          </w:p>
        </w:tc>
        <w:tc>
          <w:tcPr>
            <w:tcW w:w="1277" w:type="dxa"/>
            <w:shd w:val="clear" w:color="auto" w:fill="auto"/>
          </w:tcPr>
          <w:p w14:paraId="2D952E0B" w14:textId="77777777" w:rsidR="004175F0" w:rsidRPr="00B939C6" w:rsidRDefault="004175F0" w:rsidP="00A728B1">
            <w:pPr>
              <w:spacing w:after="0"/>
              <w:ind w:left="69"/>
              <w:jc w:val="center"/>
              <w:rPr>
                <w:rFonts w:cs="Arial"/>
              </w:rPr>
            </w:pPr>
          </w:p>
        </w:tc>
      </w:tr>
      <w:tr w:rsidR="00EC7E47" w:rsidRPr="00B939C6" w14:paraId="46FD0692" w14:textId="77777777" w:rsidTr="00B939C6">
        <w:tc>
          <w:tcPr>
            <w:tcW w:w="2730" w:type="dxa"/>
          </w:tcPr>
          <w:p w14:paraId="5605FD0B" w14:textId="77777777" w:rsidR="004175F0" w:rsidRPr="00B939C6" w:rsidRDefault="004175F0" w:rsidP="00A728B1">
            <w:pPr>
              <w:spacing w:after="0"/>
              <w:ind w:left="69"/>
              <w:rPr>
                <w:rFonts w:cs="Arial"/>
                <w:snapToGrid w:val="0"/>
              </w:rPr>
            </w:pPr>
            <w:r w:rsidRPr="00B939C6">
              <w:rPr>
                <w:rFonts w:cs="Arial"/>
                <w:snapToGrid w:val="0"/>
              </w:rPr>
              <w:t>(i) impozit pe profit</w:t>
            </w:r>
          </w:p>
        </w:tc>
        <w:tc>
          <w:tcPr>
            <w:tcW w:w="1559" w:type="dxa"/>
            <w:shd w:val="clear" w:color="auto" w:fill="auto"/>
          </w:tcPr>
          <w:p w14:paraId="3EC963AA" w14:textId="77777777" w:rsidR="004175F0" w:rsidRPr="00B939C6" w:rsidRDefault="004175F0" w:rsidP="00A728B1">
            <w:pPr>
              <w:spacing w:after="0"/>
              <w:ind w:left="69"/>
              <w:jc w:val="center"/>
              <w:rPr>
                <w:rFonts w:cs="Arial"/>
              </w:rPr>
            </w:pPr>
          </w:p>
        </w:tc>
        <w:tc>
          <w:tcPr>
            <w:tcW w:w="1134" w:type="dxa"/>
            <w:shd w:val="clear" w:color="auto" w:fill="auto"/>
          </w:tcPr>
          <w:p w14:paraId="4F015456" w14:textId="77777777" w:rsidR="004175F0" w:rsidRPr="00B939C6" w:rsidRDefault="004175F0" w:rsidP="00A728B1">
            <w:pPr>
              <w:spacing w:after="0"/>
              <w:ind w:left="69"/>
              <w:jc w:val="center"/>
              <w:rPr>
                <w:rFonts w:cs="Arial"/>
              </w:rPr>
            </w:pPr>
          </w:p>
        </w:tc>
        <w:tc>
          <w:tcPr>
            <w:tcW w:w="1134" w:type="dxa"/>
            <w:shd w:val="clear" w:color="auto" w:fill="auto"/>
          </w:tcPr>
          <w:p w14:paraId="010D5072" w14:textId="77777777" w:rsidR="004175F0" w:rsidRPr="00B939C6" w:rsidRDefault="004175F0" w:rsidP="00A728B1">
            <w:pPr>
              <w:spacing w:after="0"/>
              <w:ind w:left="69"/>
              <w:jc w:val="center"/>
              <w:rPr>
                <w:rFonts w:cs="Arial"/>
              </w:rPr>
            </w:pPr>
          </w:p>
        </w:tc>
        <w:tc>
          <w:tcPr>
            <w:tcW w:w="1134" w:type="dxa"/>
            <w:shd w:val="clear" w:color="auto" w:fill="auto"/>
          </w:tcPr>
          <w:p w14:paraId="76D3D9C9" w14:textId="77777777" w:rsidR="004175F0" w:rsidRPr="00B939C6" w:rsidRDefault="004175F0" w:rsidP="00A728B1">
            <w:pPr>
              <w:spacing w:after="0"/>
              <w:ind w:left="69"/>
              <w:jc w:val="center"/>
              <w:rPr>
                <w:rFonts w:cs="Arial"/>
              </w:rPr>
            </w:pPr>
          </w:p>
        </w:tc>
        <w:tc>
          <w:tcPr>
            <w:tcW w:w="1133" w:type="dxa"/>
            <w:shd w:val="clear" w:color="auto" w:fill="auto"/>
          </w:tcPr>
          <w:p w14:paraId="3856F2F3" w14:textId="77777777" w:rsidR="004175F0" w:rsidRPr="00B939C6" w:rsidRDefault="004175F0" w:rsidP="00A728B1">
            <w:pPr>
              <w:spacing w:after="0"/>
              <w:ind w:left="69"/>
              <w:jc w:val="center"/>
              <w:rPr>
                <w:rFonts w:cs="Arial"/>
              </w:rPr>
            </w:pPr>
          </w:p>
        </w:tc>
        <w:tc>
          <w:tcPr>
            <w:tcW w:w="1277" w:type="dxa"/>
            <w:shd w:val="clear" w:color="auto" w:fill="auto"/>
          </w:tcPr>
          <w:p w14:paraId="7AB32E1D" w14:textId="77777777" w:rsidR="004175F0" w:rsidRPr="00B939C6" w:rsidRDefault="004175F0" w:rsidP="00A728B1">
            <w:pPr>
              <w:spacing w:after="0"/>
              <w:ind w:left="69"/>
              <w:jc w:val="center"/>
              <w:rPr>
                <w:rFonts w:cs="Arial"/>
              </w:rPr>
            </w:pPr>
          </w:p>
        </w:tc>
      </w:tr>
      <w:tr w:rsidR="00EC7E47" w:rsidRPr="00B939C6" w14:paraId="61B388FB" w14:textId="77777777" w:rsidTr="00B939C6">
        <w:tc>
          <w:tcPr>
            <w:tcW w:w="2730" w:type="dxa"/>
          </w:tcPr>
          <w:p w14:paraId="73F1E893" w14:textId="77777777" w:rsidR="004175F0" w:rsidRPr="00B939C6" w:rsidRDefault="004175F0" w:rsidP="00A728B1">
            <w:pPr>
              <w:spacing w:after="0"/>
              <w:ind w:left="69"/>
              <w:rPr>
                <w:rFonts w:cs="Arial"/>
                <w:snapToGrid w:val="0"/>
              </w:rPr>
            </w:pPr>
            <w:r w:rsidRPr="00B939C6">
              <w:rPr>
                <w:rFonts w:cs="Arial"/>
                <w:snapToGrid w:val="0"/>
              </w:rPr>
              <w:t>(ii) impozit pe venit</w:t>
            </w:r>
          </w:p>
        </w:tc>
        <w:tc>
          <w:tcPr>
            <w:tcW w:w="1559" w:type="dxa"/>
            <w:shd w:val="clear" w:color="auto" w:fill="auto"/>
          </w:tcPr>
          <w:p w14:paraId="227451EE" w14:textId="77777777" w:rsidR="004175F0" w:rsidRPr="00B939C6" w:rsidRDefault="004175F0" w:rsidP="00A728B1">
            <w:pPr>
              <w:spacing w:after="0"/>
              <w:ind w:left="69"/>
              <w:jc w:val="center"/>
              <w:rPr>
                <w:rFonts w:cs="Arial"/>
              </w:rPr>
            </w:pPr>
          </w:p>
        </w:tc>
        <w:tc>
          <w:tcPr>
            <w:tcW w:w="1134" w:type="dxa"/>
            <w:shd w:val="clear" w:color="auto" w:fill="auto"/>
          </w:tcPr>
          <w:p w14:paraId="6377DB1F" w14:textId="77777777" w:rsidR="004175F0" w:rsidRPr="00B939C6" w:rsidRDefault="004175F0" w:rsidP="00A728B1">
            <w:pPr>
              <w:spacing w:after="0"/>
              <w:ind w:left="69"/>
              <w:jc w:val="center"/>
              <w:rPr>
                <w:rFonts w:cs="Arial"/>
              </w:rPr>
            </w:pPr>
          </w:p>
        </w:tc>
        <w:tc>
          <w:tcPr>
            <w:tcW w:w="1134" w:type="dxa"/>
            <w:shd w:val="clear" w:color="auto" w:fill="auto"/>
          </w:tcPr>
          <w:p w14:paraId="081E0EEE" w14:textId="77777777" w:rsidR="004175F0" w:rsidRPr="00B939C6" w:rsidRDefault="004175F0" w:rsidP="00A728B1">
            <w:pPr>
              <w:spacing w:after="0"/>
              <w:ind w:left="69"/>
              <w:jc w:val="center"/>
              <w:rPr>
                <w:rFonts w:cs="Arial"/>
              </w:rPr>
            </w:pPr>
          </w:p>
        </w:tc>
        <w:tc>
          <w:tcPr>
            <w:tcW w:w="1134" w:type="dxa"/>
            <w:shd w:val="clear" w:color="auto" w:fill="auto"/>
          </w:tcPr>
          <w:p w14:paraId="042F6BB3" w14:textId="77777777" w:rsidR="004175F0" w:rsidRPr="00B939C6" w:rsidRDefault="004175F0" w:rsidP="00A728B1">
            <w:pPr>
              <w:spacing w:after="0"/>
              <w:ind w:left="69"/>
              <w:jc w:val="center"/>
              <w:rPr>
                <w:rFonts w:cs="Arial"/>
              </w:rPr>
            </w:pPr>
          </w:p>
        </w:tc>
        <w:tc>
          <w:tcPr>
            <w:tcW w:w="1133" w:type="dxa"/>
            <w:shd w:val="clear" w:color="auto" w:fill="auto"/>
          </w:tcPr>
          <w:p w14:paraId="2A435E16" w14:textId="77777777" w:rsidR="004175F0" w:rsidRPr="00B939C6" w:rsidRDefault="004175F0" w:rsidP="00A728B1">
            <w:pPr>
              <w:spacing w:after="0"/>
              <w:ind w:left="69"/>
              <w:jc w:val="center"/>
              <w:rPr>
                <w:rFonts w:cs="Arial"/>
              </w:rPr>
            </w:pPr>
          </w:p>
        </w:tc>
        <w:tc>
          <w:tcPr>
            <w:tcW w:w="1277" w:type="dxa"/>
            <w:shd w:val="clear" w:color="auto" w:fill="auto"/>
          </w:tcPr>
          <w:p w14:paraId="757D4456" w14:textId="77777777" w:rsidR="004175F0" w:rsidRPr="00B939C6" w:rsidRDefault="004175F0" w:rsidP="00A728B1">
            <w:pPr>
              <w:spacing w:after="0"/>
              <w:ind w:left="69"/>
              <w:jc w:val="center"/>
              <w:rPr>
                <w:rFonts w:cs="Arial"/>
              </w:rPr>
            </w:pPr>
          </w:p>
        </w:tc>
      </w:tr>
      <w:tr w:rsidR="00EC7E47" w:rsidRPr="00B939C6" w14:paraId="147D4E10" w14:textId="77777777" w:rsidTr="00B939C6">
        <w:tc>
          <w:tcPr>
            <w:tcW w:w="2730" w:type="dxa"/>
          </w:tcPr>
          <w:p w14:paraId="3F9AFB32" w14:textId="77777777" w:rsidR="004175F0" w:rsidRPr="00B939C6" w:rsidRDefault="004175F0" w:rsidP="00A728B1">
            <w:pPr>
              <w:spacing w:after="0"/>
              <w:ind w:left="69"/>
              <w:rPr>
                <w:rFonts w:cs="Arial"/>
                <w:snapToGrid w:val="0"/>
              </w:rPr>
            </w:pPr>
            <w:r w:rsidRPr="00B939C6">
              <w:rPr>
                <w:rFonts w:cs="Arial"/>
                <w:snapToGrid w:val="0"/>
              </w:rPr>
              <w:t>b) bugete locale:</w:t>
            </w:r>
          </w:p>
        </w:tc>
        <w:tc>
          <w:tcPr>
            <w:tcW w:w="1559" w:type="dxa"/>
            <w:shd w:val="clear" w:color="auto" w:fill="auto"/>
          </w:tcPr>
          <w:p w14:paraId="37A38A3A" w14:textId="77777777" w:rsidR="004175F0" w:rsidRPr="00B939C6" w:rsidRDefault="004175F0" w:rsidP="00A728B1">
            <w:pPr>
              <w:spacing w:after="0"/>
              <w:ind w:left="69"/>
              <w:jc w:val="center"/>
              <w:rPr>
                <w:rFonts w:cs="Arial"/>
              </w:rPr>
            </w:pPr>
          </w:p>
        </w:tc>
        <w:tc>
          <w:tcPr>
            <w:tcW w:w="1134" w:type="dxa"/>
            <w:shd w:val="clear" w:color="auto" w:fill="auto"/>
          </w:tcPr>
          <w:p w14:paraId="17FA9D7A" w14:textId="77777777" w:rsidR="004175F0" w:rsidRPr="00B939C6" w:rsidRDefault="004175F0" w:rsidP="00A728B1">
            <w:pPr>
              <w:spacing w:after="0"/>
              <w:ind w:left="69"/>
              <w:jc w:val="center"/>
              <w:rPr>
                <w:rFonts w:cs="Arial"/>
              </w:rPr>
            </w:pPr>
          </w:p>
        </w:tc>
        <w:tc>
          <w:tcPr>
            <w:tcW w:w="1134" w:type="dxa"/>
            <w:shd w:val="clear" w:color="auto" w:fill="auto"/>
          </w:tcPr>
          <w:p w14:paraId="047812F6" w14:textId="77777777" w:rsidR="004175F0" w:rsidRPr="00B939C6" w:rsidRDefault="004175F0" w:rsidP="00A728B1">
            <w:pPr>
              <w:spacing w:after="0"/>
              <w:ind w:left="69"/>
              <w:jc w:val="center"/>
              <w:rPr>
                <w:rFonts w:cs="Arial"/>
              </w:rPr>
            </w:pPr>
          </w:p>
        </w:tc>
        <w:tc>
          <w:tcPr>
            <w:tcW w:w="1134" w:type="dxa"/>
            <w:shd w:val="clear" w:color="auto" w:fill="auto"/>
          </w:tcPr>
          <w:p w14:paraId="0D7C1F58" w14:textId="77777777" w:rsidR="004175F0" w:rsidRPr="00B939C6" w:rsidRDefault="004175F0" w:rsidP="00A728B1">
            <w:pPr>
              <w:spacing w:after="0"/>
              <w:ind w:left="69"/>
              <w:jc w:val="center"/>
              <w:rPr>
                <w:rFonts w:cs="Arial"/>
              </w:rPr>
            </w:pPr>
          </w:p>
        </w:tc>
        <w:tc>
          <w:tcPr>
            <w:tcW w:w="1133" w:type="dxa"/>
            <w:shd w:val="clear" w:color="auto" w:fill="auto"/>
          </w:tcPr>
          <w:p w14:paraId="6DCB1A61" w14:textId="77777777" w:rsidR="004175F0" w:rsidRPr="00B939C6" w:rsidRDefault="004175F0" w:rsidP="00A728B1">
            <w:pPr>
              <w:spacing w:after="0"/>
              <w:ind w:left="69"/>
              <w:jc w:val="center"/>
              <w:rPr>
                <w:rFonts w:cs="Arial"/>
              </w:rPr>
            </w:pPr>
          </w:p>
        </w:tc>
        <w:tc>
          <w:tcPr>
            <w:tcW w:w="1277" w:type="dxa"/>
            <w:shd w:val="clear" w:color="auto" w:fill="auto"/>
          </w:tcPr>
          <w:p w14:paraId="23BFE9E9" w14:textId="77777777" w:rsidR="004175F0" w:rsidRPr="00B939C6" w:rsidRDefault="004175F0" w:rsidP="00A728B1">
            <w:pPr>
              <w:spacing w:after="0"/>
              <w:ind w:left="69"/>
              <w:jc w:val="center"/>
              <w:rPr>
                <w:rFonts w:cs="Arial"/>
              </w:rPr>
            </w:pPr>
          </w:p>
        </w:tc>
      </w:tr>
      <w:tr w:rsidR="00EC7E47" w:rsidRPr="00B939C6" w14:paraId="0A77E025" w14:textId="77777777" w:rsidTr="00B939C6">
        <w:tc>
          <w:tcPr>
            <w:tcW w:w="2730" w:type="dxa"/>
          </w:tcPr>
          <w:p w14:paraId="26287B0E" w14:textId="77777777" w:rsidR="004175F0" w:rsidRPr="00B939C6" w:rsidRDefault="004175F0" w:rsidP="00A728B1">
            <w:pPr>
              <w:spacing w:after="0"/>
              <w:ind w:left="69"/>
              <w:rPr>
                <w:rFonts w:cs="Arial"/>
                <w:snapToGrid w:val="0"/>
              </w:rPr>
            </w:pPr>
            <w:r w:rsidRPr="00B939C6">
              <w:rPr>
                <w:rFonts w:cs="Arial"/>
                <w:snapToGrid w:val="0"/>
              </w:rPr>
              <w:t>(i) impozit pe profit</w:t>
            </w:r>
          </w:p>
        </w:tc>
        <w:tc>
          <w:tcPr>
            <w:tcW w:w="1559" w:type="dxa"/>
            <w:shd w:val="clear" w:color="auto" w:fill="auto"/>
          </w:tcPr>
          <w:p w14:paraId="7A05873F" w14:textId="77777777" w:rsidR="004175F0" w:rsidRPr="00B939C6" w:rsidRDefault="004175F0" w:rsidP="00A728B1">
            <w:pPr>
              <w:spacing w:after="0"/>
              <w:ind w:left="69"/>
              <w:jc w:val="center"/>
              <w:rPr>
                <w:rFonts w:cs="Arial"/>
              </w:rPr>
            </w:pPr>
          </w:p>
        </w:tc>
        <w:tc>
          <w:tcPr>
            <w:tcW w:w="1134" w:type="dxa"/>
            <w:shd w:val="clear" w:color="auto" w:fill="auto"/>
          </w:tcPr>
          <w:p w14:paraId="412280CF" w14:textId="77777777" w:rsidR="004175F0" w:rsidRPr="00B939C6" w:rsidRDefault="004175F0" w:rsidP="00A728B1">
            <w:pPr>
              <w:spacing w:after="0"/>
              <w:ind w:left="69"/>
              <w:jc w:val="center"/>
              <w:rPr>
                <w:rFonts w:cs="Arial"/>
              </w:rPr>
            </w:pPr>
          </w:p>
        </w:tc>
        <w:tc>
          <w:tcPr>
            <w:tcW w:w="1134" w:type="dxa"/>
            <w:shd w:val="clear" w:color="auto" w:fill="auto"/>
          </w:tcPr>
          <w:p w14:paraId="63B46807" w14:textId="77777777" w:rsidR="004175F0" w:rsidRPr="00B939C6" w:rsidRDefault="004175F0" w:rsidP="00A728B1">
            <w:pPr>
              <w:spacing w:after="0"/>
              <w:ind w:left="69"/>
              <w:jc w:val="center"/>
              <w:rPr>
                <w:rFonts w:cs="Arial"/>
              </w:rPr>
            </w:pPr>
          </w:p>
        </w:tc>
        <w:tc>
          <w:tcPr>
            <w:tcW w:w="1134" w:type="dxa"/>
            <w:shd w:val="clear" w:color="auto" w:fill="auto"/>
          </w:tcPr>
          <w:p w14:paraId="1B07C4CA" w14:textId="77777777" w:rsidR="004175F0" w:rsidRPr="00B939C6" w:rsidRDefault="004175F0" w:rsidP="00A728B1">
            <w:pPr>
              <w:spacing w:after="0"/>
              <w:ind w:left="69"/>
              <w:jc w:val="center"/>
              <w:rPr>
                <w:rFonts w:cs="Arial"/>
              </w:rPr>
            </w:pPr>
          </w:p>
        </w:tc>
        <w:tc>
          <w:tcPr>
            <w:tcW w:w="1133" w:type="dxa"/>
            <w:shd w:val="clear" w:color="auto" w:fill="auto"/>
          </w:tcPr>
          <w:p w14:paraId="1415309C" w14:textId="77777777" w:rsidR="004175F0" w:rsidRPr="00B939C6" w:rsidRDefault="004175F0" w:rsidP="00A728B1">
            <w:pPr>
              <w:spacing w:after="0"/>
              <w:ind w:left="69"/>
              <w:jc w:val="center"/>
              <w:rPr>
                <w:rFonts w:cs="Arial"/>
              </w:rPr>
            </w:pPr>
          </w:p>
        </w:tc>
        <w:tc>
          <w:tcPr>
            <w:tcW w:w="1277" w:type="dxa"/>
            <w:shd w:val="clear" w:color="auto" w:fill="auto"/>
          </w:tcPr>
          <w:p w14:paraId="0BF67F22" w14:textId="77777777" w:rsidR="004175F0" w:rsidRPr="00B939C6" w:rsidRDefault="004175F0" w:rsidP="00A728B1">
            <w:pPr>
              <w:spacing w:after="0"/>
              <w:ind w:left="69"/>
              <w:jc w:val="center"/>
              <w:rPr>
                <w:rFonts w:cs="Arial"/>
              </w:rPr>
            </w:pPr>
          </w:p>
        </w:tc>
      </w:tr>
      <w:tr w:rsidR="00EC7E47" w:rsidRPr="00B939C6" w14:paraId="3321A19F" w14:textId="77777777" w:rsidTr="00B939C6">
        <w:tc>
          <w:tcPr>
            <w:tcW w:w="2730" w:type="dxa"/>
          </w:tcPr>
          <w:p w14:paraId="33DEA609" w14:textId="77777777" w:rsidR="004175F0" w:rsidRPr="00B939C6" w:rsidRDefault="004175F0" w:rsidP="00A728B1">
            <w:pPr>
              <w:spacing w:after="0"/>
              <w:ind w:left="69"/>
              <w:rPr>
                <w:rFonts w:cs="Arial"/>
                <w:snapToGrid w:val="0"/>
              </w:rPr>
            </w:pPr>
            <w:r w:rsidRPr="00B939C6">
              <w:rPr>
                <w:rFonts w:cs="Arial"/>
                <w:snapToGrid w:val="0"/>
              </w:rPr>
              <w:t>c) bugetul asigurărilor sociale de stat:</w:t>
            </w:r>
          </w:p>
        </w:tc>
        <w:tc>
          <w:tcPr>
            <w:tcW w:w="1559" w:type="dxa"/>
            <w:shd w:val="clear" w:color="auto" w:fill="auto"/>
          </w:tcPr>
          <w:p w14:paraId="7F9482C1" w14:textId="77777777" w:rsidR="004175F0" w:rsidRPr="00B939C6" w:rsidRDefault="004175F0" w:rsidP="00A728B1">
            <w:pPr>
              <w:spacing w:after="0"/>
              <w:ind w:left="69"/>
              <w:jc w:val="center"/>
              <w:rPr>
                <w:rFonts w:cs="Arial"/>
              </w:rPr>
            </w:pPr>
          </w:p>
        </w:tc>
        <w:tc>
          <w:tcPr>
            <w:tcW w:w="1134" w:type="dxa"/>
            <w:shd w:val="clear" w:color="auto" w:fill="auto"/>
          </w:tcPr>
          <w:p w14:paraId="7F691DFF" w14:textId="77777777" w:rsidR="004175F0" w:rsidRPr="00B939C6" w:rsidRDefault="004175F0" w:rsidP="00A728B1">
            <w:pPr>
              <w:spacing w:after="0"/>
              <w:ind w:left="69"/>
              <w:jc w:val="center"/>
              <w:rPr>
                <w:rFonts w:cs="Arial"/>
              </w:rPr>
            </w:pPr>
          </w:p>
        </w:tc>
        <w:tc>
          <w:tcPr>
            <w:tcW w:w="1134" w:type="dxa"/>
            <w:shd w:val="clear" w:color="auto" w:fill="auto"/>
          </w:tcPr>
          <w:p w14:paraId="7EB0B173" w14:textId="77777777" w:rsidR="004175F0" w:rsidRPr="00B939C6" w:rsidRDefault="004175F0" w:rsidP="00A728B1">
            <w:pPr>
              <w:spacing w:after="0"/>
              <w:ind w:left="69"/>
              <w:jc w:val="center"/>
              <w:rPr>
                <w:rFonts w:cs="Arial"/>
              </w:rPr>
            </w:pPr>
          </w:p>
        </w:tc>
        <w:tc>
          <w:tcPr>
            <w:tcW w:w="1134" w:type="dxa"/>
            <w:shd w:val="clear" w:color="auto" w:fill="auto"/>
          </w:tcPr>
          <w:p w14:paraId="5B9485AE" w14:textId="77777777" w:rsidR="004175F0" w:rsidRPr="00B939C6" w:rsidRDefault="004175F0" w:rsidP="00A728B1">
            <w:pPr>
              <w:spacing w:after="0"/>
              <w:ind w:left="69"/>
              <w:jc w:val="center"/>
              <w:rPr>
                <w:rFonts w:cs="Arial"/>
              </w:rPr>
            </w:pPr>
          </w:p>
        </w:tc>
        <w:tc>
          <w:tcPr>
            <w:tcW w:w="1133" w:type="dxa"/>
            <w:shd w:val="clear" w:color="auto" w:fill="auto"/>
          </w:tcPr>
          <w:p w14:paraId="6BD95C9E" w14:textId="77777777" w:rsidR="004175F0" w:rsidRPr="00B939C6" w:rsidRDefault="004175F0" w:rsidP="00A728B1">
            <w:pPr>
              <w:spacing w:after="0"/>
              <w:ind w:left="69"/>
              <w:jc w:val="center"/>
              <w:rPr>
                <w:rFonts w:cs="Arial"/>
              </w:rPr>
            </w:pPr>
          </w:p>
        </w:tc>
        <w:tc>
          <w:tcPr>
            <w:tcW w:w="1277" w:type="dxa"/>
            <w:shd w:val="clear" w:color="auto" w:fill="auto"/>
          </w:tcPr>
          <w:p w14:paraId="0CC315A2" w14:textId="77777777" w:rsidR="004175F0" w:rsidRPr="00B939C6" w:rsidRDefault="004175F0" w:rsidP="00A728B1">
            <w:pPr>
              <w:spacing w:after="0"/>
              <w:ind w:left="69"/>
              <w:jc w:val="center"/>
              <w:rPr>
                <w:rFonts w:cs="Arial"/>
              </w:rPr>
            </w:pPr>
          </w:p>
        </w:tc>
      </w:tr>
      <w:tr w:rsidR="00EC7E47" w:rsidRPr="00B939C6" w14:paraId="106FE986" w14:textId="77777777" w:rsidTr="00B939C6">
        <w:tc>
          <w:tcPr>
            <w:tcW w:w="2730" w:type="dxa"/>
          </w:tcPr>
          <w:p w14:paraId="2C422C53" w14:textId="3F081C0F" w:rsidR="004175F0" w:rsidRPr="00B939C6" w:rsidRDefault="004175F0" w:rsidP="00A728B1">
            <w:pPr>
              <w:spacing w:after="0"/>
              <w:ind w:left="69"/>
              <w:rPr>
                <w:rFonts w:cs="Arial"/>
                <w:snapToGrid w:val="0"/>
              </w:rPr>
            </w:pPr>
            <w:r w:rsidRPr="00B939C6">
              <w:rPr>
                <w:rFonts w:cs="Arial"/>
                <w:snapToGrid w:val="0"/>
              </w:rPr>
              <w:t xml:space="preserve">(i) </w:t>
            </w:r>
            <w:r w:rsidR="00B939C6" w:rsidRPr="00B939C6">
              <w:rPr>
                <w:rFonts w:cs="Arial"/>
                <w:snapToGrid w:val="0"/>
              </w:rPr>
              <w:t>contribuții</w:t>
            </w:r>
            <w:r w:rsidRPr="00B939C6">
              <w:rPr>
                <w:rFonts w:cs="Arial"/>
                <w:snapToGrid w:val="0"/>
              </w:rPr>
              <w:t xml:space="preserve"> de asigurări</w:t>
            </w:r>
          </w:p>
        </w:tc>
        <w:tc>
          <w:tcPr>
            <w:tcW w:w="1559" w:type="dxa"/>
            <w:shd w:val="clear" w:color="auto" w:fill="auto"/>
          </w:tcPr>
          <w:p w14:paraId="01AB44A6" w14:textId="77777777" w:rsidR="004175F0" w:rsidRPr="00B939C6" w:rsidRDefault="004175F0" w:rsidP="00A728B1">
            <w:pPr>
              <w:spacing w:after="0"/>
              <w:ind w:left="69"/>
              <w:jc w:val="center"/>
              <w:rPr>
                <w:rFonts w:cs="Arial"/>
              </w:rPr>
            </w:pPr>
          </w:p>
        </w:tc>
        <w:tc>
          <w:tcPr>
            <w:tcW w:w="1134" w:type="dxa"/>
            <w:shd w:val="clear" w:color="auto" w:fill="auto"/>
          </w:tcPr>
          <w:p w14:paraId="22753546" w14:textId="77777777" w:rsidR="004175F0" w:rsidRPr="00B939C6" w:rsidRDefault="004175F0" w:rsidP="00A728B1">
            <w:pPr>
              <w:spacing w:after="0"/>
              <w:ind w:left="69"/>
              <w:jc w:val="center"/>
              <w:rPr>
                <w:rFonts w:cs="Arial"/>
              </w:rPr>
            </w:pPr>
          </w:p>
        </w:tc>
        <w:tc>
          <w:tcPr>
            <w:tcW w:w="1134" w:type="dxa"/>
            <w:shd w:val="clear" w:color="auto" w:fill="auto"/>
          </w:tcPr>
          <w:p w14:paraId="05899547" w14:textId="77777777" w:rsidR="004175F0" w:rsidRPr="00B939C6" w:rsidRDefault="004175F0" w:rsidP="00A728B1">
            <w:pPr>
              <w:spacing w:after="0"/>
              <w:ind w:left="69"/>
              <w:jc w:val="center"/>
              <w:rPr>
                <w:rFonts w:cs="Arial"/>
              </w:rPr>
            </w:pPr>
          </w:p>
        </w:tc>
        <w:tc>
          <w:tcPr>
            <w:tcW w:w="1134" w:type="dxa"/>
            <w:shd w:val="clear" w:color="auto" w:fill="auto"/>
          </w:tcPr>
          <w:p w14:paraId="0A307CEB" w14:textId="77777777" w:rsidR="004175F0" w:rsidRPr="00B939C6" w:rsidRDefault="004175F0" w:rsidP="00A728B1">
            <w:pPr>
              <w:spacing w:after="0"/>
              <w:ind w:left="69"/>
              <w:jc w:val="center"/>
              <w:rPr>
                <w:rFonts w:cs="Arial"/>
              </w:rPr>
            </w:pPr>
          </w:p>
        </w:tc>
        <w:tc>
          <w:tcPr>
            <w:tcW w:w="1133" w:type="dxa"/>
            <w:shd w:val="clear" w:color="auto" w:fill="auto"/>
          </w:tcPr>
          <w:p w14:paraId="0134F8B9" w14:textId="77777777" w:rsidR="004175F0" w:rsidRPr="00B939C6" w:rsidRDefault="004175F0" w:rsidP="00A728B1">
            <w:pPr>
              <w:spacing w:after="0"/>
              <w:ind w:left="69"/>
              <w:jc w:val="center"/>
              <w:rPr>
                <w:rFonts w:cs="Arial"/>
              </w:rPr>
            </w:pPr>
          </w:p>
        </w:tc>
        <w:tc>
          <w:tcPr>
            <w:tcW w:w="1277" w:type="dxa"/>
            <w:shd w:val="clear" w:color="auto" w:fill="auto"/>
          </w:tcPr>
          <w:p w14:paraId="68369145" w14:textId="77777777" w:rsidR="004175F0" w:rsidRPr="00B939C6" w:rsidRDefault="004175F0" w:rsidP="00A728B1">
            <w:pPr>
              <w:spacing w:after="0"/>
              <w:ind w:left="69"/>
              <w:jc w:val="center"/>
              <w:rPr>
                <w:rFonts w:cs="Arial"/>
              </w:rPr>
            </w:pPr>
          </w:p>
        </w:tc>
      </w:tr>
      <w:tr w:rsidR="004C68CA" w:rsidRPr="00B939C6" w14:paraId="5E736302" w14:textId="77777777" w:rsidTr="00B939C6">
        <w:tc>
          <w:tcPr>
            <w:tcW w:w="2730" w:type="dxa"/>
          </w:tcPr>
          <w:p w14:paraId="305E765F" w14:textId="77777777" w:rsidR="004C68CA" w:rsidRPr="00B939C6" w:rsidRDefault="004C68CA" w:rsidP="00A728B1">
            <w:pPr>
              <w:spacing w:after="0"/>
              <w:ind w:left="69"/>
              <w:rPr>
                <w:rFonts w:cs="Arial"/>
                <w:snapToGrid w:val="0"/>
              </w:rPr>
            </w:pPr>
            <w:r w:rsidRPr="00B939C6">
              <w:rPr>
                <w:rFonts w:cs="Arial"/>
                <w:snapToGrid w:val="0"/>
              </w:rPr>
              <w:t>2. Modificări ale cheltuielilor bugetare, plus/minus, din care:</w:t>
            </w:r>
          </w:p>
        </w:tc>
        <w:tc>
          <w:tcPr>
            <w:tcW w:w="1559" w:type="dxa"/>
            <w:tcBorders>
              <w:top w:val="single" w:sz="4" w:space="0" w:color="auto"/>
              <w:left w:val="single" w:sz="4" w:space="0" w:color="auto"/>
              <w:bottom w:val="single" w:sz="4" w:space="0" w:color="auto"/>
              <w:right w:val="single" w:sz="4" w:space="0" w:color="auto"/>
            </w:tcBorders>
          </w:tcPr>
          <w:p w14:paraId="32EFF94C"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3B3BA9D5"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7AEF2652"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439DFEBE" w14:textId="77777777" w:rsidR="004C68CA" w:rsidRPr="00B939C6" w:rsidRDefault="004C68CA" w:rsidP="00A728B1">
            <w:pPr>
              <w:spacing w:after="0"/>
              <w:ind w:left="69"/>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1F4288AE" w14:textId="77777777" w:rsidR="004C68CA" w:rsidRPr="00B939C6" w:rsidRDefault="004C68CA" w:rsidP="00A728B1">
            <w:pPr>
              <w:spacing w:after="0"/>
              <w:ind w:left="69"/>
              <w:rPr>
                <w:rFonts w:cs="Arial"/>
              </w:rPr>
            </w:pPr>
          </w:p>
        </w:tc>
        <w:tc>
          <w:tcPr>
            <w:tcW w:w="1277" w:type="dxa"/>
            <w:tcBorders>
              <w:top w:val="single" w:sz="4" w:space="0" w:color="auto"/>
              <w:left w:val="single" w:sz="4" w:space="0" w:color="auto"/>
              <w:bottom w:val="single" w:sz="4" w:space="0" w:color="auto"/>
              <w:right w:val="single" w:sz="4" w:space="0" w:color="auto"/>
            </w:tcBorders>
          </w:tcPr>
          <w:p w14:paraId="568243E4" w14:textId="77777777" w:rsidR="004C68CA" w:rsidRPr="00B939C6" w:rsidRDefault="004C68CA" w:rsidP="00A728B1">
            <w:pPr>
              <w:spacing w:after="0"/>
              <w:ind w:left="69"/>
              <w:jc w:val="center"/>
              <w:rPr>
                <w:rFonts w:cs="Arial"/>
              </w:rPr>
            </w:pPr>
          </w:p>
        </w:tc>
      </w:tr>
      <w:tr w:rsidR="004C68CA" w:rsidRPr="00B939C6" w14:paraId="14652374" w14:textId="77777777" w:rsidTr="00B939C6">
        <w:tc>
          <w:tcPr>
            <w:tcW w:w="2730" w:type="dxa"/>
          </w:tcPr>
          <w:p w14:paraId="0BAA341F" w14:textId="77777777" w:rsidR="004C68CA" w:rsidRPr="00B939C6" w:rsidRDefault="004C68CA" w:rsidP="00A728B1">
            <w:pPr>
              <w:spacing w:after="0"/>
              <w:ind w:left="69"/>
              <w:rPr>
                <w:rFonts w:cs="Arial"/>
                <w:snapToGrid w:val="0"/>
              </w:rPr>
            </w:pPr>
            <w:r w:rsidRPr="00B939C6">
              <w:rPr>
                <w:rFonts w:cs="Arial"/>
                <w:snapToGrid w:val="0"/>
              </w:rPr>
              <w:t>a) buget de stat, din acesta:</w:t>
            </w:r>
          </w:p>
        </w:tc>
        <w:tc>
          <w:tcPr>
            <w:tcW w:w="1559" w:type="dxa"/>
            <w:tcBorders>
              <w:top w:val="single" w:sz="4" w:space="0" w:color="auto"/>
              <w:left w:val="single" w:sz="4" w:space="0" w:color="auto"/>
              <w:bottom w:val="single" w:sz="4" w:space="0" w:color="auto"/>
              <w:right w:val="single" w:sz="4" w:space="0" w:color="auto"/>
            </w:tcBorders>
          </w:tcPr>
          <w:p w14:paraId="1B9E4E6C"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33351D0"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02D66478" w14:textId="77777777" w:rsidR="004C68CA" w:rsidRPr="00B939C6" w:rsidRDefault="004C68CA" w:rsidP="00A728B1">
            <w:pPr>
              <w:spacing w:after="0"/>
              <w:ind w:left="69"/>
              <w:rPr>
                <w:rFonts w:cs="Arial"/>
              </w:rPr>
            </w:pPr>
          </w:p>
        </w:tc>
        <w:tc>
          <w:tcPr>
            <w:tcW w:w="1134" w:type="dxa"/>
            <w:tcBorders>
              <w:top w:val="single" w:sz="4" w:space="0" w:color="auto"/>
              <w:left w:val="single" w:sz="4" w:space="0" w:color="auto"/>
              <w:bottom w:val="single" w:sz="4" w:space="0" w:color="auto"/>
              <w:right w:val="single" w:sz="4" w:space="0" w:color="auto"/>
            </w:tcBorders>
          </w:tcPr>
          <w:p w14:paraId="75D90324" w14:textId="77777777" w:rsidR="004C68CA" w:rsidRPr="00B939C6" w:rsidRDefault="004C68CA" w:rsidP="00A728B1">
            <w:pPr>
              <w:spacing w:after="0"/>
              <w:ind w:left="69"/>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215A7B16" w14:textId="77777777" w:rsidR="004C68CA" w:rsidRPr="00B939C6" w:rsidRDefault="004C68CA" w:rsidP="00A728B1">
            <w:pPr>
              <w:spacing w:after="0"/>
              <w:ind w:left="69"/>
              <w:jc w:val="center"/>
              <w:rPr>
                <w:rFonts w:cs="Arial"/>
              </w:rPr>
            </w:pPr>
          </w:p>
        </w:tc>
        <w:tc>
          <w:tcPr>
            <w:tcW w:w="1277" w:type="dxa"/>
            <w:tcBorders>
              <w:top w:val="single" w:sz="4" w:space="0" w:color="auto"/>
              <w:left w:val="single" w:sz="4" w:space="0" w:color="auto"/>
              <w:bottom w:val="single" w:sz="4" w:space="0" w:color="auto"/>
              <w:right w:val="single" w:sz="4" w:space="0" w:color="auto"/>
            </w:tcBorders>
          </w:tcPr>
          <w:p w14:paraId="2730C0E7" w14:textId="77777777" w:rsidR="004C68CA" w:rsidRPr="00B939C6" w:rsidRDefault="004C68CA" w:rsidP="00A728B1">
            <w:pPr>
              <w:spacing w:after="0"/>
              <w:ind w:left="69"/>
              <w:jc w:val="center"/>
              <w:rPr>
                <w:rFonts w:cs="Arial"/>
              </w:rPr>
            </w:pPr>
          </w:p>
        </w:tc>
      </w:tr>
      <w:tr w:rsidR="004C68CA" w:rsidRPr="00B939C6" w14:paraId="3ED94239" w14:textId="77777777" w:rsidTr="00B939C6">
        <w:tc>
          <w:tcPr>
            <w:tcW w:w="2730" w:type="dxa"/>
          </w:tcPr>
          <w:p w14:paraId="070DE233" w14:textId="77777777" w:rsidR="004C68CA" w:rsidRPr="00B939C6" w:rsidRDefault="004C68CA" w:rsidP="00A728B1">
            <w:pPr>
              <w:spacing w:after="0"/>
              <w:ind w:left="69"/>
              <w:rPr>
                <w:rFonts w:cs="Arial"/>
                <w:snapToGrid w:val="0"/>
              </w:rPr>
            </w:pPr>
            <w:r w:rsidRPr="00B939C6">
              <w:rPr>
                <w:rFonts w:cs="Arial"/>
                <w:snapToGrid w:val="0"/>
              </w:rPr>
              <w:t>(i) cheltuieli de personal</w:t>
            </w:r>
          </w:p>
        </w:tc>
        <w:tc>
          <w:tcPr>
            <w:tcW w:w="1559" w:type="dxa"/>
            <w:tcBorders>
              <w:top w:val="single" w:sz="4" w:space="0" w:color="auto"/>
              <w:left w:val="single" w:sz="4" w:space="0" w:color="auto"/>
              <w:bottom w:val="single" w:sz="4" w:space="0" w:color="auto"/>
              <w:right w:val="single" w:sz="4" w:space="0" w:color="auto"/>
            </w:tcBorders>
          </w:tcPr>
          <w:p w14:paraId="3AAB75D3" w14:textId="77777777" w:rsidR="004C68CA" w:rsidRPr="00B939C6" w:rsidRDefault="004C68CA" w:rsidP="00A728B1">
            <w:pPr>
              <w:spacing w:after="0"/>
              <w:ind w:left="69"/>
              <w:rPr>
                <w:rFonts w:cs="Arial"/>
              </w:rPr>
            </w:pPr>
          </w:p>
        </w:tc>
        <w:tc>
          <w:tcPr>
            <w:tcW w:w="1134" w:type="dxa"/>
            <w:tcBorders>
              <w:top w:val="single" w:sz="4" w:space="0" w:color="auto"/>
              <w:left w:val="single" w:sz="4" w:space="0" w:color="auto"/>
              <w:bottom w:val="single" w:sz="4" w:space="0" w:color="auto"/>
              <w:right w:val="single" w:sz="4" w:space="0" w:color="auto"/>
            </w:tcBorders>
          </w:tcPr>
          <w:p w14:paraId="5ED3FB70"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0561E516" w14:textId="77777777" w:rsidR="004C68CA" w:rsidRPr="00B939C6" w:rsidRDefault="004C68CA" w:rsidP="00A728B1">
            <w:pPr>
              <w:spacing w:after="0"/>
              <w:ind w:left="69"/>
              <w:rPr>
                <w:rFonts w:cs="Arial"/>
              </w:rPr>
            </w:pPr>
          </w:p>
        </w:tc>
        <w:tc>
          <w:tcPr>
            <w:tcW w:w="1134" w:type="dxa"/>
            <w:tcBorders>
              <w:top w:val="single" w:sz="4" w:space="0" w:color="auto"/>
              <w:left w:val="single" w:sz="4" w:space="0" w:color="auto"/>
              <w:bottom w:val="single" w:sz="4" w:space="0" w:color="auto"/>
              <w:right w:val="single" w:sz="4" w:space="0" w:color="auto"/>
            </w:tcBorders>
          </w:tcPr>
          <w:p w14:paraId="179E37F7" w14:textId="77777777" w:rsidR="004C68CA" w:rsidRPr="00B939C6" w:rsidRDefault="004C68CA" w:rsidP="00A728B1">
            <w:pPr>
              <w:spacing w:after="0"/>
              <w:ind w:left="69"/>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2BD5B056" w14:textId="77777777" w:rsidR="004C68CA" w:rsidRPr="00B939C6" w:rsidRDefault="004C68CA" w:rsidP="00A728B1">
            <w:pPr>
              <w:spacing w:after="0"/>
              <w:ind w:left="69"/>
              <w:jc w:val="center"/>
              <w:rPr>
                <w:rFonts w:cs="Arial"/>
              </w:rPr>
            </w:pPr>
          </w:p>
        </w:tc>
        <w:tc>
          <w:tcPr>
            <w:tcW w:w="1277" w:type="dxa"/>
            <w:tcBorders>
              <w:top w:val="single" w:sz="4" w:space="0" w:color="auto"/>
              <w:left w:val="single" w:sz="4" w:space="0" w:color="auto"/>
              <w:bottom w:val="single" w:sz="4" w:space="0" w:color="auto"/>
              <w:right w:val="single" w:sz="4" w:space="0" w:color="auto"/>
            </w:tcBorders>
          </w:tcPr>
          <w:p w14:paraId="3FDA9029" w14:textId="77777777" w:rsidR="004C68CA" w:rsidRPr="00B939C6" w:rsidRDefault="004C68CA" w:rsidP="00A728B1">
            <w:pPr>
              <w:spacing w:after="0"/>
              <w:ind w:left="69"/>
              <w:rPr>
                <w:rFonts w:cs="Arial"/>
              </w:rPr>
            </w:pPr>
          </w:p>
        </w:tc>
      </w:tr>
      <w:tr w:rsidR="004C68CA" w:rsidRPr="00B939C6" w14:paraId="0DE6006D" w14:textId="77777777" w:rsidTr="00B939C6">
        <w:tc>
          <w:tcPr>
            <w:tcW w:w="2730" w:type="dxa"/>
          </w:tcPr>
          <w:p w14:paraId="2FCE4991" w14:textId="1FDF162B" w:rsidR="004C68CA" w:rsidRPr="00B939C6" w:rsidRDefault="004C68CA" w:rsidP="00A728B1">
            <w:pPr>
              <w:spacing w:after="0"/>
              <w:ind w:left="69"/>
              <w:rPr>
                <w:rFonts w:cs="Arial"/>
                <w:snapToGrid w:val="0"/>
              </w:rPr>
            </w:pPr>
            <w:r w:rsidRPr="00B939C6">
              <w:rPr>
                <w:rFonts w:cs="Arial"/>
                <w:snapToGrid w:val="0"/>
              </w:rPr>
              <w:t xml:space="preserve">(ii) bunuri </w:t>
            </w:r>
            <w:r w:rsidR="00237758" w:rsidRPr="00B939C6">
              <w:rPr>
                <w:rFonts w:cs="Arial"/>
                <w:snapToGrid w:val="0"/>
              </w:rPr>
              <w:t>și</w:t>
            </w:r>
            <w:r w:rsidRPr="00B939C6">
              <w:rPr>
                <w:rFonts w:cs="Arial"/>
                <w:snapToGrid w:val="0"/>
              </w:rPr>
              <w:t xml:space="preserve"> servicii</w:t>
            </w:r>
          </w:p>
        </w:tc>
        <w:tc>
          <w:tcPr>
            <w:tcW w:w="1559" w:type="dxa"/>
            <w:tcBorders>
              <w:top w:val="single" w:sz="4" w:space="0" w:color="auto"/>
              <w:left w:val="single" w:sz="4" w:space="0" w:color="auto"/>
              <w:bottom w:val="single" w:sz="4" w:space="0" w:color="auto"/>
              <w:right w:val="single" w:sz="4" w:space="0" w:color="auto"/>
            </w:tcBorders>
          </w:tcPr>
          <w:p w14:paraId="17E916BF"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641A5368"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60FEBB8F"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76E43AD" w14:textId="77777777" w:rsidR="004C68CA" w:rsidRPr="00B939C6" w:rsidRDefault="004C68CA" w:rsidP="00A728B1">
            <w:pPr>
              <w:spacing w:after="0"/>
              <w:ind w:left="69"/>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4C271ECF" w14:textId="77777777" w:rsidR="004C68CA" w:rsidRPr="00B939C6" w:rsidRDefault="004C68CA" w:rsidP="00A728B1">
            <w:pPr>
              <w:spacing w:after="0"/>
              <w:ind w:left="69"/>
              <w:jc w:val="center"/>
              <w:rPr>
                <w:rFonts w:cs="Arial"/>
              </w:rPr>
            </w:pPr>
          </w:p>
        </w:tc>
        <w:tc>
          <w:tcPr>
            <w:tcW w:w="1277" w:type="dxa"/>
            <w:tcBorders>
              <w:top w:val="single" w:sz="4" w:space="0" w:color="auto"/>
              <w:left w:val="single" w:sz="4" w:space="0" w:color="auto"/>
              <w:bottom w:val="single" w:sz="4" w:space="0" w:color="auto"/>
              <w:right w:val="single" w:sz="4" w:space="0" w:color="auto"/>
            </w:tcBorders>
          </w:tcPr>
          <w:p w14:paraId="13D5D8AC" w14:textId="77777777" w:rsidR="004C68CA" w:rsidRPr="00B939C6" w:rsidRDefault="004C68CA" w:rsidP="00A728B1">
            <w:pPr>
              <w:spacing w:after="0"/>
              <w:ind w:left="69"/>
              <w:jc w:val="center"/>
              <w:rPr>
                <w:rFonts w:cs="Arial"/>
              </w:rPr>
            </w:pPr>
          </w:p>
        </w:tc>
      </w:tr>
      <w:tr w:rsidR="004C68CA" w:rsidRPr="00B939C6" w14:paraId="7CFF967B" w14:textId="77777777" w:rsidTr="00B939C6">
        <w:tc>
          <w:tcPr>
            <w:tcW w:w="2730" w:type="dxa"/>
          </w:tcPr>
          <w:p w14:paraId="4BAB0314" w14:textId="77777777" w:rsidR="004C68CA" w:rsidRPr="00B939C6" w:rsidRDefault="004C68CA" w:rsidP="00A728B1">
            <w:pPr>
              <w:spacing w:after="0"/>
              <w:ind w:left="69"/>
              <w:rPr>
                <w:rFonts w:cs="Arial"/>
                <w:snapToGrid w:val="0"/>
              </w:rPr>
            </w:pPr>
            <w:r w:rsidRPr="00B939C6">
              <w:rPr>
                <w:rFonts w:cs="Arial"/>
                <w:snapToGrid w:val="0"/>
              </w:rPr>
              <w:t>b) bugete locale</w:t>
            </w:r>
          </w:p>
        </w:tc>
        <w:tc>
          <w:tcPr>
            <w:tcW w:w="1559" w:type="dxa"/>
            <w:tcBorders>
              <w:top w:val="single" w:sz="4" w:space="0" w:color="auto"/>
              <w:left w:val="single" w:sz="4" w:space="0" w:color="auto"/>
              <w:bottom w:val="single" w:sz="4" w:space="0" w:color="auto"/>
              <w:right w:val="single" w:sz="4" w:space="0" w:color="auto"/>
            </w:tcBorders>
          </w:tcPr>
          <w:p w14:paraId="7AA1F9EB"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32FD9C8A"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466B30D3"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193CEE90" w14:textId="77777777" w:rsidR="004C68CA" w:rsidRPr="00B939C6" w:rsidRDefault="004C68CA" w:rsidP="00A728B1">
            <w:pPr>
              <w:spacing w:after="0"/>
              <w:ind w:left="69"/>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5198D0F8" w14:textId="77777777" w:rsidR="004C68CA" w:rsidRPr="00B939C6" w:rsidRDefault="004C68CA" w:rsidP="00A728B1">
            <w:pPr>
              <w:spacing w:after="0"/>
              <w:ind w:left="69"/>
              <w:jc w:val="center"/>
              <w:rPr>
                <w:rFonts w:cs="Arial"/>
              </w:rPr>
            </w:pPr>
          </w:p>
        </w:tc>
        <w:tc>
          <w:tcPr>
            <w:tcW w:w="1277" w:type="dxa"/>
            <w:tcBorders>
              <w:top w:val="single" w:sz="4" w:space="0" w:color="auto"/>
              <w:left w:val="single" w:sz="4" w:space="0" w:color="auto"/>
              <w:bottom w:val="single" w:sz="4" w:space="0" w:color="auto"/>
              <w:right w:val="single" w:sz="4" w:space="0" w:color="auto"/>
            </w:tcBorders>
          </w:tcPr>
          <w:p w14:paraId="6E959EF2" w14:textId="77777777" w:rsidR="004C68CA" w:rsidRPr="00B939C6" w:rsidRDefault="004C68CA" w:rsidP="00A728B1">
            <w:pPr>
              <w:spacing w:after="0"/>
              <w:ind w:left="69"/>
              <w:jc w:val="center"/>
              <w:rPr>
                <w:rFonts w:cs="Arial"/>
              </w:rPr>
            </w:pPr>
          </w:p>
        </w:tc>
      </w:tr>
      <w:tr w:rsidR="004C68CA" w:rsidRPr="00B939C6" w14:paraId="284951FD" w14:textId="77777777" w:rsidTr="00B939C6">
        <w:tc>
          <w:tcPr>
            <w:tcW w:w="2730" w:type="dxa"/>
          </w:tcPr>
          <w:p w14:paraId="743CF487" w14:textId="77777777" w:rsidR="004C68CA" w:rsidRPr="00B939C6" w:rsidRDefault="004C68CA" w:rsidP="00A728B1">
            <w:pPr>
              <w:spacing w:after="0"/>
              <w:ind w:left="69"/>
              <w:rPr>
                <w:rFonts w:cs="Arial"/>
                <w:snapToGrid w:val="0"/>
              </w:rPr>
            </w:pPr>
            <w:r w:rsidRPr="00B939C6">
              <w:rPr>
                <w:rFonts w:cs="Arial"/>
                <w:snapToGrid w:val="0"/>
              </w:rPr>
              <w:t>(i) cheltuieli de personal</w:t>
            </w:r>
          </w:p>
        </w:tc>
        <w:tc>
          <w:tcPr>
            <w:tcW w:w="1559" w:type="dxa"/>
            <w:tcBorders>
              <w:top w:val="single" w:sz="4" w:space="0" w:color="auto"/>
              <w:left w:val="single" w:sz="4" w:space="0" w:color="auto"/>
              <w:bottom w:val="single" w:sz="4" w:space="0" w:color="auto"/>
              <w:right w:val="single" w:sz="4" w:space="0" w:color="auto"/>
            </w:tcBorders>
          </w:tcPr>
          <w:p w14:paraId="617DC505" w14:textId="77777777" w:rsidR="004C68CA" w:rsidRPr="00B939C6" w:rsidRDefault="004C68CA" w:rsidP="00A728B1">
            <w:pPr>
              <w:spacing w:after="0"/>
              <w:ind w:left="69"/>
              <w:rPr>
                <w:rFonts w:cs="Arial"/>
              </w:rPr>
            </w:pPr>
          </w:p>
        </w:tc>
        <w:tc>
          <w:tcPr>
            <w:tcW w:w="1134" w:type="dxa"/>
            <w:tcBorders>
              <w:top w:val="single" w:sz="4" w:space="0" w:color="auto"/>
              <w:left w:val="single" w:sz="4" w:space="0" w:color="auto"/>
              <w:bottom w:val="single" w:sz="4" w:space="0" w:color="auto"/>
              <w:right w:val="single" w:sz="4" w:space="0" w:color="auto"/>
            </w:tcBorders>
          </w:tcPr>
          <w:p w14:paraId="30FC32E6" w14:textId="77777777" w:rsidR="004C68CA" w:rsidRPr="00B939C6" w:rsidRDefault="004C68CA" w:rsidP="00A728B1">
            <w:pPr>
              <w:spacing w:after="0"/>
              <w:ind w:left="69"/>
              <w:rPr>
                <w:rFonts w:cs="Arial"/>
              </w:rPr>
            </w:pPr>
          </w:p>
        </w:tc>
        <w:tc>
          <w:tcPr>
            <w:tcW w:w="1134" w:type="dxa"/>
            <w:tcBorders>
              <w:top w:val="single" w:sz="4" w:space="0" w:color="auto"/>
              <w:left w:val="single" w:sz="4" w:space="0" w:color="auto"/>
              <w:bottom w:val="single" w:sz="4" w:space="0" w:color="auto"/>
              <w:right w:val="single" w:sz="4" w:space="0" w:color="auto"/>
            </w:tcBorders>
          </w:tcPr>
          <w:p w14:paraId="5639727A" w14:textId="77777777" w:rsidR="004C68CA" w:rsidRPr="00B939C6" w:rsidRDefault="004C68CA" w:rsidP="00A728B1">
            <w:pPr>
              <w:spacing w:after="0"/>
              <w:ind w:left="69"/>
              <w:rPr>
                <w:rFonts w:cs="Arial"/>
              </w:rPr>
            </w:pPr>
          </w:p>
        </w:tc>
        <w:tc>
          <w:tcPr>
            <w:tcW w:w="1134" w:type="dxa"/>
            <w:tcBorders>
              <w:top w:val="single" w:sz="4" w:space="0" w:color="auto"/>
              <w:left w:val="single" w:sz="4" w:space="0" w:color="auto"/>
              <w:bottom w:val="single" w:sz="4" w:space="0" w:color="auto"/>
              <w:right w:val="single" w:sz="4" w:space="0" w:color="auto"/>
            </w:tcBorders>
          </w:tcPr>
          <w:p w14:paraId="74E992C0" w14:textId="77777777" w:rsidR="004C68CA" w:rsidRPr="00B939C6" w:rsidRDefault="004C68CA" w:rsidP="00A728B1">
            <w:pPr>
              <w:spacing w:after="0"/>
              <w:ind w:left="69"/>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3FAFC730" w14:textId="77777777" w:rsidR="004C68CA" w:rsidRPr="00B939C6" w:rsidRDefault="004C68CA" w:rsidP="00A728B1">
            <w:pPr>
              <w:spacing w:after="0"/>
              <w:ind w:left="69"/>
              <w:jc w:val="center"/>
              <w:rPr>
                <w:rFonts w:cs="Arial"/>
              </w:rPr>
            </w:pPr>
          </w:p>
        </w:tc>
        <w:tc>
          <w:tcPr>
            <w:tcW w:w="1277" w:type="dxa"/>
            <w:tcBorders>
              <w:top w:val="single" w:sz="4" w:space="0" w:color="auto"/>
              <w:left w:val="single" w:sz="4" w:space="0" w:color="auto"/>
              <w:bottom w:val="single" w:sz="4" w:space="0" w:color="auto"/>
              <w:right w:val="single" w:sz="4" w:space="0" w:color="auto"/>
            </w:tcBorders>
          </w:tcPr>
          <w:p w14:paraId="55794498" w14:textId="77777777" w:rsidR="004C68CA" w:rsidRPr="00B939C6" w:rsidRDefault="004C68CA" w:rsidP="00A728B1">
            <w:pPr>
              <w:spacing w:after="0"/>
              <w:ind w:left="69"/>
              <w:rPr>
                <w:rFonts w:cs="Arial"/>
              </w:rPr>
            </w:pPr>
          </w:p>
        </w:tc>
      </w:tr>
      <w:tr w:rsidR="004C68CA" w:rsidRPr="00B939C6" w14:paraId="20441D26" w14:textId="77777777" w:rsidTr="00B939C6">
        <w:tc>
          <w:tcPr>
            <w:tcW w:w="2730" w:type="dxa"/>
          </w:tcPr>
          <w:p w14:paraId="1FDB176D" w14:textId="6F1F62C4" w:rsidR="004C68CA" w:rsidRPr="00B939C6" w:rsidRDefault="004C68CA" w:rsidP="00A728B1">
            <w:pPr>
              <w:spacing w:after="0"/>
              <w:ind w:left="69"/>
              <w:rPr>
                <w:rFonts w:cs="Arial"/>
                <w:snapToGrid w:val="0"/>
              </w:rPr>
            </w:pPr>
            <w:r w:rsidRPr="00B939C6">
              <w:rPr>
                <w:rFonts w:cs="Arial"/>
                <w:snapToGrid w:val="0"/>
              </w:rPr>
              <w:t xml:space="preserve">(ii) bunuri </w:t>
            </w:r>
            <w:r w:rsidR="00237758" w:rsidRPr="00B939C6">
              <w:rPr>
                <w:rFonts w:cs="Arial"/>
                <w:snapToGrid w:val="0"/>
              </w:rPr>
              <w:t>și</w:t>
            </w:r>
            <w:r w:rsidRPr="00B939C6">
              <w:rPr>
                <w:rFonts w:cs="Arial"/>
                <w:snapToGrid w:val="0"/>
              </w:rPr>
              <w:t xml:space="preserve"> servicii</w:t>
            </w:r>
          </w:p>
        </w:tc>
        <w:tc>
          <w:tcPr>
            <w:tcW w:w="1559" w:type="dxa"/>
            <w:tcBorders>
              <w:top w:val="single" w:sz="4" w:space="0" w:color="auto"/>
              <w:left w:val="single" w:sz="4" w:space="0" w:color="auto"/>
              <w:bottom w:val="single" w:sz="4" w:space="0" w:color="auto"/>
              <w:right w:val="single" w:sz="4" w:space="0" w:color="auto"/>
            </w:tcBorders>
          </w:tcPr>
          <w:p w14:paraId="331E7323"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3233C495"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07094AD2"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0A8800BB" w14:textId="77777777" w:rsidR="004C68CA" w:rsidRPr="00B939C6" w:rsidRDefault="004C68CA" w:rsidP="00A728B1">
            <w:pPr>
              <w:spacing w:after="0"/>
              <w:ind w:left="69"/>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1E90C061" w14:textId="77777777" w:rsidR="004C68CA" w:rsidRPr="00B939C6" w:rsidRDefault="004C68CA" w:rsidP="00A728B1">
            <w:pPr>
              <w:spacing w:after="0"/>
              <w:ind w:left="69"/>
              <w:jc w:val="center"/>
              <w:rPr>
                <w:rFonts w:cs="Arial"/>
              </w:rPr>
            </w:pPr>
          </w:p>
        </w:tc>
        <w:tc>
          <w:tcPr>
            <w:tcW w:w="1277" w:type="dxa"/>
            <w:tcBorders>
              <w:top w:val="single" w:sz="4" w:space="0" w:color="auto"/>
              <w:left w:val="single" w:sz="4" w:space="0" w:color="auto"/>
              <w:bottom w:val="single" w:sz="4" w:space="0" w:color="auto"/>
              <w:right w:val="single" w:sz="4" w:space="0" w:color="auto"/>
            </w:tcBorders>
          </w:tcPr>
          <w:p w14:paraId="323116CA" w14:textId="77777777" w:rsidR="004C68CA" w:rsidRPr="00B939C6" w:rsidRDefault="004C68CA" w:rsidP="00A728B1">
            <w:pPr>
              <w:spacing w:after="0"/>
              <w:ind w:left="69"/>
              <w:jc w:val="center"/>
              <w:rPr>
                <w:rFonts w:cs="Arial"/>
              </w:rPr>
            </w:pPr>
          </w:p>
        </w:tc>
      </w:tr>
      <w:tr w:rsidR="004C68CA" w:rsidRPr="00B939C6" w14:paraId="2130E8F0" w14:textId="77777777" w:rsidTr="00B939C6">
        <w:tc>
          <w:tcPr>
            <w:tcW w:w="2730" w:type="dxa"/>
          </w:tcPr>
          <w:p w14:paraId="701F0581" w14:textId="77777777" w:rsidR="004C68CA" w:rsidRPr="00B939C6" w:rsidRDefault="004C68CA" w:rsidP="00A728B1">
            <w:pPr>
              <w:spacing w:after="0"/>
              <w:ind w:left="69"/>
              <w:rPr>
                <w:rFonts w:cs="Arial"/>
                <w:snapToGrid w:val="0"/>
              </w:rPr>
            </w:pPr>
            <w:r w:rsidRPr="00B939C6">
              <w:rPr>
                <w:rFonts w:cs="Arial"/>
                <w:snapToGrid w:val="0"/>
              </w:rPr>
              <w:t>c) bugetul asigurărilor sociale de stat:</w:t>
            </w:r>
          </w:p>
        </w:tc>
        <w:tc>
          <w:tcPr>
            <w:tcW w:w="1559" w:type="dxa"/>
            <w:tcBorders>
              <w:top w:val="single" w:sz="4" w:space="0" w:color="auto"/>
              <w:left w:val="single" w:sz="4" w:space="0" w:color="auto"/>
              <w:bottom w:val="single" w:sz="4" w:space="0" w:color="auto"/>
              <w:right w:val="single" w:sz="4" w:space="0" w:color="auto"/>
            </w:tcBorders>
          </w:tcPr>
          <w:p w14:paraId="712329BC"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6D050582"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74B141F0"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4F3B7BD0" w14:textId="77777777" w:rsidR="004C68CA" w:rsidRPr="00B939C6" w:rsidRDefault="004C68CA" w:rsidP="00A728B1">
            <w:pPr>
              <w:spacing w:after="0"/>
              <w:ind w:left="69"/>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3809BC7F" w14:textId="77777777" w:rsidR="004C68CA" w:rsidRPr="00B939C6" w:rsidRDefault="004C68CA" w:rsidP="00A728B1">
            <w:pPr>
              <w:spacing w:after="0"/>
              <w:ind w:left="69"/>
              <w:jc w:val="center"/>
              <w:rPr>
                <w:rFonts w:cs="Arial"/>
              </w:rPr>
            </w:pPr>
          </w:p>
        </w:tc>
        <w:tc>
          <w:tcPr>
            <w:tcW w:w="1277" w:type="dxa"/>
            <w:tcBorders>
              <w:top w:val="single" w:sz="4" w:space="0" w:color="auto"/>
              <w:left w:val="single" w:sz="4" w:space="0" w:color="auto"/>
              <w:bottom w:val="single" w:sz="4" w:space="0" w:color="auto"/>
              <w:right w:val="single" w:sz="4" w:space="0" w:color="auto"/>
            </w:tcBorders>
          </w:tcPr>
          <w:p w14:paraId="6891171F" w14:textId="77777777" w:rsidR="004C68CA" w:rsidRPr="00B939C6" w:rsidRDefault="004C68CA" w:rsidP="00A728B1">
            <w:pPr>
              <w:spacing w:after="0"/>
              <w:ind w:left="69"/>
              <w:jc w:val="center"/>
              <w:rPr>
                <w:rFonts w:cs="Arial"/>
              </w:rPr>
            </w:pPr>
          </w:p>
        </w:tc>
      </w:tr>
      <w:tr w:rsidR="004C68CA" w:rsidRPr="00B939C6" w14:paraId="25B4B506" w14:textId="77777777" w:rsidTr="00B939C6">
        <w:tc>
          <w:tcPr>
            <w:tcW w:w="2730" w:type="dxa"/>
          </w:tcPr>
          <w:p w14:paraId="6C650F82" w14:textId="77777777" w:rsidR="004C68CA" w:rsidRPr="00B939C6" w:rsidRDefault="004C68CA" w:rsidP="00A728B1">
            <w:pPr>
              <w:spacing w:after="0"/>
              <w:ind w:left="69"/>
              <w:rPr>
                <w:rFonts w:cs="Arial"/>
                <w:snapToGrid w:val="0"/>
              </w:rPr>
            </w:pPr>
            <w:r w:rsidRPr="00B939C6">
              <w:rPr>
                <w:rFonts w:cs="Arial"/>
                <w:snapToGrid w:val="0"/>
              </w:rPr>
              <w:t>(i) cheltuieli de personal</w:t>
            </w:r>
          </w:p>
        </w:tc>
        <w:tc>
          <w:tcPr>
            <w:tcW w:w="1559" w:type="dxa"/>
            <w:tcBorders>
              <w:top w:val="single" w:sz="4" w:space="0" w:color="auto"/>
              <w:left w:val="single" w:sz="4" w:space="0" w:color="auto"/>
              <w:bottom w:val="single" w:sz="4" w:space="0" w:color="auto"/>
              <w:right w:val="single" w:sz="4" w:space="0" w:color="auto"/>
            </w:tcBorders>
          </w:tcPr>
          <w:p w14:paraId="7C10E3A3"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EF9D655"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41A046EE"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3CCE0050" w14:textId="77777777" w:rsidR="004C68CA" w:rsidRPr="00B939C6" w:rsidRDefault="004C68CA" w:rsidP="00A728B1">
            <w:pPr>
              <w:spacing w:after="0"/>
              <w:ind w:left="69"/>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45EECD76" w14:textId="77777777" w:rsidR="004C68CA" w:rsidRPr="00B939C6" w:rsidRDefault="004C68CA" w:rsidP="00A728B1">
            <w:pPr>
              <w:spacing w:after="0"/>
              <w:ind w:left="69"/>
              <w:jc w:val="center"/>
              <w:rPr>
                <w:rFonts w:cs="Arial"/>
              </w:rPr>
            </w:pPr>
          </w:p>
        </w:tc>
        <w:tc>
          <w:tcPr>
            <w:tcW w:w="1277" w:type="dxa"/>
            <w:tcBorders>
              <w:top w:val="single" w:sz="4" w:space="0" w:color="auto"/>
              <w:left w:val="single" w:sz="4" w:space="0" w:color="auto"/>
              <w:bottom w:val="single" w:sz="4" w:space="0" w:color="auto"/>
              <w:right w:val="single" w:sz="4" w:space="0" w:color="auto"/>
            </w:tcBorders>
          </w:tcPr>
          <w:p w14:paraId="754CFDE2" w14:textId="77777777" w:rsidR="004C68CA" w:rsidRPr="00B939C6" w:rsidRDefault="004C68CA" w:rsidP="00A728B1">
            <w:pPr>
              <w:spacing w:after="0"/>
              <w:ind w:left="69"/>
              <w:jc w:val="center"/>
              <w:rPr>
                <w:rFonts w:cs="Arial"/>
              </w:rPr>
            </w:pPr>
          </w:p>
        </w:tc>
      </w:tr>
      <w:tr w:rsidR="004C68CA" w:rsidRPr="00B939C6" w14:paraId="7B8892BB" w14:textId="77777777" w:rsidTr="00B939C6">
        <w:tc>
          <w:tcPr>
            <w:tcW w:w="2730" w:type="dxa"/>
          </w:tcPr>
          <w:p w14:paraId="20916CA4" w14:textId="48600D28" w:rsidR="004C68CA" w:rsidRPr="00B939C6" w:rsidRDefault="004C68CA" w:rsidP="00A728B1">
            <w:pPr>
              <w:spacing w:after="0"/>
              <w:ind w:left="69"/>
              <w:rPr>
                <w:rFonts w:cs="Arial"/>
                <w:snapToGrid w:val="0"/>
              </w:rPr>
            </w:pPr>
            <w:r w:rsidRPr="00B939C6">
              <w:rPr>
                <w:rFonts w:cs="Arial"/>
                <w:snapToGrid w:val="0"/>
              </w:rPr>
              <w:t xml:space="preserve">(ii) bunuri </w:t>
            </w:r>
            <w:r w:rsidR="00237758" w:rsidRPr="00B939C6">
              <w:rPr>
                <w:rFonts w:cs="Arial"/>
                <w:snapToGrid w:val="0"/>
              </w:rPr>
              <w:t>și</w:t>
            </w:r>
            <w:r w:rsidRPr="00B939C6">
              <w:rPr>
                <w:rFonts w:cs="Arial"/>
                <w:snapToGrid w:val="0"/>
              </w:rPr>
              <w:t xml:space="preserve"> servicii</w:t>
            </w:r>
          </w:p>
        </w:tc>
        <w:tc>
          <w:tcPr>
            <w:tcW w:w="1559" w:type="dxa"/>
            <w:tcBorders>
              <w:top w:val="single" w:sz="4" w:space="0" w:color="auto"/>
              <w:left w:val="single" w:sz="4" w:space="0" w:color="auto"/>
              <w:bottom w:val="single" w:sz="4" w:space="0" w:color="auto"/>
              <w:right w:val="single" w:sz="4" w:space="0" w:color="auto"/>
            </w:tcBorders>
          </w:tcPr>
          <w:p w14:paraId="060191AB"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053E088B"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37DA718C" w14:textId="77777777" w:rsidR="004C68CA" w:rsidRPr="00B939C6" w:rsidRDefault="004C68CA"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242D26A" w14:textId="77777777" w:rsidR="004C68CA" w:rsidRPr="00B939C6" w:rsidRDefault="004C68CA" w:rsidP="00A728B1">
            <w:pPr>
              <w:spacing w:after="0"/>
              <w:ind w:left="69"/>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688EFC14" w14:textId="77777777" w:rsidR="004C68CA" w:rsidRPr="00B939C6" w:rsidRDefault="004C68CA" w:rsidP="00A728B1">
            <w:pPr>
              <w:spacing w:after="0"/>
              <w:ind w:left="69"/>
              <w:jc w:val="center"/>
              <w:rPr>
                <w:rFonts w:cs="Arial"/>
              </w:rPr>
            </w:pPr>
          </w:p>
        </w:tc>
        <w:tc>
          <w:tcPr>
            <w:tcW w:w="1277" w:type="dxa"/>
            <w:tcBorders>
              <w:top w:val="single" w:sz="4" w:space="0" w:color="auto"/>
              <w:left w:val="single" w:sz="4" w:space="0" w:color="auto"/>
              <w:bottom w:val="single" w:sz="4" w:space="0" w:color="auto"/>
              <w:right w:val="single" w:sz="4" w:space="0" w:color="auto"/>
            </w:tcBorders>
          </w:tcPr>
          <w:p w14:paraId="506987B9" w14:textId="77777777" w:rsidR="004C68CA" w:rsidRPr="00B939C6" w:rsidRDefault="004C68CA" w:rsidP="00A728B1">
            <w:pPr>
              <w:spacing w:after="0"/>
              <w:ind w:left="69"/>
              <w:jc w:val="center"/>
              <w:rPr>
                <w:rFonts w:cs="Arial"/>
              </w:rPr>
            </w:pPr>
          </w:p>
        </w:tc>
      </w:tr>
      <w:tr w:rsidR="00B95545" w:rsidRPr="00B939C6" w14:paraId="66C57EA7" w14:textId="77777777" w:rsidTr="00B939C6">
        <w:tc>
          <w:tcPr>
            <w:tcW w:w="2730" w:type="dxa"/>
          </w:tcPr>
          <w:p w14:paraId="4171F78F" w14:textId="77777777" w:rsidR="00B95545" w:rsidRPr="00B939C6" w:rsidRDefault="00B95545" w:rsidP="00A728B1">
            <w:pPr>
              <w:spacing w:after="0"/>
              <w:ind w:left="69"/>
              <w:rPr>
                <w:rFonts w:cs="Arial"/>
                <w:snapToGrid w:val="0"/>
              </w:rPr>
            </w:pPr>
            <w:r w:rsidRPr="00B939C6">
              <w:rPr>
                <w:rFonts w:cs="Arial"/>
                <w:snapToGrid w:val="0"/>
              </w:rPr>
              <w:t>3. Impact financiar, plus/minus, din care:</w:t>
            </w:r>
          </w:p>
        </w:tc>
        <w:tc>
          <w:tcPr>
            <w:tcW w:w="1559" w:type="dxa"/>
            <w:tcBorders>
              <w:top w:val="single" w:sz="4" w:space="0" w:color="auto"/>
              <w:left w:val="single" w:sz="4" w:space="0" w:color="auto"/>
              <w:bottom w:val="single" w:sz="4" w:space="0" w:color="auto"/>
              <w:right w:val="single" w:sz="4" w:space="0" w:color="auto"/>
            </w:tcBorders>
          </w:tcPr>
          <w:p w14:paraId="4C330AE1" w14:textId="77777777" w:rsidR="00B95545" w:rsidRPr="00B939C6" w:rsidRDefault="00B95545"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D354316" w14:textId="77777777" w:rsidR="00B95545" w:rsidRPr="00B939C6" w:rsidRDefault="00B95545"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F5B8BAA" w14:textId="77777777" w:rsidR="00B95545" w:rsidRPr="00B939C6" w:rsidRDefault="00B95545"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609EF71" w14:textId="77777777" w:rsidR="00B95545" w:rsidRPr="00B939C6" w:rsidRDefault="00B95545" w:rsidP="00A728B1">
            <w:pPr>
              <w:spacing w:after="0"/>
              <w:ind w:left="69"/>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5633B776" w14:textId="77777777" w:rsidR="00B95545" w:rsidRPr="00B939C6" w:rsidRDefault="00B95545" w:rsidP="00A728B1">
            <w:pPr>
              <w:spacing w:after="0"/>
              <w:ind w:left="69"/>
              <w:jc w:val="center"/>
              <w:rPr>
                <w:rFonts w:cs="Arial"/>
              </w:rPr>
            </w:pPr>
          </w:p>
        </w:tc>
        <w:tc>
          <w:tcPr>
            <w:tcW w:w="1277" w:type="dxa"/>
            <w:tcBorders>
              <w:top w:val="single" w:sz="4" w:space="0" w:color="auto"/>
              <w:left w:val="single" w:sz="4" w:space="0" w:color="auto"/>
              <w:bottom w:val="single" w:sz="4" w:space="0" w:color="auto"/>
              <w:right w:val="single" w:sz="4" w:space="0" w:color="auto"/>
            </w:tcBorders>
          </w:tcPr>
          <w:p w14:paraId="19121BE9" w14:textId="77777777" w:rsidR="00B95545" w:rsidRPr="00B939C6" w:rsidRDefault="00B95545" w:rsidP="00A728B1">
            <w:pPr>
              <w:spacing w:after="0"/>
              <w:ind w:left="69"/>
              <w:jc w:val="center"/>
              <w:rPr>
                <w:rFonts w:cs="Arial"/>
              </w:rPr>
            </w:pPr>
          </w:p>
        </w:tc>
      </w:tr>
      <w:tr w:rsidR="00B95545" w:rsidRPr="00B939C6" w14:paraId="1D43E9D1" w14:textId="77777777" w:rsidTr="00B939C6">
        <w:tc>
          <w:tcPr>
            <w:tcW w:w="2730" w:type="dxa"/>
          </w:tcPr>
          <w:p w14:paraId="4198B1AC" w14:textId="77777777" w:rsidR="00B95545" w:rsidRPr="00B939C6" w:rsidRDefault="00B95545" w:rsidP="00A728B1">
            <w:pPr>
              <w:spacing w:after="0"/>
              <w:ind w:left="69"/>
              <w:rPr>
                <w:rFonts w:cs="Arial"/>
                <w:snapToGrid w:val="0"/>
              </w:rPr>
            </w:pPr>
            <w:r w:rsidRPr="00B939C6">
              <w:rPr>
                <w:rFonts w:cs="Arial"/>
                <w:snapToGrid w:val="0"/>
              </w:rPr>
              <w:t>a) buget de stat</w:t>
            </w:r>
          </w:p>
        </w:tc>
        <w:tc>
          <w:tcPr>
            <w:tcW w:w="1559" w:type="dxa"/>
            <w:tcBorders>
              <w:top w:val="single" w:sz="4" w:space="0" w:color="auto"/>
              <w:left w:val="single" w:sz="4" w:space="0" w:color="auto"/>
              <w:bottom w:val="single" w:sz="4" w:space="0" w:color="auto"/>
              <w:right w:val="single" w:sz="4" w:space="0" w:color="auto"/>
            </w:tcBorders>
          </w:tcPr>
          <w:p w14:paraId="19E4E7A2" w14:textId="77777777" w:rsidR="00B95545" w:rsidRPr="00B939C6" w:rsidRDefault="00B95545"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7D96E4A6" w14:textId="77777777" w:rsidR="00B95545" w:rsidRPr="00B939C6" w:rsidRDefault="00B95545"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0CEBA5B" w14:textId="77777777" w:rsidR="00B95545" w:rsidRPr="00B939C6" w:rsidRDefault="00B95545"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35CFE6E3" w14:textId="77777777" w:rsidR="00B95545" w:rsidRPr="00B939C6" w:rsidRDefault="00B95545" w:rsidP="00A728B1">
            <w:pPr>
              <w:spacing w:after="0"/>
              <w:ind w:left="69"/>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03D9644A" w14:textId="77777777" w:rsidR="00B95545" w:rsidRPr="00B939C6" w:rsidRDefault="00B95545" w:rsidP="00A728B1">
            <w:pPr>
              <w:spacing w:after="0"/>
              <w:ind w:left="69"/>
              <w:jc w:val="center"/>
              <w:rPr>
                <w:rFonts w:cs="Arial"/>
              </w:rPr>
            </w:pPr>
          </w:p>
        </w:tc>
        <w:tc>
          <w:tcPr>
            <w:tcW w:w="1277" w:type="dxa"/>
            <w:tcBorders>
              <w:top w:val="single" w:sz="4" w:space="0" w:color="auto"/>
              <w:left w:val="single" w:sz="4" w:space="0" w:color="auto"/>
              <w:bottom w:val="single" w:sz="4" w:space="0" w:color="auto"/>
              <w:right w:val="single" w:sz="4" w:space="0" w:color="auto"/>
            </w:tcBorders>
          </w:tcPr>
          <w:p w14:paraId="45E92BD8" w14:textId="77777777" w:rsidR="00B95545" w:rsidRPr="00B939C6" w:rsidRDefault="00B95545" w:rsidP="00A728B1">
            <w:pPr>
              <w:spacing w:after="0"/>
              <w:ind w:left="69"/>
              <w:jc w:val="center"/>
              <w:rPr>
                <w:rFonts w:cs="Arial"/>
              </w:rPr>
            </w:pPr>
          </w:p>
        </w:tc>
      </w:tr>
      <w:tr w:rsidR="00B95545" w:rsidRPr="00B939C6" w14:paraId="0719648B" w14:textId="77777777" w:rsidTr="00B939C6">
        <w:tc>
          <w:tcPr>
            <w:tcW w:w="2730" w:type="dxa"/>
          </w:tcPr>
          <w:p w14:paraId="516DC36D" w14:textId="77777777" w:rsidR="00B95545" w:rsidRPr="00B939C6" w:rsidRDefault="00B95545" w:rsidP="00A728B1">
            <w:pPr>
              <w:spacing w:after="0"/>
              <w:ind w:left="69"/>
              <w:rPr>
                <w:rFonts w:cs="Arial"/>
                <w:snapToGrid w:val="0"/>
              </w:rPr>
            </w:pPr>
            <w:r w:rsidRPr="00B939C6">
              <w:rPr>
                <w:rFonts w:cs="Arial"/>
                <w:snapToGrid w:val="0"/>
              </w:rPr>
              <w:t>(i) cheltuieli de personal</w:t>
            </w:r>
          </w:p>
        </w:tc>
        <w:tc>
          <w:tcPr>
            <w:tcW w:w="1559" w:type="dxa"/>
            <w:tcBorders>
              <w:top w:val="single" w:sz="4" w:space="0" w:color="auto"/>
              <w:left w:val="single" w:sz="4" w:space="0" w:color="auto"/>
              <w:bottom w:val="single" w:sz="4" w:space="0" w:color="auto"/>
              <w:right w:val="single" w:sz="4" w:space="0" w:color="auto"/>
            </w:tcBorders>
          </w:tcPr>
          <w:p w14:paraId="7AEF17E4" w14:textId="77777777" w:rsidR="00B95545" w:rsidRPr="00B939C6" w:rsidRDefault="00B95545"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41748A3A" w14:textId="77777777" w:rsidR="00B95545" w:rsidRPr="00B939C6" w:rsidRDefault="00B95545"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2EE7AB6A" w14:textId="77777777" w:rsidR="00B95545" w:rsidRPr="00B939C6" w:rsidRDefault="00B95545" w:rsidP="00A728B1">
            <w:pPr>
              <w:spacing w:after="0"/>
              <w:ind w:left="69"/>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08A7BAE8" w14:textId="77777777" w:rsidR="00B95545" w:rsidRPr="00B939C6" w:rsidRDefault="00B95545" w:rsidP="00A728B1">
            <w:pPr>
              <w:spacing w:after="0"/>
              <w:ind w:left="69"/>
              <w:jc w:val="center"/>
              <w:rPr>
                <w:rFonts w:cs="Arial"/>
              </w:rPr>
            </w:pPr>
          </w:p>
        </w:tc>
        <w:tc>
          <w:tcPr>
            <w:tcW w:w="1133" w:type="dxa"/>
            <w:tcBorders>
              <w:top w:val="single" w:sz="4" w:space="0" w:color="auto"/>
              <w:left w:val="single" w:sz="4" w:space="0" w:color="auto"/>
              <w:bottom w:val="single" w:sz="4" w:space="0" w:color="auto"/>
              <w:right w:val="single" w:sz="4" w:space="0" w:color="auto"/>
            </w:tcBorders>
          </w:tcPr>
          <w:p w14:paraId="25BA0F01" w14:textId="77777777" w:rsidR="00B95545" w:rsidRPr="00B939C6" w:rsidRDefault="00B95545" w:rsidP="00A728B1">
            <w:pPr>
              <w:spacing w:after="0"/>
              <w:ind w:left="69"/>
              <w:jc w:val="center"/>
              <w:rPr>
                <w:rFonts w:cs="Arial"/>
              </w:rPr>
            </w:pPr>
          </w:p>
        </w:tc>
        <w:tc>
          <w:tcPr>
            <w:tcW w:w="1277" w:type="dxa"/>
            <w:tcBorders>
              <w:top w:val="single" w:sz="4" w:space="0" w:color="auto"/>
              <w:left w:val="single" w:sz="4" w:space="0" w:color="auto"/>
              <w:bottom w:val="single" w:sz="4" w:space="0" w:color="auto"/>
              <w:right w:val="single" w:sz="4" w:space="0" w:color="auto"/>
            </w:tcBorders>
          </w:tcPr>
          <w:p w14:paraId="6DDE6018" w14:textId="77777777" w:rsidR="00B95545" w:rsidRPr="00B939C6" w:rsidRDefault="00B95545" w:rsidP="00A728B1">
            <w:pPr>
              <w:spacing w:after="0"/>
              <w:ind w:left="69"/>
              <w:jc w:val="center"/>
              <w:rPr>
                <w:rFonts w:cs="Arial"/>
              </w:rPr>
            </w:pPr>
          </w:p>
        </w:tc>
      </w:tr>
      <w:tr w:rsidR="00B95545" w:rsidRPr="00B939C6" w14:paraId="7A4AFAA5" w14:textId="77777777" w:rsidTr="00B939C6">
        <w:tc>
          <w:tcPr>
            <w:tcW w:w="2730" w:type="dxa"/>
          </w:tcPr>
          <w:p w14:paraId="7432EAA8" w14:textId="77777777" w:rsidR="00B95545" w:rsidRPr="00B939C6" w:rsidRDefault="00B95545" w:rsidP="00A728B1">
            <w:pPr>
              <w:spacing w:after="0"/>
              <w:ind w:left="69"/>
              <w:rPr>
                <w:rFonts w:cs="Arial"/>
                <w:snapToGrid w:val="0"/>
              </w:rPr>
            </w:pPr>
            <w:r w:rsidRPr="00B939C6">
              <w:rPr>
                <w:rFonts w:cs="Arial"/>
                <w:snapToGrid w:val="0"/>
              </w:rPr>
              <w:t>b) bugetele locale</w:t>
            </w:r>
          </w:p>
        </w:tc>
        <w:tc>
          <w:tcPr>
            <w:tcW w:w="1559" w:type="dxa"/>
            <w:shd w:val="clear" w:color="auto" w:fill="auto"/>
          </w:tcPr>
          <w:p w14:paraId="606117C8" w14:textId="77777777" w:rsidR="00B95545" w:rsidRPr="00B939C6" w:rsidRDefault="00B95545" w:rsidP="00A728B1">
            <w:pPr>
              <w:spacing w:after="0"/>
              <w:ind w:left="69"/>
              <w:jc w:val="center"/>
              <w:rPr>
                <w:rFonts w:cs="Arial"/>
              </w:rPr>
            </w:pPr>
          </w:p>
        </w:tc>
        <w:tc>
          <w:tcPr>
            <w:tcW w:w="1134" w:type="dxa"/>
            <w:shd w:val="clear" w:color="auto" w:fill="auto"/>
          </w:tcPr>
          <w:p w14:paraId="07DA2B1A" w14:textId="77777777" w:rsidR="00B95545" w:rsidRPr="00B939C6" w:rsidRDefault="00B95545" w:rsidP="00A728B1">
            <w:pPr>
              <w:spacing w:after="0"/>
              <w:ind w:left="69"/>
              <w:jc w:val="center"/>
              <w:rPr>
                <w:rFonts w:cs="Arial"/>
              </w:rPr>
            </w:pPr>
          </w:p>
        </w:tc>
        <w:tc>
          <w:tcPr>
            <w:tcW w:w="1134" w:type="dxa"/>
            <w:shd w:val="clear" w:color="auto" w:fill="auto"/>
          </w:tcPr>
          <w:p w14:paraId="57B436F2" w14:textId="77777777" w:rsidR="00B95545" w:rsidRPr="00B939C6" w:rsidRDefault="00B95545" w:rsidP="00A728B1">
            <w:pPr>
              <w:spacing w:after="0"/>
              <w:ind w:left="69"/>
              <w:jc w:val="center"/>
              <w:rPr>
                <w:rFonts w:cs="Arial"/>
              </w:rPr>
            </w:pPr>
          </w:p>
        </w:tc>
        <w:tc>
          <w:tcPr>
            <w:tcW w:w="1134" w:type="dxa"/>
            <w:shd w:val="clear" w:color="auto" w:fill="auto"/>
          </w:tcPr>
          <w:p w14:paraId="37ACCC17" w14:textId="77777777" w:rsidR="00B95545" w:rsidRPr="00B939C6" w:rsidRDefault="00B95545" w:rsidP="00A728B1">
            <w:pPr>
              <w:spacing w:after="0"/>
              <w:ind w:left="69"/>
              <w:jc w:val="center"/>
              <w:rPr>
                <w:rFonts w:cs="Arial"/>
              </w:rPr>
            </w:pPr>
          </w:p>
        </w:tc>
        <w:tc>
          <w:tcPr>
            <w:tcW w:w="1133" w:type="dxa"/>
            <w:shd w:val="clear" w:color="auto" w:fill="auto"/>
          </w:tcPr>
          <w:p w14:paraId="7B1E5097" w14:textId="77777777" w:rsidR="00B95545" w:rsidRPr="00B939C6" w:rsidRDefault="00B95545" w:rsidP="00A728B1">
            <w:pPr>
              <w:spacing w:after="0"/>
              <w:ind w:left="69"/>
              <w:jc w:val="center"/>
              <w:rPr>
                <w:rFonts w:cs="Arial"/>
              </w:rPr>
            </w:pPr>
          </w:p>
        </w:tc>
        <w:tc>
          <w:tcPr>
            <w:tcW w:w="1277" w:type="dxa"/>
            <w:shd w:val="clear" w:color="auto" w:fill="auto"/>
          </w:tcPr>
          <w:p w14:paraId="5506A093" w14:textId="77777777" w:rsidR="00B95545" w:rsidRPr="00B939C6" w:rsidRDefault="00B95545" w:rsidP="00A728B1">
            <w:pPr>
              <w:spacing w:after="0"/>
              <w:ind w:left="69"/>
              <w:jc w:val="center"/>
              <w:rPr>
                <w:rFonts w:cs="Arial"/>
              </w:rPr>
            </w:pPr>
          </w:p>
        </w:tc>
      </w:tr>
      <w:tr w:rsidR="00B95545" w:rsidRPr="00B939C6" w14:paraId="1E80DFB6" w14:textId="77777777" w:rsidTr="00B939C6">
        <w:tc>
          <w:tcPr>
            <w:tcW w:w="2730" w:type="dxa"/>
          </w:tcPr>
          <w:p w14:paraId="297E8494" w14:textId="0D596248" w:rsidR="00B95545" w:rsidRPr="00B939C6" w:rsidRDefault="00B95545" w:rsidP="00A728B1">
            <w:pPr>
              <w:spacing w:after="0"/>
              <w:ind w:left="69"/>
              <w:rPr>
                <w:rFonts w:cs="Arial"/>
                <w:snapToGrid w:val="0"/>
              </w:rPr>
            </w:pPr>
            <w:r w:rsidRPr="00B939C6">
              <w:rPr>
                <w:rFonts w:cs="Arial"/>
                <w:snapToGrid w:val="0"/>
              </w:rPr>
              <w:t xml:space="preserve">4. Propuneri pentru acoperirea </w:t>
            </w:r>
            <w:r w:rsidR="00B939C6" w:rsidRPr="00B939C6">
              <w:rPr>
                <w:rFonts w:cs="Arial"/>
                <w:snapToGrid w:val="0"/>
              </w:rPr>
              <w:t>creșterii</w:t>
            </w:r>
            <w:r w:rsidRPr="00B939C6">
              <w:rPr>
                <w:rFonts w:cs="Arial"/>
                <w:snapToGrid w:val="0"/>
              </w:rPr>
              <w:t xml:space="preserve"> cheltuielilor bugetare</w:t>
            </w:r>
          </w:p>
        </w:tc>
        <w:tc>
          <w:tcPr>
            <w:tcW w:w="7371" w:type="dxa"/>
            <w:gridSpan w:val="6"/>
            <w:shd w:val="clear" w:color="auto" w:fill="auto"/>
          </w:tcPr>
          <w:p w14:paraId="75B0E652" w14:textId="77777777" w:rsidR="00B95545" w:rsidRPr="00B939C6" w:rsidRDefault="00B95545" w:rsidP="00A728B1">
            <w:pPr>
              <w:spacing w:after="0"/>
              <w:ind w:left="69"/>
              <w:jc w:val="center"/>
              <w:rPr>
                <w:rFonts w:cs="Arial"/>
              </w:rPr>
            </w:pPr>
          </w:p>
        </w:tc>
      </w:tr>
      <w:tr w:rsidR="00B95545" w:rsidRPr="00B939C6" w14:paraId="101EBA31" w14:textId="77777777" w:rsidTr="00B939C6">
        <w:tc>
          <w:tcPr>
            <w:tcW w:w="2730" w:type="dxa"/>
          </w:tcPr>
          <w:p w14:paraId="51130FC6" w14:textId="77777777" w:rsidR="00B95545" w:rsidRPr="00B939C6" w:rsidRDefault="00B95545" w:rsidP="00A728B1">
            <w:pPr>
              <w:spacing w:after="0"/>
              <w:ind w:left="69"/>
              <w:rPr>
                <w:rFonts w:cs="Arial"/>
                <w:snapToGrid w:val="0"/>
              </w:rPr>
            </w:pPr>
            <w:r w:rsidRPr="00B939C6">
              <w:rPr>
                <w:rFonts w:cs="Arial"/>
                <w:snapToGrid w:val="0"/>
              </w:rPr>
              <w:t>5. Propuneri pentru a compensa reducerea veniturilor bugetare</w:t>
            </w:r>
          </w:p>
        </w:tc>
        <w:tc>
          <w:tcPr>
            <w:tcW w:w="1559" w:type="dxa"/>
            <w:shd w:val="clear" w:color="auto" w:fill="auto"/>
          </w:tcPr>
          <w:p w14:paraId="635103C8" w14:textId="77777777" w:rsidR="00B95545" w:rsidRPr="00B939C6" w:rsidRDefault="00B95545" w:rsidP="00A728B1">
            <w:pPr>
              <w:spacing w:after="0"/>
              <w:ind w:left="69"/>
              <w:jc w:val="center"/>
              <w:rPr>
                <w:rFonts w:cs="Arial"/>
              </w:rPr>
            </w:pPr>
          </w:p>
        </w:tc>
        <w:tc>
          <w:tcPr>
            <w:tcW w:w="1134" w:type="dxa"/>
            <w:shd w:val="clear" w:color="auto" w:fill="auto"/>
          </w:tcPr>
          <w:p w14:paraId="360AFC3A" w14:textId="77777777" w:rsidR="00B95545" w:rsidRPr="00B939C6" w:rsidRDefault="00B95545" w:rsidP="00A728B1">
            <w:pPr>
              <w:spacing w:after="0"/>
              <w:ind w:left="69"/>
              <w:jc w:val="center"/>
              <w:rPr>
                <w:rFonts w:cs="Arial"/>
              </w:rPr>
            </w:pPr>
          </w:p>
        </w:tc>
        <w:tc>
          <w:tcPr>
            <w:tcW w:w="1134" w:type="dxa"/>
            <w:shd w:val="clear" w:color="auto" w:fill="auto"/>
          </w:tcPr>
          <w:p w14:paraId="5E7B1E7A" w14:textId="77777777" w:rsidR="00B95545" w:rsidRPr="00B939C6" w:rsidRDefault="00B95545" w:rsidP="00A728B1">
            <w:pPr>
              <w:spacing w:after="0"/>
              <w:ind w:left="69"/>
              <w:jc w:val="center"/>
              <w:rPr>
                <w:rFonts w:cs="Arial"/>
              </w:rPr>
            </w:pPr>
          </w:p>
        </w:tc>
        <w:tc>
          <w:tcPr>
            <w:tcW w:w="1134" w:type="dxa"/>
            <w:shd w:val="clear" w:color="auto" w:fill="auto"/>
          </w:tcPr>
          <w:p w14:paraId="344D0D41" w14:textId="77777777" w:rsidR="00B95545" w:rsidRPr="00B939C6" w:rsidRDefault="00B95545" w:rsidP="00A728B1">
            <w:pPr>
              <w:spacing w:after="0"/>
              <w:ind w:left="69"/>
              <w:jc w:val="center"/>
              <w:rPr>
                <w:rFonts w:cs="Arial"/>
              </w:rPr>
            </w:pPr>
          </w:p>
        </w:tc>
        <w:tc>
          <w:tcPr>
            <w:tcW w:w="1133" w:type="dxa"/>
            <w:shd w:val="clear" w:color="auto" w:fill="auto"/>
          </w:tcPr>
          <w:p w14:paraId="0B0255C7" w14:textId="77777777" w:rsidR="00B95545" w:rsidRPr="00B939C6" w:rsidRDefault="00B95545" w:rsidP="00A728B1">
            <w:pPr>
              <w:spacing w:after="0"/>
              <w:ind w:left="69"/>
              <w:jc w:val="center"/>
              <w:rPr>
                <w:rFonts w:cs="Arial"/>
              </w:rPr>
            </w:pPr>
          </w:p>
        </w:tc>
        <w:tc>
          <w:tcPr>
            <w:tcW w:w="1277" w:type="dxa"/>
            <w:shd w:val="clear" w:color="auto" w:fill="auto"/>
          </w:tcPr>
          <w:p w14:paraId="73A15AA1" w14:textId="77777777" w:rsidR="00B95545" w:rsidRPr="00B939C6" w:rsidRDefault="00B95545" w:rsidP="00A728B1">
            <w:pPr>
              <w:spacing w:after="0"/>
              <w:ind w:left="69"/>
              <w:jc w:val="center"/>
              <w:rPr>
                <w:rFonts w:cs="Arial"/>
              </w:rPr>
            </w:pPr>
          </w:p>
        </w:tc>
      </w:tr>
      <w:tr w:rsidR="00B95545" w:rsidRPr="00B939C6" w14:paraId="78CA2EC0" w14:textId="77777777" w:rsidTr="00B939C6">
        <w:tc>
          <w:tcPr>
            <w:tcW w:w="2730" w:type="dxa"/>
          </w:tcPr>
          <w:p w14:paraId="05D9AC44" w14:textId="77777777" w:rsidR="00B95545" w:rsidRPr="00B939C6" w:rsidRDefault="00B95545" w:rsidP="00A728B1">
            <w:pPr>
              <w:spacing w:after="0"/>
              <w:ind w:left="69"/>
              <w:rPr>
                <w:rFonts w:cs="Arial"/>
                <w:snapToGrid w:val="0"/>
              </w:rPr>
            </w:pPr>
            <w:r w:rsidRPr="00B939C6">
              <w:rPr>
                <w:rFonts w:cs="Arial"/>
                <w:snapToGrid w:val="0"/>
              </w:rPr>
              <w:lastRenderedPageBreak/>
              <w:t xml:space="preserve">6. Calcule detaliate privind fundamentarea modificărilor veniturilor </w:t>
            </w:r>
            <w:proofErr w:type="spellStart"/>
            <w:r w:rsidRPr="00B939C6">
              <w:rPr>
                <w:rFonts w:cs="Arial"/>
                <w:snapToGrid w:val="0"/>
              </w:rPr>
              <w:t>şi</w:t>
            </w:r>
            <w:proofErr w:type="spellEnd"/>
            <w:r w:rsidRPr="00B939C6">
              <w:rPr>
                <w:rFonts w:cs="Arial"/>
                <w:snapToGrid w:val="0"/>
              </w:rPr>
              <w:t>/sau cheltuielilor bugetare</w:t>
            </w:r>
          </w:p>
        </w:tc>
        <w:tc>
          <w:tcPr>
            <w:tcW w:w="7371" w:type="dxa"/>
            <w:gridSpan w:val="6"/>
            <w:shd w:val="clear" w:color="auto" w:fill="auto"/>
          </w:tcPr>
          <w:p w14:paraId="0AB2649A" w14:textId="77777777" w:rsidR="00B95545" w:rsidRPr="00B939C6" w:rsidRDefault="00B95545" w:rsidP="00A728B1">
            <w:pPr>
              <w:pStyle w:val="Listparagraf"/>
              <w:spacing w:after="0"/>
              <w:ind w:left="69"/>
              <w:rPr>
                <w:rFonts w:cs="Arial"/>
              </w:rPr>
            </w:pPr>
          </w:p>
        </w:tc>
      </w:tr>
      <w:tr w:rsidR="00B95545" w:rsidRPr="00B939C6" w14:paraId="1478F91A" w14:textId="77777777" w:rsidTr="00B939C6">
        <w:tc>
          <w:tcPr>
            <w:tcW w:w="2730" w:type="dxa"/>
          </w:tcPr>
          <w:p w14:paraId="7F706E89" w14:textId="77777777" w:rsidR="00B95545" w:rsidRPr="00B939C6" w:rsidRDefault="00B95545" w:rsidP="00A728B1">
            <w:pPr>
              <w:spacing w:after="0"/>
              <w:ind w:left="69"/>
              <w:rPr>
                <w:rFonts w:cs="Arial"/>
                <w:snapToGrid w:val="0"/>
              </w:rPr>
            </w:pPr>
            <w:r w:rsidRPr="00B939C6">
              <w:rPr>
                <w:rFonts w:cs="Arial"/>
                <w:snapToGrid w:val="0"/>
              </w:rPr>
              <w:t>7 Alte informații</w:t>
            </w:r>
          </w:p>
        </w:tc>
        <w:tc>
          <w:tcPr>
            <w:tcW w:w="7371" w:type="dxa"/>
            <w:gridSpan w:val="6"/>
            <w:shd w:val="clear" w:color="auto" w:fill="auto"/>
          </w:tcPr>
          <w:p w14:paraId="6B3EE1BB" w14:textId="47DA0CE0" w:rsidR="00904AD9" w:rsidRDefault="00AE0064" w:rsidP="00DB4421">
            <w:pPr>
              <w:spacing w:after="0"/>
              <w:ind w:left="69"/>
              <w:rPr>
                <w:rFonts w:cs="Arial"/>
                <w:bCs/>
              </w:rPr>
            </w:pPr>
            <w:r w:rsidRPr="00AE0064">
              <w:rPr>
                <w:rFonts w:cs="Arial"/>
                <w:bCs/>
              </w:rPr>
              <w:t xml:space="preserve">Prezentul proiect de hotărâre nu </w:t>
            </w:r>
            <w:r>
              <w:rPr>
                <w:rFonts w:cs="Arial"/>
                <w:bCs/>
              </w:rPr>
              <w:t>generează</w:t>
            </w:r>
            <w:r w:rsidRPr="00AE0064">
              <w:rPr>
                <w:rFonts w:cs="Arial"/>
                <w:bCs/>
              </w:rPr>
              <w:t xml:space="preserve"> impact </w:t>
            </w:r>
            <w:r>
              <w:rPr>
                <w:rFonts w:cs="Arial"/>
                <w:bCs/>
              </w:rPr>
              <w:t>financiar</w:t>
            </w:r>
            <w:r w:rsidRPr="00AE0064">
              <w:rPr>
                <w:rFonts w:cs="Arial"/>
                <w:bCs/>
              </w:rPr>
              <w:t xml:space="preserve">, măsurile preconizate urmând a se realiza </w:t>
            </w:r>
            <w:r>
              <w:rPr>
                <w:rFonts w:cs="Arial"/>
                <w:bCs/>
              </w:rPr>
              <w:t>cu</w:t>
            </w:r>
            <w:r w:rsidRPr="00AE0064">
              <w:rPr>
                <w:rFonts w:cs="Arial"/>
                <w:bCs/>
              </w:rPr>
              <w:t xml:space="preserve"> încadrarea în prevederile aprobate prin Legea bugetară anuală</w:t>
            </w:r>
            <w:r>
              <w:rPr>
                <w:rFonts w:cs="Arial"/>
                <w:bCs/>
              </w:rPr>
              <w:t xml:space="preserve"> și</w:t>
            </w:r>
            <w:r w:rsidRPr="00AE0064">
              <w:rPr>
                <w:rFonts w:cs="Arial"/>
                <w:bCs/>
              </w:rPr>
              <w:t xml:space="preserve"> cu respectarea prevederilor art. 38 din Ordonanț</w:t>
            </w:r>
            <w:r w:rsidR="00DB4421">
              <w:rPr>
                <w:rFonts w:cs="Arial"/>
                <w:bCs/>
              </w:rPr>
              <w:t>a</w:t>
            </w:r>
            <w:r w:rsidRPr="00AE0064">
              <w:rPr>
                <w:rFonts w:cs="Arial"/>
                <w:bCs/>
              </w:rPr>
              <w:t xml:space="preserve"> de urgență a Guvernului nr. 114/2018.</w:t>
            </w:r>
          </w:p>
          <w:p w14:paraId="174D8877" w14:textId="78D3AA72" w:rsidR="00AE0064" w:rsidRPr="00B939C6" w:rsidRDefault="00AE0064" w:rsidP="00AE0064">
            <w:pPr>
              <w:spacing w:after="0" w:line="240" w:lineRule="auto"/>
              <w:ind w:left="69"/>
              <w:rPr>
                <w:rFonts w:cs="Arial"/>
                <w:bCs/>
              </w:rPr>
            </w:pPr>
          </w:p>
        </w:tc>
      </w:tr>
      <w:tr w:rsidR="00B95545" w:rsidRPr="00B939C6" w14:paraId="11587FBF" w14:textId="77777777" w:rsidTr="00B939C6">
        <w:tc>
          <w:tcPr>
            <w:tcW w:w="10101" w:type="dxa"/>
            <w:gridSpan w:val="7"/>
          </w:tcPr>
          <w:p w14:paraId="020671A0" w14:textId="77777777" w:rsidR="00A728B1" w:rsidRDefault="00A728B1" w:rsidP="00A728B1">
            <w:pPr>
              <w:spacing w:after="0"/>
              <w:ind w:left="69"/>
              <w:jc w:val="center"/>
              <w:rPr>
                <w:rFonts w:cs="Arial"/>
                <w:b/>
                <w:snapToGrid w:val="0"/>
              </w:rPr>
            </w:pPr>
          </w:p>
          <w:p w14:paraId="10F0F400" w14:textId="77777777" w:rsidR="00B95545" w:rsidRDefault="00783590" w:rsidP="00A728B1">
            <w:pPr>
              <w:spacing w:after="0"/>
              <w:ind w:left="69"/>
              <w:jc w:val="center"/>
              <w:rPr>
                <w:rFonts w:cs="Arial"/>
                <w:b/>
                <w:snapToGrid w:val="0"/>
              </w:rPr>
            </w:pPr>
            <w:r w:rsidRPr="00B939C6">
              <w:rPr>
                <w:rFonts w:cs="Arial"/>
                <w:b/>
                <w:snapToGrid w:val="0"/>
              </w:rPr>
              <w:t>Secțiunea</w:t>
            </w:r>
            <w:r w:rsidR="00B95545" w:rsidRPr="00B939C6">
              <w:rPr>
                <w:rFonts w:cs="Arial"/>
                <w:b/>
                <w:snapToGrid w:val="0"/>
              </w:rPr>
              <w:t xml:space="preserve"> a 5 –a – Efectele proiectului de act normativ asupra </w:t>
            </w:r>
            <w:r w:rsidR="00B939C6" w:rsidRPr="00B939C6">
              <w:rPr>
                <w:rFonts w:cs="Arial"/>
                <w:b/>
                <w:snapToGrid w:val="0"/>
              </w:rPr>
              <w:t>legislației</w:t>
            </w:r>
            <w:r w:rsidR="00B95545" w:rsidRPr="00B939C6">
              <w:rPr>
                <w:rFonts w:cs="Arial"/>
                <w:b/>
                <w:snapToGrid w:val="0"/>
              </w:rPr>
              <w:t xml:space="preserve"> în vigoare</w:t>
            </w:r>
          </w:p>
          <w:p w14:paraId="7FF912F0" w14:textId="4C41BCB3" w:rsidR="00A728B1" w:rsidRPr="00B939C6" w:rsidRDefault="00A728B1" w:rsidP="00A728B1">
            <w:pPr>
              <w:spacing w:after="0"/>
              <w:ind w:left="69"/>
              <w:jc w:val="center"/>
              <w:rPr>
                <w:rFonts w:cs="Arial"/>
                <w:b/>
                <w:snapToGrid w:val="0"/>
              </w:rPr>
            </w:pPr>
          </w:p>
        </w:tc>
      </w:tr>
      <w:tr w:rsidR="00B95545" w:rsidRPr="00B939C6" w14:paraId="0F204603" w14:textId="77777777" w:rsidTr="00B939C6">
        <w:tc>
          <w:tcPr>
            <w:tcW w:w="2730" w:type="dxa"/>
          </w:tcPr>
          <w:p w14:paraId="0B296DEC" w14:textId="77777777" w:rsidR="00B95545" w:rsidRPr="00B939C6" w:rsidRDefault="00B95545" w:rsidP="00A728B1">
            <w:pPr>
              <w:spacing w:after="0"/>
              <w:ind w:left="69" w:right="34"/>
              <w:rPr>
                <w:rFonts w:cs="Arial"/>
              </w:rPr>
            </w:pPr>
            <w:r w:rsidRPr="00B939C6">
              <w:rPr>
                <w:rFonts w:cs="Arial"/>
                <w:snapToGrid w:val="0"/>
              </w:rPr>
              <w:t xml:space="preserve">1. </w:t>
            </w:r>
            <w:r w:rsidRPr="00B939C6">
              <w:rPr>
                <w:rFonts w:cs="Arial"/>
              </w:rPr>
              <w:t xml:space="preserve">Măsuri normative necesare pentru   aplicarea prevederilor  proiectului de act normativ:                                            </w:t>
            </w:r>
          </w:p>
          <w:p w14:paraId="4F6ABEAA" w14:textId="77777777" w:rsidR="00B95545" w:rsidRPr="00B939C6" w:rsidRDefault="00B95545" w:rsidP="00A728B1">
            <w:pPr>
              <w:spacing w:after="0"/>
              <w:ind w:left="69" w:right="34"/>
              <w:rPr>
                <w:rFonts w:cs="Arial"/>
              </w:rPr>
            </w:pPr>
            <w:r w:rsidRPr="00B939C6">
              <w:rPr>
                <w:rFonts w:cs="Arial"/>
              </w:rPr>
              <w:t xml:space="preserve">a) acte normative în vigoare ce vor    fi modificate sau abrogate, ca   urmare a intrării în vigoare a       proiectului de act normativ;    </w:t>
            </w:r>
          </w:p>
          <w:p w14:paraId="4D2167FC" w14:textId="2DA67DAC" w:rsidR="00B95545" w:rsidRPr="00B939C6" w:rsidRDefault="00B95545" w:rsidP="00A728B1">
            <w:pPr>
              <w:spacing w:after="0"/>
              <w:ind w:left="69" w:right="34"/>
              <w:rPr>
                <w:rFonts w:cs="Arial"/>
                <w:snapToGrid w:val="0"/>
              </w:rPr>
            </w:pPr>
            <w:r w:rsidRPr="00B939C6">
              <w:rPr>
                <w:rFonts w:cs="Arial"/>
              </w:rPr>
              <w:t xml:space="preserve">b) acte normative ce urmează a fi elaborate în implementării noilor </w:t>
            </w:r>
            <w:r w:rsidR="00B939C6" w:rsidRPr="00B939C6">
              <w:rPr>
                <w:rFonts w:cs="Arial"/>
              </w:rPr>
              <w:t>dispoziții</w:t>
            </w:r>
            <w:r w:rsidRPr="00B939C6">
              <w:rPr>
                <w:rFonts w:cs="Arial"/>
              </w:rPr>
              <w:t>.</w:t>
            </w:r>
          </w:p>
        </w:tc>
        <w:tc>
          <w:tcPr>
            <w:tcW w:w="7371" w:type="dxa"/>
            <w:gridSpan w:val="6"/>
          </w:tcPr>
          <w:p w14:paraId="159EFB6D" w14:textId="77777777" w:rsidR="00B95545" w:rsidRPr="00B939C6" w:rsidRDefault="00B95545" w:rsidP="00A728B1">
            <w:pPr>
              <w:spacing w:after="0"/>
              <w:ind w:left="69"/>
              <w:rPr>
                <w:rFonts w:cs="Arial"/>
                <w:snapToGrid w:val="0"/>
              </w:rPr>
            </w:pPr>
            <w:r w:rsidRPr="00B939C6">
              <w:rPr>
                <w:rFonts w:cs="Arial"/>
                <w:snapToGrid w:val="0"/>
              </w:rPr>
              <w:t xml:space="preserve">Nu este cazul. </w:t>
            </w:r>
          </w:p>
        </w:tc>
      </w:tr>
      <w:tr w:rsidR="00B95545" w:rsidRPr="00B939C6" w14:paraId="4EB871AF" w14:textId="77777777" w:rsidTr="00B939C6">
        <w:tc>
          <w:tcPr>
            <w:tcW w:w="2730" w:type="dxa"/>
          </w:tcPr>
          <w:p w14:paraId="642AAA85" w14:textId="77777777" w:rsidR="00B95545" w:rsidRPr="00B939C6" w:rsidRDefault="00B95545" w:rsidP="00A728B1">
            <w:pPr>
              <w:spacing w:after="0"/>
              <w:ind w:left="69" w:right="34"/>
              <w:rPr>
                <w:rFonts w:cs="Arial"/>
                <w:snapToGrid w:val="0"/>
              </w:rPr>
            </w:pPr>
            <w:r w:rsidRPr="00B939C6">
              <w:rPr>
                <w:rFonts w:cs="Arial"/>
                <w:snapToGrid w:val="0"/>
              </w:rPr>
              <w:t>1</w:t>
            </w:r>
            <w:r w:rsidRPr="00B939C6">
              <w:rPr>
                <w:rFonts w:cs="Arial"/>
                <w:snapToGrid w:val="0"/>
                <w:vertAlign w:val="superscript"/>
              </w:rPr>
              <w:t>1</w:t>
            </w:r>
            <w:r w:rsidRPr="00B939C6">
              <w:rPr>
                <w:rFonts w:cs="Arial"/>
                <w:snapToGrid w:val="0"/>
              </w:rPr>
              <w:t>. Compatibilitatea proiectului de act normativ cu legislația în domeniul achizițiilor publice</w:t>
            </w:r>
          </w:p>
        </w:tc>
        <w:tc>
          <w:tcPr>
            <w:tcW w:w="7371" w:type="dxa"/>
            <w:gridSpan w:val="6"/>
          </w:tcPr>
          <w:p w14:paraId="53DC8A74" w14:textId="18D2C5D8" w:rsidR="00B95545" w:rsidRPr="00B939C6" w:rsidRDefault="00B95545" w:rsidP="00A728B1">
            <w:pPr>
              <w:spacing w:after="0"/>
              <w:ind w:left="69"/>
              <w:rPr>
                <w:rFonts w:cs="Arial"/>
                <w:snapToGrid w:val="0"/>
              </w:rPr>
            </w:pPr>
            <w:r w:rsidRPr="00B939C6">
              <w:rPr>
                <w:rFonts w:cs="Arial"/>
                <w:snapToGrid w:val="0"/>
              </w:rPr>
              <w:t>Nu este cazu</w:t>
            </w:r>
            <w:r w:rsidR="00053A95">
              <w:rPr>
                <w:rFonts w:cs="Arial"/>
                <w:snapToGrid w:val="0"/>
              </w:rPr>
              <w:t>l.</w:t>
            </w:r>
          </w:p>
        </w:tc>
      </w:tr>
      <w:tr w:rsidR="00B95545" w:rsidRPr="00B939C6" w14:paraId="067A8ED5" w14:textId="77777777" w:rsidTr="00B939C6">
        <w:trPr>
          <w:trHeight w:val="330"/>
        </w:trPr>
        <w:tc>
          <w:tcPr>
            <w:tcW w:w="2730" w:type="dxa"/>
          </w:tcPr>
          <w:p w14:paraId="14EE35D8" w14:textId="38BA48A3" w:rsidR="00B95545" w:rsidRPr="00B939C6" w:rsidRDefault="00B95545" w:rsidP="00A728B1">
            <w:pPr>
              <w:autoSpaceDE w:val="0"/>
              <w:autoSpaceDN w:val="0"/>
              <w:adjustRightInd w:val="0"/>
              <w:spacing w:after="0"/>
              <w:ind w:left="69" w:right="34"/>
              <w:rPr>
                <w:rFonts w:cs="Arial"/>
                <w:snapToGrid w:val="0"/>
              </w:rPr>
            </w:pPr>
            <w:r w:rsidRPr="00B939C6">
              <w:rPr>
                <w:rFonts w:cs="Arial"/>
                <w:snapToGrid w:val="0"/>
              </w:rPr>
              <w:t xml:space="preserve">2. </w:t>
            </w:r>
            <w:r w:rsidRPr="00B939C6">
              <w:rPr>
                <w:rFonts w:cs="Arial"/>
                <w:iCs/>
              </w:rPr>
              <w:t xml:space="preserve">Conformitatea proiectului de act normativ cu </w:t>
            </w:r>
            <w:r w:rsidR="00B939C6" w:rsidRPr="00B939C6">
              <w:rPr>
                <w:rFonts w:cs="Arial"/>
                <w:iCs/>
              </w:rPr>
              <w:t>legislația</w:t>
            </w:r>
            <w:r w:rsidRPr="00B939C6">
              <w:rPr>
                <w:rFonts w:cs="Arial"/>
                <w:iCs/>
              </w:rPr>
              <w:t xml:space="preserve"> comunitară în cazul proiectelor ce transpun prevederi comunitare</w:t>
            </w:r>
          </w:p>
        </w:tc>
        <w:tc>
          <w:tcPr>
            <w:tcW w:w="7371" w:type="dxa"/>
            <w:gridSpan w:val="6"/>
          </w:tcPr>
          <w:p w14:paraId="11946F32" w14:textId="77777777" w:rsidR="00B95545" w:rsidRPr="00B939C6" w:rsidRDefault="00B95545" w:rsidP="00A728B1">
            <w:pPr>
              <w:spacing w:after="0"/>
              <w:ind w:left="69"/>
              <w:rPr>
                <w:rFonts w:cs="Arial"/>
                <w:snapToGrid w:val="0"/>
              </w:rPr>
            </w:pPr>
          </w:p>
        </w:tc>
      </w:tr>
      <w:tr w:rsidR="00B95545" w:rsidRPr="00B939C6" w14:paraId="71E88E60" w14:textId="77777777" w:rsidTr="00B939C6">
        <w:trPr>
          <w:trHeight w:val="328"/>
        </w:trPr>
        <w:tc>
          <w:tcPr>
            <w:tcW w:w="2730" w:type="dxa"/>
          </w:tcPr>
          <w:p w14:paraId="26C647AA" w14:textId="77777777" w:rsidR="00B95545" w:rsidRPr="00B939C6" w:rsidRDefault="00B95545" w:rsidP="00A728B1">
            <w:pPr>
              <w:autoSpaceDE w:val="0"/>
              <w:autoSpaceDN w:val="0"/>
              <w:adjustRightInd w:val="0"/>
              <w:spacing w:after="0"/>
              <w:ind w:left="69" w:right="34"/>
              <w:rPr>
                <w:rFonts w:cs="Arial"/>
                <w:snapToGrid w:val="0"/>
              </w:rPr>
            </w:pPr>
            <w:r w:rsidRPr="00B939C6">
              <w:rPr>
                <w:rFonts w:cs="Arial"/>
                <w:iCs/>
              </w:rPr>
              <w:t>3. Măsuri normative necesare aplicării directe a actelor  normative comunitare</w:t>
            </w:r>
          </w:p>
        </w:tc>
        <w:tc>
          <w:tcPr>
            <w:tcW w:w="7371" w:type="dxa"/>
            <w:gridSpan w:val="6"/>
          </w:tcPr>
          <w:p w14:paraId="1FB806C6" w14:textId="77777777" w:rsidR="00B95545" w:rsidRPr="00B939C6" w:rsidRDefault="00B95545" w:rsidP="00A728B1">
            <w:pPr>
              <w:spacing w:after="0"/>
              <w:ind w:left="69"/>
              <w:rPr>
                <w:rFonts w:cs="Arial"/>
                <w:snapToGrid w:val="0"/>
              </w:rPr>
            </w:pPr>
            <w:r w:rsidRPr="00B939C6">
              <w:rPr>
                <w:rFonts w:cs="Arial"/>
                <w:snapToGrid w:val="0"/>
              </w:rPr>
              <w:t xml:space="preserve">Nu este cazul. </w:t>
            </w:r>
          </w:p>
        </w:tc>
      </w:tr>
      <w:tr w:rsidR="00B95545" w:rsidRPr="00B939C6" w14:paraId="55CC3124" w14:textId="77777777" w:rsidTr="00B939C6">
        <w:trPr>
          <w:trHeight w:val="328"/>
        </w:trPr>
        <w:tc>
          <w:tcPr>
            <w:tcW w:w="2730" w:type="dxa"/>
          </w:tcPr>
          <w:p w14:paraId="01AAFEC7" w14:textId="77777777" w:rsidR="00B95545" w:rsidRPr="00B939C6" w:rsidRDefault="00B95545" w:rsidP="00A728B1">
            <w:pPr>
              <w:spacing w:after="0"/>
              <w:ind w:left="69"/>
              <w:rPr>
                <w:rFonts w:cs="Arial"/>
                <w:snapToGrid w:val="0"/>
              </w:rPr>
            </w:pPr>
            <w:r w:rsidRPr="00B939C6">
              <w:rPr>
                <w:rFonts w:cs="Arial"/>
                <w:snapToGrid w:val="0"/>
              </w:rPr>
              <w:t>4. Hotărâri ale Curții de Justiție a Uniunii Europene</w:t>
            </w:r>
          </w:p>
        </w:tc>
        <w:tc>
          <w:tcPr>
            <w:tcW w:w="7371" w:type="dxa"/>
            <w:gridSpan w:val="6"/>
          </w:tcPr>
          <w:p w14:paraId="17FCBC30" w14:textId="77777777" w:rsidR="00B95545" w:rsidRPr="00B939C6" w:rsidRDefault="00B95545" w:rsidP="00A728B1">
            <w:pPr>
              <w:spacing w:after="0"/>
              <w:ind w:left="69" w:right="-391"/>
              <w:rPr>
                <w:rFonts w:cs="Arial"/>
              </w:rPr>
            </w:pPr>
            <w:r w:rsidRPr="00B939C6">
              <w:rPr>
                <w:rFonts w:cs="Arial"/>
              </w:rPr>
              <w:t xml:space="preserve">Nu este cazul. </w:t>
            </w:r>
          </w:p>
        </w:tc>
      </w:tr>
      <w:tr w:rsidR="00B95545" w:rsidRPr="00B939C6" w14:paraId="1A94ED37" w14:textId="77777777" w:rsidTr="00B939C6">
        <w:trPr>
          <w:trHeight w:val="328"/>
        </w:trPr>
        <w:tc>
          <w:tcPr>
            <w:tcW w:w="2730" w:type="dxa"/>
          </w:tcPr>
          <w:p w14:paraId="1586094C" w14:textId="77777777" w:rsidR="00B95545" w:rsidRPr="00B939C6" w:rsidRDefault="00B95545" w:rsidP="00A728B1">
            <w:pPr>
              <w:spacing w:after="0"/>
              <w:ind w:left="69" w:right="134"/>
              <w:rPr>
                <w:rFonts w:cs="Arial"/>
                <w:snapToGrid w:val="0"/>
              </w:rPr>
            </w:pPr>
            <w:r w:rsidRPr="00B939C6">
              <w:rPr>
                <w:rFonts w:cs="Arial"/>
                <w:snapToGrid w:val="0"/>
              </w:rPr>
              <w:t xml:space="preserve">5. Alte acte normative și/sau documente </w:t>
            </w:r>
            <w:r w:rsidRPr="00B939C6">
              <w:rPr>
                <w:rFonts w:cs="Arial"/>
                <w:snapToGrid w:val="0"/>
              </w:rPr>
              <w:lastRenderedPageBreak/>
              <w:t>internaționale din care decurg angajamente</w:t>
            </w:r>
          </w:p>
        </w:tc>
        <w:tc>
          <w:tcPr>
            <w:tcW w:w="7371" w:type="dxa"/>
            <w:gridSpan w:val="6"/>
          </w:tcPr>
          <w:p w14:paraId="521F6C92" w14:textId="77777777" w:rsidR="00B95545" w:rsidRPr="00B939C6" w:rsidRDefault="00B95545" w:rsidP="00A728B1">
            <w:pPr>
              <w:spacing w:after="0"/>
              <w:ind w:left="69" w:right="134"/>
              <w:rPr>
                <w:rFonts w:cs="Arial"/>
              </w:rPr>
            </w:pPr>
          </w:p>
        </w:tc>
      </w:tr>
      <w:tr w:rsidR="00B95545" w:rsidRPr="00B939C6" w14:paraId="19F46BD7" w14:textId="77777777" w:rsidTr="00B939C6">
        <w:trPr>
          <w:trHeight w:val="328"/>
        </w:trPr>
        <w:tc>
          <w:tcPr>
            <w:tcW w:w="2730" w:type="dxa"/>
          </w:tcPr>
          <w:p w14:paraId="5E5D1817" w14:textId="77777777" w:rsidR="00B95545" w:rsidRPr="00B939C6" w:rsidRDefault="00B95545" w:rsidP="00A728B1">
            <w:pPr>
              <w:spacing w:after="0"/>
              <w:ind w:left="69" w:right="134"/>
              <w:rPr>
                <w:rFonts w:cs="Arial"/>
                <w:snapToGrid w:val="0"/>
              </w:rPr>
            </w:pPr>
            <w:r w:rsidRPr="00B939C6">
              <w:rPr>
                <w:rFonts w:cs="Arial"/>
                <w:snapToGrid w:val="0"/>
              </w:rPr>
              <w:t xml:space="preserve">6. Alte informații. </w:t>
            </w:r>
          </w:p>
        </w:tc>
        <w:tc>
          <w:tcPr>
            <w:tcW w:w="7371" w:type="dxa"/>
            <w:gridSpan w:val="6"/>
          </w:tcPr>
          <w:p w14:paraId="347224A4" w14:textId="060A58DF" w:rsidR="00B939C6" w:rsidRPr="00B939C6" w:rsidRDefault="00B95545" w:rsidP="00A728B1">
            <w:pPr>
              <w:spacing w:after="0"/>
              <w:ind w:left="69" w:right="134"/>
              <w:rPr>
                <w:rFonts w:cs="Arial"/>
              </w:rPr>
            </w:pPr>
            <w:r w:rsidRPr="00B939C6">
              <w:rPr>
                <w:rFonts w:cs="Arial"/>
              </w:rPr>
              <w:t xml:space="preserve">Nu este cazul. </w:t>
            </w:r>
          </w:p>
        </w:tc>
      </w:tr>
      <w:tr w:rsidR="00B95545" w:rsidRPr="00B939C6" w14:paraId="50F80860" w14:textId="77777777" w:rsidTr="00B939C6">
        <w:trPr>
          <w:trHeight w:val="328"/>
        </w:trPr>
        <w:tc>
          <w:tcPr>
            <w:tcW w:w="10101" w:type="dxa"/>
            <w:gridSpan w:val="7"/>
          </w:tcPr>
          <w:p w14:paraId="11F76E96" w14:textId="77777777" w:rsidR="00A728B1" w:rsidRDefault="00A728B1" w:rsidP="00A728B1">
            <w:pPr>
              <w:spacing w:after="0"/>
              <w:ind w:left="69" w:right="134"/>
              <w:jc w:val="center"/>
              <w:rPr>
                <w:rFonts w:cs="Arial"/>
                <w:b/>
                <w:snapToGrid w:val="0"/>
              </w:rPr>
            </w:pPr>
          </w:p>
          <w:p w14:paraId="099E4D35" w14:textId="77777777" w:rsidR="00B95545" w:rsidRDefault="00B939C6" w:rsidP="00A728B1">
            <w:pPr>
              <w:spacing w:after="0"/>
              <w:ind w:left="69" w:right="134"/>
              <w:jc w:val="center"/>
              <w:rPr>
                <w:rFonts w:cs="Arial"/>
                <w:b/>
                <w:snapToGrid w:val="0"/>
              </w:rPr>
            </w:pPr>
            <w:r w:rsidRPr="00B939C6">
              <w:rPr>
                <w:rFonts w:cs="Arial"/>
                <w:b/>
                <w:snapToGrid w:val="0"/>
              </w:rPr>
              <w:t>Secțiunea</w:t>
            </w:r>
            <w:r w:rsidR="00B95545" w:rsidRPr="00B939C6">
              <w:rPr>
                <w:rFonts w:cs="Arial"/>
                <w:b/>
                <w:snapToGrid w:val="0"/>
              </w:rPr>
              <w:t xml:space="preserve"> a 6-a – Consultările efectuate în vederea elaborării proiectului de act normativ</w:t>
            </w:r>
          </w:p>
          <w:p w14:paraId="50D9DCCA" w14:textId="5C5A2730" w:rsidR="00A728B1" w:rsidRPr="00B939C6" w:rsidRDefault="00A728B1" w:rsidP="00A728B1">
            <w:pPr>
              <w:spacing w:after="0"/>
              <w:ind w:left="69" w:right="134"/>
              <w:jc w:val="center"/>
              <w:rPr>
                <w:rFonts w:cs="Arial"/>
                <w:b/>
                <w:snapToGrid w:val="0"/>
              </w:rPr>
            </w:pPr>
          </w:p>
        </w:tc>
      </w:tr>
      <w:tr w:rsidR="00B95545" w:rsidRPr="00B939C6" w14:paraId="22711403" w14:textId="77777777" w:rsidTr="00B939C6">
        <w:trPr>
          <w:trHeight w:val="340"/>
        </w:trPr>
        <w:tc>
          <w:tcPr>
            <w:tcW w:w="2730" w:type="dxa"/>
          </w:tcPr>
          <w:p w14:paraId="5666204B" w14:textId="7FE7FB9E" w:rsidR="00B95545" w:rsidRPr="00B939C6" w:rsidRDefault="00B95545" w:rsidP="00A728B1">
            <w:pPr>
              <w:spacing w:after="0"/>
              <w:ind w:left="69" w:right="134"/>
              <w:rPr>
                <w:rFonts w:cs="Arial"/>
                <w:snapToGrid w:val="0"/>
              </w:rPr>
            </w:pPr>
            <w:r w:rsidRPr="00B939C6">
              <w:rPr>
                <w:rFonts w:cs="Arial"/>
              </w:rPr>
              <w:t xml:space="preserve">1. </w:t>
            </w:r>
            <w:r w:rsidR="00B939C6" w:rsidRPr="00B939C6">
              <w:rPr>
                <w:rFonts w:cs="Arial"/>
              </w:rPr>
              <w:t>Informații</w:t>
            </w:r>
            <w:r w:rsidRPr="00B939C6">
              <w:rPr>
                <w:rFonts w:cs="Arial"/>
              </w:rPr>
              <w:t xml:space="preserve"> privind procesul de consultare cu </w:t>
            </w:r>
            <w:r w:rsidR="00B939C6" w:rsidRPr="00B939C6">
              <w:rPr>
                <w:rFonts w:cs="Arial"/>
              </w:rPr>
              <w:t>organizații</w:t>
            </w:r>
            <w:r w:rsidRPr="00B939C6">
              <w:rPr>
                <w:rFonts w:cs="Arial"/>
              </w:rPr>
              <w:t xml:space="preserve"> neguvernamentale, institute de  cercetare </w:t>
            </w:r>
            <w:r w:rsidR="00B939C6" w:rsidRPr="00B939C6">
              <w:rPr>
                <w:rFonts w:cs="Arial"/>
              </w:rPr>
              <w:t>și</w:t>
            </w:r>
            <w:r w:rsidRPr="00B939C6">
              <w:rPr>
                <w:rFonts w:cs="Arial"/>
              </w:rPr>
              <w:t xml:space="preserve"> alte organisme     implicate</w:t>
            </w:r>
          </w:p>
        </w:tc>
        <w:tc>
          <w:tcPr>
            <w:tcW w:w="7371" w:type="dxa"/>
            <w:gridSpan w:val="6"/>
          </w:tcPr>
          <w:p w14:paraId="26F1B9C9" w14:textId="685CB0E1" w:rsidR="00B95545" w:rsidRPr="00B939C6" w:rsidRDefault="00B95545" w:rsidP="00A728B1">
            <w:pPr>
              <w:spacing w:after="0"/>
              <w:ind w:left="69" w:right="134"/>
              <w:rPr>
                <w:rFonts w:cs="Arial"/>
                <w:snapToGrid w:val="0"/>
              </w:rPr>
            </w:pPr>
            <w:r w:rsidRPr="00B939C6">
              <w:rPr>
                <w:rFonts w:cs="Arial"/>
                <w:snapToGrid w:val="0"/>
              </w:rPr>
              <w:t>Nu este cazul</w:t>
            </w:r>
            <w:r w:rsidR="00053A95">
              <w:rPr>
                <w:rFonts w:cs="Arial"/>
                <w:snapToGrid w:val="0"/>
              </w:rPr>
              <w:t>.</w:t>
            </w:r>
          </w:p>
        </w:tc>
      </w:tr>
      <w:tr w:rsidR="00B95545" w:rsidRPr="00B939C6" w14:paraId="18B2EAF2" w14:textId="77777777" w:rsidTr="00B939C6">
        <w:trPr>
          <w:trHeight w:val="338"/>
        </w:trPr>
        <w:tc>
          <w:tcPr>
            <w:tcW w:w="2730" w:type="dxa"/>
          </w:tcPr>
          <w:p w14:paraId="67196F36" w14:textId="2DD257F2" w:rsidR="00B95545" w:rsidRPr="00B939C6" w:rsidRDefault="00B95545" w:rsidP="00A728B1">
            <w:pPr>
              <w:spacing w:after="0"/>
              <w:ind w:left="69" w:right="134"/>
              <w:rPr>
                <w:rFonts w:cs="Arial"/>
                <w:snapToGrid w:val="0"/>
              </w:rPr>
            </w:pPr>
            <w:r w:rsidRPr="00B939C6">
              <w:rPr>
                <w:rFonts w:cs="Arial"/>
                <w:snapToGrid w:val="0"/>
              </w:rPr>
              <w:t xml:space="preserve">2. Fundamentarea alegerii </w:t>
            </w:r>
            <w:r w:rsidR="00B939C6" w:rsidRPr="00B939C6">
              <w:rPr>
                <w:rFonts w:cs="Arial"/>
                <w:snapToGrid w:val="0"/>
              </w:rPr>
              <w:t>organizațiilor</w:t>
            </w:r>
            <w:r w:rsidRPr="00B939C6">
              <w:rPr>
                <w:rFonts w:cs="Arial"/>
                <w:snapToGrid w:val="0"/>
              </w:rPr>
              <w:t xml:space="preserve"> cu care a avut loc consultarea, precum </w:t>
            </w:r>
            <w:r w:rsidR="00B939C6" w:rsidRPr="00B939C6">
              <w:rPr>
                <w:rFonts w:cs="Arial"/>
                <w:snapToGrid w:val="0"/>
              </w:rPr>
              <w:t>și</w:t>
            </w:r>
            <w:r w:rsidRPr="00B939C6">
              <w:rPr>
                <w:rFonts w:cs="Arial"/>
                <w:snapToGrid w:val="0"/>
              </w:rPr>
              <w:t xml:space="preserve"> a modului în care activitatea acestor </w:t>
            </w:r>
            <w:r w:rsidR="00B939C6" w:rsidRPr="00B939C6">
              <w:rPr>
                <w:rFonts w:cs="Arial"/>
                <w:snapToGrid w:val="0"/>
              </w:rPr>
              <w:t>organizații</w:t>
            </w:r>
            <w:r w:rsidRPr="00B939C6">
              <w:rPr>
                <w:rFonts w:cs="Arial"/>
                <w:snapToGrid w:val="0"/>
              </w:rPr>
              <w:t xml:space="preserve"> este legată de obiectul proiectului de act normativ</w:t>
            </w:r>
          </w:p>
        </w:tc>
        <w:tc>
          <w:tcPr>
            <w:tcW w:w="7371" w:type="dxa"/>
            <w:gridSpan w:val="6"/>
          </w:tcPr>
          <w:p w14:paraId="55CC4654" w14:textId="3933CABC" w:rsidR="00B95545" w:rsidRPr="00B939C6" w:rsidRDefault="00B95545" w:rsidP="00A728B1">
            <w:pPr>
              <w:spacing w:after="0"/>
              <w:ind w:left="69" w:right="134"/>
              <w:rPr>
                <w:rFonts w:cs="Arial"/>
                <w:snapToGrid w:val="0"/>
              </w:rPr>
            </w:pPr>
            <w:r w:rsidRPr="00B939C6">
              <w:rPr>
                <w:rFonts w:cs="Arial"/>
                <w:snapToGrid w:val="0"/>
              </w:rPr>
              <w:t>Nu este cazul</w:t>
            </w:r>
            <w:r w:rsidR="00053A95">
              <w:rPr>
                <w:rFonts w:cs="Arial"/>
                <w:snapToGrid w:val="0"/>
              </w:rPr>
              <w:t>.</w:t>
            </w:r>
          </w:p>
        </w:tc>
      </w:tr>
      <w:tr w:rsidR="00B95545" w:rsidRPr="00B939C6" w14:paraId="42784D71" w14:textId="77777777" w:rsidTr="00B939C6">
        <w:trPr>
          <w:trHeight w:val="338"/>
        </w:trPr>
        <w:tc>
          <w:tcPr>
            <w:tcW w:w="2730" w:type="dxa"/>
          </w:tcPr>
          <w:p w14:paraId="22EC0501" w14:textId="5CBB72F9" w:rsidR="00B95545" w:rsidRPr="00B939C6" w:rsidRDefault="00B95545" w:rsidP="00A728B1">
            <w:pPr>
              <w:spacing w:after="0"/>
              <w:ind w:left="69" w:right="134"/>
              <w:rPr>
                <w:rFonts w:cs="Arial"/>
                <w:snapToGrid w:val="0"/>
              </w:rPr>
            </w:pPr>
            <w:r w:rsidRPr="00B939C6">
              <w:rPr>
                <w:rFonts w:cs="Arial"/>
                <w:snapToGrid w:val="0"/>
              </w:rPr>
              <w:t xml:space="preserve">3. Consultările organizate cu </w:t>
            </w:r>
            <w:r w:rsidR="00B939C6" w:rsidRPr="00B939C6">
              <w:rPr>
                <w:rFonts w:cs="Arial"/>
                <w:snapToGrid w:val="0"/>
              </w:rPr>
              <w:t>autoritățile</w:t>
            </w:r>
            <w:r w:rsidRPr="00B939C6">
              <w:rPr>
                <w:rFonts w:cs="Arial"/>
                <w:snapToGrid w:val="0"/>
              </w:rPr>
              <w:t xml:space="preserve"> </w:t>
            </w:r>
            <w:r w:rsidR="00B939C6" w:rsidRPr="00B939C6">
              <w:rPr>
                <w:rFonts w:cs="Arial"/>
                <w:snapToGrid w:val="0"/>
              </w:rPr>
              <w:t>administrației</w:t>
            </w:r>
            <w:r w:rsidRPr="00B939C6">
              <w:rPr>
                <w:rFonts w:cs="Arial"/>
                <w:snapToGrid w:val="0"/>
              </w:rPr>
              <w:t xml:space="preserve"> publice locale, în </w:t>
            </w:r>
            <w:r w:rsidR="00B939C6" w:rsidRPr="00B939C6">
              <w:rPr>
                <w:rFonts w:cs="Arial"/>
                <w:snapToGrid w:val="0"/>
              </w:rPr>
              <w:t>situația</w:t>
            </w:r>
            <w:r w:rsidRPr="00B939C6">
              <w:rPr>
                <w:rFonts w:cs="Arial"/>
                <w:snapToGrid w:val="0"/>
              </w:rPr>
              <w:t xml:space="preserve"> în care proiectul de act normativ are ca obiect </w:t>
            </w:r>
            <w:r w:rsidR="00B939C6" w:rsidRPr="00B939C6">
              <w:rPr>
                <w:rFonts w:cs="Arial"/>
                <w:snapToGrid w:val="0"/>
              </w:rPr>
              <w:t>activități</w:t>
            </w:r>
            <w:r w:rsidRPr="00B939C6">
              <w:rPr>
                <w:rFonts w:cs="Arial"/>
                <w:snapToGrid w:val="0"/>
              </w:rPr>
              <w:t xml:space="preserve"> ale acestor </w:t>
            </w:r>
            <w:r w:rsidR="00B939C6" w:rsidRPr="00B939C6">
              <w:rPr>
                <w:rFonts w:cs="Arial"/>
                <w:snapToGrid w:val="0"/>
              </w:rPr>
              <w:t>autorități</w:t>
            </w:r>
            <w:r w:rsidRPr="00B939C6">
              <w:rPr>
                <w:rFonts w:cs="Arial"/>
                <w:snapToGrid w:val="0"/>
              </w:rPr>
              <w:t xml:space="preserve">, în </w:t>
            </w:r>
            <w:r w:rsidR="00B939C6" w:rsidRPr="00B939C6">
              <w:rPr>
                <w:rFonts w:cs="Arial"/>
                <w:snapToGrid w:val="0"/>
              </w:rPr>
              <w:t>condițiile</w:t>
            </w:r>
            <w:r w:rsidRPr="00B939C6">
              <w:rPr>
                <w:rFonts w:cs="Arial"/>
                <w:snapToGrid w:val="0"/>
              </w:rPr>
              <w:t xml:space="preserve"> Hotărârii Guvernului nr. 521/2005 privind procedura de consultare a structurilor asociative ale </w:t>
            </w:r>
            <w:r w:rsidR="00B939C6" w:rsidRPr="00B939C6">
              <w:rPr>
                <w:rFonts w:cs="Arial"/>
                <w:snapToGrid w:val="0"/>
              </w:rPr>
              <w:t>autorităților</w:t>
            </w:r>
            <w:r w:rsidRPr="00B939C6">
              <w:rPr>
                <w:rFonts w:cs="Arial"/>
                <w:snapToGrid w:val="0"/>
              </w:rPr>
              <w:t xml:space="preserve"> </w:t>
            </w:r>
            <w:r w:rsidR="00B939C6" w:rsidRPr="00B939C6">
              <w:rPr>
                <w:rFonts w:cs="Arial"/>
                <w:snapToGrid w:val="0"/>
              </w:rPr>
              <w:t>administrației</w:t>
            </w:r>
            <w:r w:rsidRPr="00B939C6">
              <w:rPr>
                <w:rFonts w:cs="Arial"/>
                <w:snapToGrid w:val="0"/>
              </w:rPr>
              <w:t xml:space="preserve"> publice locale la elaborarea proiectelor de acte normative</w:t>
            </w:r>
          </w:p>
        </w:tc>
        <w:tc>
          <w:tcPr>
            <w:tcW w:w="7371" w:type="dxa"/>
            <w:gridSpan w:val="6"/>
          </w:tcPr>
          <w:p w14:paraId="5388CEF4" w14:textId="43EB0A88" w:rsidR="00B95545" w:rsidRPr="00B939C6" w:rsidRDefault="00B95545" w:rsidP="00A728B1">
            <w:pPr>
              <w:spacing w:after="0"/>
              <w:ind w:left="69" w:right="134"/>
              <w:rPr>
                <w:rFonts w:cs="Arial"/>
                <w:snapToGrid w:val="0"/>
              </w:rPr>
            </w:pPr>
            <w:r w:rsidRPr="00B939C6">
              <w:rPr>
                <w:rFonts w:cs="Arial"/>
                <w:snapToGrid w:val="0"/>
              </w:rPr>
              <w:t>Nu este cazul</w:t>
            </w:r>
            <w:r w:rsidR="00053A95">
              <w:rPr>
                <w:rFonts w:cs="Arial"/>
                <w:snapToGrid w:val="0"/>
              </w:rPr>
              <w:t>.</w:t>
            </w:r>
          </w:p>
        </w:tc>
      </w:tr>
      <w:tr w:rsidR="00B95545" w:rsidRPr="00B939C6" w14:paraId="38D9C915" w14:textId="77777777" w:rsidTr="00B939C6">
        <w:trPr>
          <w:trHeight w:val="338"/>
        </w:trPr>
        <w:tc>
          <w:tcPr>
            <w:tcW w:w="2730" w:type="dxa"/>
          </w:tcPr>
          <w:p w14:paraId="1C3FC9FC" w14:textId="303FC9A2" w:rsidR="00B95545" w:rsidRPr="00B939C6" w:rsidRDefault="00B95545" w:rsidP="00A728B1">
            <w:pPr>
              <w:autoSpaceDE w:val="0"/>
              <w:autoSpaceDN w:val="0"/>
              <w:adjustRightInd w:val="0"/>
              <w:spacing w:after="0"/>
              <w:ind w:left="69" w:right="134"/>
              <w:rPr>
                <w:rFonts w:cs="Arial"/>
                <w:snapToGrid w:val="0"/>
              </w:rPr>
            </w:pPr>
            <w:r w:rsidRPr="00B939C6">
              <w:rPr>
                <w:rFonts w:cs="Arial"/>
                <w:snapToGrid w:val="0"/>
              </w:rPr>
              <w:t xml:space="preserve">4. </w:t>
            </w:r>
            <w:r w:rsidRPr="00B939C6">
              <w:rPr>
                <w:rFonts w:cs="Arial"/>
              </w:rPr>
              <w:t xml:space="preserve">Consultările </w:t>
            </w:r>
            <w:r w:rsidR="00B939C6" w:rsidRPr="00B939C6">
              <w:rPr>
                <w:rFonts w:cs="Arial"/>
              </w:rPr>
              <w:t>desfășurate</w:t>
            </w:r>
            <w:r w:rsidRPr="00B939C6">
              <w:rPr>
                <w:rFonts w:cs="Arial"/>
              </w:rPr>
              <w:t xml:space="preserve"> în cadrul consiliilor interministeriale, în conformitate cu prevederile    Hotărârii Guvernului nr. 750/2005  privind </w:t>
            </w:r>
            <w:r w:rsidRPr="00B939C6">
              <w:rPr>
                <w:rFonts w:cs="Arial"/>
              </w:rPr>
              <w:lastRenderedPageBreak/>
              <w:t>constituirea consiliilor    interministeriale permanente</w:t>
            </w:r>
          </w:p>
        </w:tc>
        <w:tc>
          <w:tcPr>
            <w:tcW w:w="7371" w:type="dxa"/>
            <w:gridSpan w:val="6"/>
          </w:tcPr>
          <w:p w14:paraId="56348B88" w14:textId="3997501F" w:rsidR="00B95545" w:rsidRPr="00B939C6" w:rsidRDefault="00B95545" w:rsidP="00A728B1">
            <w:pPr>
              <w:spacing w:after="0"/>
              <w:ind w:left="69" w:right="134"/>
              <w:rPr>
                <w:rFonts w:cs="Arial"/>
                <w:snapToGrid w:val="0"/>
              </w:rPr>
            </w:pPr>
            <w:r w:rsidRPr="00B939C6">
              <w:rPr>
                <w:rFonts w:cs="Arial"/>
                <w:snapToGrid w:val="0"/>
              </w:rPr>
              <w:lastRenderedPageBreak/>
              <w:t>Nu este cazul</w:t>
            </w:r>
            <w:r w:rsidR="00053A95">
              <w:rPr>
                <w:rFonts w:cs="Arial"/>
                <w:snapToGrid w:val="0"/>
              </w:rPr>
              <w:t>.</w:t>
            </w:r>
          </w:p>
        </w:tc>
      </w:tr>
      <w:tr w:rsidR="00B95545" w:rsidRPr="00B939C6" w14:paraId="1CE1A9E3" w14:textId="77777777" w:rsidTr="00B939C6">
        <w:trPr>
          <w:trHeight w:val="338"/>
        </w:trPr>
        <w:tc>
          <w:tcPr>
            <w:tcW w:w="2730" w:type="dxa"/>
          </w:tcPr>
          <w:p w14:paraId="1603FAF4" w14:textId="6ACF699E" w:rsidR="00B95545" w:rsidRPr="00B939C6" w:rsidRDefault="00B95545" w:rsidP="00A728B1">
            <w:pPr>
              <w:spacing w:after="0"/>
              <w:ind w:left="69" w:right="134"/>
              <w:rPr>
                <w:rFonts w:cs="Arial"/>
                <w:snapToGrid w:val="0"/>
              </w:rPr>
            </w:pPr>
            <w:r w:rsidRPr="00B939C6">
              <w:rPr>
                <w:rFonts w:cs="Arial"/>
                <w:snapToGrid w:val="0"/>
              </w:rPr>
              <w:t xml:space="preserve">5. </w:t>
            </w:r>
            <w:r w:rsidR="00B939C6" w:rsidRPr="00B939C6">
              <w:rPr>
                <w:rFonts w:cs="Arial"/>
                <w:snapToGrid w:val="0"/>
              </w:rPr>
              <w:t>Informații</w:t>
            </w:r>
            <w:r w:rsidRPr="00B939C6">
              <w:rPr>
                <w:rFonts w:cs="Arial"/>
                <w:snapToGrid w:val="0"/>
              </w:rPr>
              <w:t xml:space="preserve"> privind avizarea de către:</w:t>
            </w:r>
          </w:p>
          <w:p w14:paraId="31BF31B1" w14:textId="77777777" w:rsidR="00B95545" w:rsidRPr="00B939C6" w:rsidRDefault="00B95545" w:rsidP="00A728B1">
            <w:pPr>
              <w:spacing w:after="0"/>
              <w:ind w:left="69" w:right="134"/>
              <w:rPr>
                <w:rFonts w:cs="Arial"/>
                <w:snapToGrid w:val="0"/>
              </w:rPr>
            </w:pPr>
            <w:r w:rsidRPr="00B939C6">
              <w:rPr>
                <w:rFonts w:cs="Arial"/>
                <w:snapToGrid w:val="0"/>
              </w:rPr>
              <w:t>a) Consiliul Legislativ</w:t>
            </w:r>
          </w:p>
          <w:p w14:paraId="0EE21EFB" w14:textId="3AC8AF0B" w:rsidR="00B95545" w:rsidRPr="00B939C6" w:rsidRDefault="00B95545" w:rsidP="00A728B1">
            <w:pPr>
              <w:spacing w:after="0"/>
              <w:ind w:left="69" w:right="134"/>
              <w:rPr>
                <w:rFonts w:cs="Arial"/>
                <w:snapToGrid w:val="0"/>
              </w:rPr>
            </w:pPr>
            <w:r w:rsidRPr="00B939C6">
              <w:rPr>
                <w:rFonts w:cs="Arial"/>
                <w:snapToGrid w:val="0"/>
              </w:rPr>
              <w:t xml:space="preserve">b) Consiliul Suprem de Apărare a </w:t>
            </w:r>
            <w:r w:rsidR="00B939C6" w:rsidRPr="00B939C6">
              <w:rPr>
                <w:rFonts w:cs="Arial"/>
                <w:snapToGrid w:val="0"/>
              </w:rPr>
              <w:t>Țării</w:t>
            </w:r>
          </w:p>
          <w:p w14:paraId="13CB4832" w14:textId="722302DE" w:rsidR="00B95545" w:rsidRPr="00B939C6" w:rsidRDefault="00B95545" w:rsidP="00A728B1">
            <w:pPr>
              <w:spacing w:after="0"/>
              <w:ind w:left="69" w:right="134"/>
              <w:rPr>
                <w:rFonts w:cs="Arial"/>
                <w:snapToGrid w:val="0"/>
              </w:rPr>
            </w:pPr>
            <w:r w:rsidRPr="00B939C6">
              <w:rPr>
                <w:rFonts w:cs="Arial"/>
                <w:snapToGrid w:val="0"/>
              </w:rPr>
              <w:t xml:space="preserve">c) Consiliul Economic </w:t>
            </w:r>
            <w:r w:rsidR="00304E25" w:rsidRPr="00B939C6">
              <w:rPr>
                <w:rFonts w:cs="Arial"/>
                <w:snapToGrid w:val="0"/>
              </w:rPr>
              <w:t>și</w:t>
            </w:r>
            <w:r w:rsidRPr="00B939C6">
              <w:rPr>
                <w:rFonts w:cs="Arial"/>
                <w:snapToGrid w:val="0"/>
              </w:rPr>
              <w:t xml:space="preserve"> Social</w:t>
            </w:r>
          </w:p>
          <w:p w14:paraId="789D64CD" w14:textId="4DF0B898" w:rsidR="00B95545" w:rsidRPr="00B939C6" w:rsidRDefault="00B95545" w:rsidP="00A728B1">
            <w:pPr>
              <w:spacing w:after="0"/>
              <w:ind w:left="69" w:right="134"/>
              <w:rPr>
                <w:rFonts w:cs="Arial"/>
                <w:snapToGrid w:val="0"/>
              </w:rPr>
            </w:pPr>
            <w:r w:rsidRPr="00B939C6">
              <w:rPr>
                <w:rFonts w:cs="Arial"/>
                <w:snapToGrid w:val="0"/>
              </w:rPr>
              <w:t xml:space="preserve">d) Consiliul </w:t>
            </w:r>
            <w:r w:rsidR="00304E25" w:rsidRPr="00B939C6">
              <w:rPr>
                <w:rFonts w:cs="Arial"/>
                <w:snapToGrid w:val="0"/>
              </w:rPr>
              <w:t>Concurenței</w:t>
            </w:r>
          </w:p>
          <w:p w14:paraId="493106FB" w14:textId="4102D8D0" w:rsidR="00FE3B1B" w:rsidRPr="00B939C6" w:rsidRDefault="00B95545" w:rsidP="00A728B1">
            <w:pPr>
              <w:spacing w:after="0"/>
              <w:ind w:left="69" w:right="134"/>
              <w:rPr>
                <w:rFonts w:cs="Arial"/>
                <w:snapToGrid w:val="0"/>
              </w:rPr>
            </w:pPr>
            <w:r w:rsidRPr="00B939C6">
              <w:rPr>
                <w:rFonts w:cs="Arial"/>
                <w:snapToGrid w:val="0"/>
              </w:rPr>
              <w:t>e) Curtea de Conturi.</w:t>
            </w:r>
          </w:p>
        </w:tc>
        <w:tc>
          <w:tcPr>
            <w:tcW w:w="7371" w:type="dxa"/>
            <w:gridSpan w:val="6"/>
          </w:tcPr>
          <w:p w14:paraId="78E5A46C" w14:textId="77777777" w:rsidR="00B95545" w:rsidRPr="00B939C6" w:rsidRDefault="00B95545" w:rsidP="00A728B1">
            <w:pPr>
              <w:spacing w:after="0"/>
              <w:ind w:left="69" w:right="134"/>
              <w:rPr>
                <w:rFonts w:cs="Arial"/>
                <w:snapToGrid w:val="0"/>
              </w:rPr>
            </w:pPr>
            <w:r w:rsidRPr="00B939C6">
              <w:rPr>
                <w:rFonts w:cs="Arial"/>
                <w:snapToGrid w:val="0"/>
              </w:rPr>
              <w:t xml:space="preserve">Proiectul va fi avizat de Consiliul Superior al Magistraturii și Consiliul Legislativ. </w:t>
            </w:r>
          </w:p>
        </w:tc>
      </w:tr>
      <w:tr w:rsidR="00B95545" w:rsidRPr="00B939C6" w14:paraId="4D2B62D6" w14:textId="77777777" w:rsidTr="00B939C6">
        <w:trPr>
          <w:trHeight w:val="328"/>
        </w:trPr>
        <w:tc>
          <w:tcPr>
            <w:tcW w:w="10101" w:type="dxa"/>
            <w:gridSpan w:val="7"/>
          </w:tcPr>
          <w:p w14:paraId="63432829" w14:textId="77777777" w:rsidR="00A728B1" w:rsidRDefault="00A728B1" w:rsidP="00A728B1">
            <w:pPr>
              <w:spacing w:after="0"/>
              <w:ind w:left="69" w:right="134"/>
              <w:jc w:val="center"/>
              <w:rPr>
                <w:rFonts w:cs="Arial"/>
                <w:b/>
                <w:snapToGrid w:val="0"/>
              </w:rPr>
            </w:pPr>
          </w:p>
          <w:p w14:paraId="22F69E94" w14:textId="77777777" w:rsidR="00B95545" w:rsidRDefault="00FE3B1B" w:rsidP="00A728B1">
            <w:pPr>
              <w:spacing w:after="0"/>
              <w:ind w:left="69" w:right="134"/>
              <w:jc w:val="center"/>
              <w:rPr>
                <w:rFonts w:cs="Arial"/>
                <w:b/>
                <w:snapToGrid w:val="0"/>
              </w:rPr>
            </w:pPr>
            <w:r w:rsidRPr="00B939C6">
              <w:rPr>
                <w:rFonts w:cs="Arial"/>
                <w:b/>
                <w:snapToGrid w:val="0"/>
              </w:rPr>
              <w:t>Secțiunea</w:t>
            </w:r>
            <w:r w:rsidR="00B95545" w:rsidRPr="00B939C6">
              <w:rPr>
                <w:rFonts w:cs="Arial"/>
                <w:b/>
                <w:snapToGrid w:val="0"/>
              </w:rPr>
              <w:t xml:space="preserve"> a 7-a – </w:t>
            </w:r>
            <w:r w:rsidRPr="00B939C6">
              <w:rPr>
                <w:rFonts w:cs="Arial"/>
                <w:b/>
                <w:snapToGrid w:val="0"/>
              </w:rPr>
              <w:t>Activități</w:t>
            </w:r>
            <w:r w:rsidR="00B95545" w:rsidRPr="00B939C6">
              <w:rPr>
                <w:rFonts w:cs="Arial"/>
                <w:b/>
                <w:snapToGrid w:val="0"/>
              </w:rPr>
              <w:t xml:space="preserve"> de informare publică privind elaborarea </w:t>
            </w:r>
            <w:r w:rsidRPr="00B939C6">
              <w:rPr>
                <w:rFonts w:cs="Arial"/>
                <w:b/>
                <w:snapToGrid w:val="0"/>
              </w:rPr>
              <w:t>și</w:t>
            </w:r>
            <w:r w:rsidR="00B95545" w:rsidRPr="00B939C6">
              <w:rPr>
                <w:rFonts w:cs="Arial"/>
                <w:b/>
                <w:snapToGrid w:val="0"/>
              </w:rPr>
              <w:t xml:space="preserve"> implementarea proiectului de act normativ</w:t>
            </w:r>
          </w:p>
          <w:p w14:paraId="183F3D9D" w14:textId="2268A109" w:rsidR="00A728B1" w:rsidRPr="00B939C6" w:rsidRDefault="00A728B1" w:rsidP="00A728B1">
            <w:pPr>
              <w:spacing w:after="0"/>
              <w:ind w:left="69" w:right="134"/>
              <w:jc w:val="center"/>
              <w:rPr>
                <w:rFonts w:cs="Arial"/>
                <w:b/>
                <w:snapToGrid w:val="0"/>
              </w:rPr>
            </w:pPr>
          </w:p>
        </w:tc>
      </w:tr>
      <w:tr w:rsidR="00B95545" w:rsidRPr="00B939C6" w14:paraId="5402AF53" w14:textId="77777777" w:rsidTr="00B939C6">
        <w:trPr>
          <w:trHeight w:val="338"/>
        </w:trPr>
        <w:tc>
          <w:tcPr>
            <w:tcW w:w="2730" w:type="dxa"/>
          </w:tcPr>
          <w:p w14:paraId="62A0ACB6" w14:textId="73EFD2F0" w:rsidR="00B95545" w:rsidRPr="00B939C6" w:rsidRDefault="00B95545" w:rsidP="00A728B1">
            <w:pPr>
              <w:spacing w:after="0"/>
              <w:ind w:left="69" w:right="134"/>
              <w:rPr>
                <w:rFonts w:cs="Arial"/>
                <w:snapToGrid w:val="0"/>
              </w:rPr>
            </w:pPr>
            <w:r w:rsidRPr="00B939C6">
              <w:rPr>
                <w:rFonts w:cs="Arial"/>
                <w:snapToGrid w:val="0"/>
              </w:rPr>
              <w:t xml:space="preserve">1. Informarea </w:t>
            </w:r>
            <w:r w:rsidR="00B939C6" w:rsidRPr="00B939C6">
              <w:rPr>
                <w:rFonts w:cs="Arial"/>
                <w:snapToGrid w:val="0"/>
              </w:rPr>
              <w:t>societății</w:t>
            </w:r>
            <w:r w:rsidRPr="00B939C6">
              <w:rPr>
                <w:rFonts w:cs="Arial"/>
                <w:snapToGrid w:val="0"/>
              </w:rPr>
              <w:t xml:space="preserve"> civile cu privire la necesitatea elaborării actului normativ</w:t>
            </w:r>
          </w:p>
        </w:tc>
        <w:tc>
          <w:tcPr>
            <w:tcW w:w="7371" w:type="dxa"/>
            <w:gridSpan w:val="6"/>
          </w:tcPr>
          <w:p w14:paraId="490EB355" w14:textId="77777777" w:rsidR="00B95545" w:rsidRPr="00B939C6" w:rsidRDefault="00B95545" w:rsidP="00A728B1">
            <w:pPr>
              <w:autoSpaceDE w:val="0"/>
              <w:autoSpaceDN w:val="0"/>
              <w:adjustRightInd w:val="0"/>
              <w:spacing w:after="0"/>
              <w:ind w:left="69" w:right="134"/>
              <w:rPr>
                <w:rFonts w:cs="Arial"/>
              </w:rPr>
            </w:pPr>
          </w:p>
        </w:tc>
      </w:tr>
      <w:tr w:rsidR="00B95545" w:rsidRPr="00B939C6" w14:paraId="2B27AFD8" w14:textId="77777777" w:rsidTr="00B939C6">
        <w:trPr>
          <w:trHeight w:val="336"/>
        </w:trPr>
        <w:tc>
          <w:tcPr>
            <w:tcW w:w="2730" w:type="dxa"/>
          </w:tcPr>
          <w:p w14:paraId="060CEF21" w14:textId="7EC8ABFE" w:rsidR="00B95545" w:rsidRPr="00B939C6" w:rsidRDefault="00B95545" w:rsidP="00A728B1">
            <w:pPr>
              <w:spacing w:after="0"/>
              <w:ind w:left="69" w:right="134"/>
              <w:rPr>
                <w:rFonts w:cs="Arial"/>
                <w:snapToGrid w:val="0"/>
              </w:rPr>
            </w:pPr>
            <w:r w:rsidRPr="00B939C6">
              <w:rPr>
                <w:rFonts w:cs="Arial"/>
                <w:snapToGrid w:val="0"/>
              </w:rPr>
              <w:t xml:space="preserve">2. Informarea </w:t>
            </w:r>
            <w:r w:rsidR="00B939C6" w:rsidRPr="00B939C6">
              <w:rPr>
                <w:rFonts w:cs="Arial"/>
                <w:snapToGrid w:val="0"/>
              </w:rPr>
              <w:t>societății</w:t>
            </w:r>
            <w:r w:rsidRPr="00B939C6">
              <w:rPr>
                <w:rFonts w:cs="Arial"/>
                <w:snapToGrid w:val="0"/>
              </w:rPr>
              <w:t xml:space="preserve"> civile cu privire la eventualul impact asupra mediului în urma implementării proiectului de act normativ, precum </w:t>
            </w:r>
            <w:r w:rsidR="00B939C6" w:rsidRPr="00B939C6">
              <w:rPr>
                <w:rFonts w:cs="Arial"/>
                <w:snapToGrid w:val="0"/>
              </w:rPr>
              <w:t>și</w:t>
            </w:r>
            <w:r w:rsidRPr="00B939C6">
              <w:rPr>
                <w:rFonts w:cs="Arial"/>
                <w:snapToGrid w:val="0"/>
              </w:rPr>
              <w:t xml:space="preserve"> efectele asupra </w:t>
            </w:r>
            <w:r w:rsidR="00B939C6" w:rsidRPr="00B939C6">
              <w:rPr>
                <w:rFonts w:cs="Arial"/>
                <w:snapToGrid w:val="0"/>
              </w:rPr>
              <w:t>sănătății</w:t>
            </w:r>
            <w:r w:rsidRPr="00B939C6">
              <w:rPr>
                <w:rFonts w:cs="Arial"/>
                <w:snapToGrid w:val="0"/>
              </w:rPr>
              <w:t xml:space="preserve"> </w:t>
            </w:r>
            <w:r w:rsidR="00B939C6" w:rsidRPr="00B939C6">
              <w:rPr>
                <w:rFonts w:cs="Arial"/>
                <w:snapToGrid w:val="0"/>
              </w:rPr>
              <w:t>și</w:t>
            </w:r>
            <w:r w:rsidRPr="00B939C6">
              <w:rPr>
                <w:rFonts w:cs="Arial"/>
                <w:snapToGrid w:val="0"/>
              </w:rPr>
              <w:t xml:space="preserve"> </w:t>
            </w:r>
            <w:r w:rsidR="00B939C6" w:rsidRPr="00B939C6">
              <w:rPr>
                <w:rFonts w:cs="Arial"/>
                <w:snapToGrid w:val="0"/>
              </w:rPr>
              <w:t>securității</w:t>
            </w:r>
            <w:r w:rsidRPr="00B939C6">
              <w:rPr>
                <w:rFonts w:cs="Arial"/>
                <w:snapToGrid w:val="0"/>
              </w:rPr>
              <w:t xml:space="preserve"> </w:t>
            </w:r>
            <w:r w:rsidR="00B939C6" w:rsidRPr="00B939C6">
              <w:rPr>
                <w:rFonts w:cs="Arial"/>
                <w:snapToGrid w:val="0"/>
              </w:rPr>
              <w:t>cetățenilor</w:t>
            </w:r>
            <w:r w:rsidRPr="00B939C6">
              <w:rPr>
                <w:rFonts w:cs="Arial"/>
                <w:snapToGrid w:val="0"/>
              </w:rPr>
              <w:t xml:space="preserve"> sau </w:t>
            </w:r>
            <w:r w:rsidR="00B939C6" w:rsidRPr="00B939C6">
              <w:rPr>
                <w:rFonts w:cs="Arial"/>
                <w:snapToGrid w:val="0"/>
              </w:rPr>
              <w:t>diversității</w:t>
            </w:r>
            <w:r w:rsidRPr="00B939C6">
              <w:rPr>
                <w:rFonts w:cs="Arial"/>
                <w:snapToGrid w:val="0"/>
              </w:rPr>
              <w:t xml:space="preserve"> biologice</w:t>
            </w:r>
          </w:p>
        </w:tc>
        <w:tc>
          <w:tcPr>
            <w:tcW w:w="7371" w:type="dxa"/>
            <w:gridSpan w:val="6"/>
          </w:tcPr>
          <w:p w14:paraId="393E6EA6" w14:textId="26CD6E00" w:rsidR="00B95545" w:rsidRPr="00B939C6" w:rsidRDefault="00B95545" w:rsidP="00A728B1">
            <w:pPr>
              <w:spacing w:after="0"/>
              <w:ind w:left="69" w:right="134"/>
              <w:rPr>
                <w:rFonts w:cs="Arial"/>
                <w:snapToGrid w:val="0"/>
              </w:rPr>
            </w:pPr>
            <w:r w:rsidRPr="00B939C6">
              <w:rPr>
                <w:rFonts w:cs="Arial"/>
                <w:snapToGrid w:val="0"/>
              </w:rPr>
              <w:t>Nu este cazul</w:t>
            </w:r>
            <w:r w:rsidR="00053A95">
              <w:rPr>
                <w:rFonts w:cs="Arial"/>
                <w:snapToGrid w:val="0"/>
              </w:rPr>
              <w:t>.</w:t>
            </w:r>
          </w:p>
        </w:tc>
      </w:tr>
      <w:tr w:rsidR="00B95545" w:rsidRPr="00B939C6" w14:paraId="0CDE5384" w14:textId="77777777" w:rsidTr="00B939C6">
        <w:trPr>
          <w:trHeight w:val="336"/>
        </w:trPr>
        <w:tc>
          <w:tcPr>
            <w:tcW w:w="2730" w:type="dxa"/>
          </w:tcPr>
          <w:p w14:paraId="2C91CDA2" w14:textId="77777777" w:rsidR="00B95545" w:rsidRPr="00B939C6" w:rsidRDefault="00B95545" w:rsidP="00A728B1">
            <w:pPr>
              <w:spacing w:after="0"/>
              <w:ind w:left="69" w:right="134"/>
              <w:rPr>
                <w:rFonts w:cs="Arial"/>
                <w:snapToGrid w:val="0"/>
              </w:rPr>
            </w:pPr>
            <w:r w:rsidRPr="00B939C6">
              <w:rPr>
                <w:rFonts w:cs="Arial"/>
                <w:snapToGrid w:val="0"/>
              </w:rPr>
              <w:t>3. Alte informații</w:t>
            </w:r>
          </w:p>
        </w:tc>
        <w:tc>
          <w:tcPr>
            <w:tcW w:w="7371" w:type="dxa"/>
            <w:gridSpan w:val="6"/>
          </w:tcPr>
          <w:p w14:paraId="708A835C" w14:textId="13EB460D" w:rsidR="00FE3B1B" w:rsidRPr="00B939C6" w:rsidRDefault="00B95545" w:rsidP="00A728B1">
            <w:pPr>
              <w:spacing w:after="0"/>
              <w:ind w:left="69" w:right="134"/>
              <w:rPr>
                <w:rFonts w:cs="Arial"/>
                <w:snapToGrid w:val="0"/>
              </w:rPr>
            </w:pPr>
            <w:r w:rsidRPr="00B939C6">
              <w:rPr>
                <w:rFonts w:cs="Arial"/>
                <w:snapToGrid w:val="0"/>
              </w:rPr>
              <w:t>Nu este cazul</w:t>
            </w:r>
            <w:r w:rsidR="00053A95">
              <w:rPr>
                <w:rFonts w:cs="Arial"/>
                <w:snapToGrid w:val="0"/>
              </w:rPr>
              <w:t>.</w:t>
            </w:r>
          </w:p>
        </w:tc>
      </w:tr>
      <w:tr w:rsidR="00B95545" w:rsidRPr="00B939C6" w14:paraId="730227A1" w14:textId="77777777" w:rsidTr="00B939C6">
        <w:trPr>
          <w:trHeight w:val="336"/>
        </w:trPr>
        <w:tc>
          <w:tcPr>
            <w:tcW w:w="10101" w:type="dxa"/>
            <w:gridSpan w:val="7"/>
          </w:tcPr>
          <w:p w14:paraId="0E10B472" w14:textId="77777777" w:rsidR="00A728B1" w:rsidRDefault="00A728B1" w:rsidP="00A728B1">
            <w:pPr>
              <w:spacing w:after="0"/>
              <w:ind w:left="69" w:right="134"/>
              <w:jc w:val="center"/>
              <w:rPr>
                <w:rFonts w:cs="Arial"/>
                <w:b/>
                <w:snapToGrid w:val="0"/>
              </w:rPr>
            </w:pPr>
          </w:p>
          <w:p w14:paraId="0F107D37" w14:textId="77777777" w:rsidR="00B95545" w:rsidRDefault="00FE3B1B" w:rsidP="00A728B1">
            <w:pPr>
              <w:spacing w:after="0"/>
              <w:ind w:left="69" w:right="134"/>
              <w:jc w:val="center"/>
              <w:rPr>
                <w:rFonts w:cs="Arial"/>
                <w:b/>
                <w:snapToGrid w:val="0"/>
              </w:rPr>
            </w:pPr>
            <w:r w:rsidRPr="00B939C6">
              <w:rPr>
                <w:rFonts w:cs="Arial"/>
                <w:b/>
                <w:snapToGrid w:val="0"/>
              </w:rPr>
              <w:t>Secțiunea</w:t>
            </w:r>
            <w:r w:rsidR="00B95545" w:rsidRPr="00B939C6">
              <w:rPr>
                <w:rFonts w:cs="Arial"/>
                <w:b/>
                <w:snapToGrid w:val="0"/>
              </w:rPr>
              <w:t xml:space="preserve"> a 8-a - Măsuri de implementare</w:t>
            </w:r>
          </w:p>
          <w:p w14:paraId="4836A26E" w14:textId="31E73CB3" w:rsidR="00A728B1" w:rsidRPr="00B939C6" w:rsidRDefault="00A728B1" w:rsidP="00A728B1">
            <w:pPr>
              <w:spacing w:after="0"/>
              <w:ind w:left="69" w:right="134"/>
              <w:jc w:val="center"/>
              <w:rPr>
                <w:rFonts w:cs="Arial"/>
                <w:b/>
                <w:snapToGrid w:val="0"/>
              </w:rPr>
            </w:pPr>
          </w:p>
        </w:tc>
      </w:tr>
      <w:tr w:rsidR="00B95545" w:rsidRPr="00B939C6" w14:paraId="650C0C5F" w14:textId="77777777" w:rsidTr="00B939C6">
        <w:trPr>
          <w:trHeight w:val="336"/>
        </w:trPr>
        <w:tc>
          <w:tcPr>
            <w:tcW w:w="2730" w:type="dxa"/>
          </w:tcPr>
          <w:p w14:paraId="34B74B3E" w14:textId="58BA9D44" w:rsidR="00B95545" w:rsidRPr="00B939C6" w:rsidRDefault="00B95545" w:rsidP="00A728B1">
            <w:pPr>
              <w:spacing w:after="0"/>
              <w:ind w:left="69" w:right="134"/>
              <w:rPr>
                <w:rFonts w:cs="Arial"/>
                <w:snapToGrid w:val="0"/>
              </w:rPr>
            </w:pPr>
            <w:r w:rsidRPr="00B939C6">
              <w:rPr>
                <w:rFonts w:cs="Arial"/>
                <w:snapToGrid w:val="0"/>
              </w:rPr>
              <w:t xml:space="preserve">1. Măsurile de punere în aplicare a proiectului de act normativ de către </w:t>
            </w:r>
            <w:r w:rsidR="00FE3B1B" w:rsidRPr="00B939C6">
              <w:rPr>
                <w:rFonts w:cs="Arial"/>
                <w:snapToGrid w:val="0"/>
              </w:rPr>
              <w:t>autoritățile</w:t>
            </w:r>
            <w:r w:rsidRPr="00B939C6">
              <w:rPr>
                <w:rFonts w:cs="Arial"/>
                <w:snapToGrid w:val="0"/>
              </w:rPr>
              <w:t xml:space="preserve"> </w:t>
            </w:r>
            <w:r w:rsidR="00FE3B1B" w:rsidRPr="00B939C6">
              <w:rPr>
                <w:rFonts w:cs="Arial"/>
                <w:snapToGrid w:val="0"/>
              </w:rPr>
              <w:t>administrației</w:t>
            </w:r>
            <w:r w:rsidRPr="00B939C6">
              <w:rPr>
                <w:rFonts w:cs="Arial"/>
                <w:snapToGrid w:val="0"/>
              </w:rPr>
              <w:t xml:space="preserve"> publice centrale </w:t>
            </w:r>
            <w:r w:rsidR="00FE3B1B" w:rsidRPr="00B939C6">
              <w:rPr>
                <w:rFonts w:cs="Arial"/>
                <w:snapToGrid w:val="0"/>
              </w:rPr>
              <w:t>și</w:t>
            </w:r>
            <w:r w:rsidRPr="00B939C6">
              <w:rPr>
                <w:rFonts w:cs="Arial"/>
                <w:snapToGrid w:val="0"/>
              </w:rPr>
              <w:t xml:space="preserve">/sau locale – </w:t>
            </w:r>
            <w:r w:rsidR="00FE3B1B" w:rsidRPr="00B939C6">
              <w:rPr>
                <w:rFonts w:cs="Arial"/>
                <w:snapToGrid w:val="0"/>
              </w:rPr>
              <w:t>înființarea</w:t>
            </w:r>
            <w:r w:rsidRPr="00B939C6">
              <w:rPr>
                <w:rFonts w:cs="Arial"/>
                <w:snapToGrid w:val="0"/>
              </w:rPr>
              <w:t xml:space="preserve"> unor noi organisme sau extinderea </w:t>
            </w:r>
            <w:r w:rsidR="00FE3B1B" w:rsidRPr="00B939C6">
              <w:rPr>
                <w:rFonts w:cs="Arial"/>
                <w:snapToGrid w:val="0"/>
              </w:rPr>
              <w:t>competențelor</w:t>
            </w:r>
            <w:r w:rsidRPr="00B939C6">
              <w:rPr>
                <w:rFonts w:cs="Arial"/>
                <w:snapToGrid w:val="0"/>
              </w:rPr>
              <w:t xml:space="preserve"> </w:t>
            </w:r>
            <w:r w:rsidR="00FE3B1B" w:rsidRPr="00B939C6">
              <w:rPr>
                <w:rFonts w:cs="Arial"/>
                <w:snapToGrid w:val="0"/>
              </w:rPr>
              <w:t>instituțiilor</w:t>
            </w:r>
            <w:r w:rsidRPr="00B939C6">
              <w:rPr>
                <w:rFonts w:cs="Arial"/>
                <w:snapToGrid w:val="0"/>
              </w:rPr>
              <w:t xml:space="preserve"> existente</w:t>
            </w:r>
          </w:p>
        </w:tc>
        <w:tc>
          <w:tcPr>
            <w:tcW w:w="7371" w:type="dxa"/>
            <w:gridSpan w:val="6"/>
          </w:tcPr>
          <w:p w14:paraId="76CE57D2" w14:textId="6B3B9D4C" w:rsidR="00B95545" w:rsidRPr="00B939C6" w:rsidRDefault="00B95545" w:rsidP="00A728B1">
            <w:pPr>
              <w:spacing w:after="0"/>
              <w:ind w:left="69" w:right="134"/>
              <w:rPr>
                <w:rFonts w:cs="Arial"/>
                <w:snapToGrid w:val="0"/>
              </w:rPr>
            </w:pPr>
            <w:r w:rsidRPr="00B939C6">
              <w:rPr>
                <w:rFonts w:cs="Arial"/>
                <w:snapToGrid w:val="0"/>
              </w:rPr>
              <w:t>Nu este cazul</w:t>
            </w:r>
            <w:r w:rsidR="00053A95">
              <w:rPr>
                <w:rFonts w:cs="Arial"/>
                <w:snapToGrid w:val="0"/>
              </w:rPr>
              <w:t>.</w:t>
            </w:r>
          </w:p>
        </w:tc>
      </w:tr>
      <w:tr w:rsidR="00B95545" w:rsidRPr="00B939C6" w14:paraId="7E2C49CB" w14:textId="77777777" w:rsidTr="00B939C6">
        <w:trPr>
          <w:trHeight w:val="336"/>
        </w:trPr>
        <w:tc>
          <w:tcPr>
            <w:tcW w:w="2730" w:type="dxa"/>
          </w:tcPr>
          <w:p w14:paraId="1A4386BC" w14:textId="70B8552F" w:rsidR="00B95545" w:rsidRPr="00B939C6" w:rsidRDefault="00B95545" w:rsidP="00A728B1">
            <w:pPr>
              <w:spacing w:after="0"/>
              <w:ind w:left="69" w:right="134"/>
              <w:rPr>
                <w:rFonts w:cs="Arial"/>
                <w:snapToGrid w:val="0"/>
              </w:rPr>
            </w:pPr>
            <w:r w:rsidRPr="00B939C6">
              <w:rPr>
                <w:rFonts w:cs="Arial"/>
                <w:snapToGrid w:val="0"/>
              </w:rPr>
              <w:t xml:space="preserve">2. Alte </w:t>
            </w:r>
            <w:r w:rsidR="00FE3B1B" w:rsidRPr="00B939C6">
              <w:rPr>
                <w:rFonts w:cs="Arial"/>
                <w:snapToGrid w:val="0"/>
              </w:rPr>
              <w:t>informații</w:t>
            </w:r>
          </w:p>
        </w:tc>
        <w:tc>
          <w:tcPr>
            <w:tcW w:w="7371" w:type="dxa"/>
            <w:gridSpan w:val="6"/>
          </w:tcPr>
          <w:p w14:paraId="2B949531" w14:textId="690E6F82" w:rsidR="00FE3B1B" w:rsidRPr="00B939C6" w:rsidRDefault="00B95545" w:rsidP="00A728B1">
            <w:pPr>
              <w:spacing w:after="0"/>
              <w:ind w:left="69" w:right="134"/>
              <w:rPr>
                <w:rFonts w:cs="Arial"/>
                <w:snapToGrid w:val="0"/>
              </w:rPr>
            </w:pPr>
            <w:r w:rsidRPr="00B939C6">
              <w:rPr>
                <w:rFonts w:cs="Arial"/>
                <w:snapToGrid w:val="0"/>
              </w:rPr>
              <w:t>Nu au fost identificate</w:t>
            </w:r>
            <w:r w:rsidR="00053A95">
              <w:rPr>
                <w:rFonts w:cs="Arial"/>
                <w:snapToGrid w:val="0"/>
              </w:rPr>
              <w:t>.</w:t>
            </w:r>
          </w:p>
        </w:tc>
      </w:tr>
    </w:tbl>
    <w:p w14:paraId="15C6F9B3" w14:textId="2CFACD6F" w:rsidR="00FE3B1B" w:rsidRPr="00774E36" w:rsidRDefault="00FE3B1B" w:rsidP="00774E36">
      <w:pPr>
        <w:adjustRightInd w:val="0"/>
        <w:ind w:left="-1134"/>
      </w:pPr>
      <w:r w:rsidRPr="00B939C6">
        <w:rPr>
          <w:rFonts w:cs="Arial"/>
          <w:snapToGrid w:val="0"/>
        </w:rPr>
        <w:lastRenderedPageBreak/>
        <w:t>Față</w:t>
      </w:r>
      <w:r w:rsidR="004175F0" w:rsidRPr="00B939C6">
        <w:rPr>
          <w:rFonts w:cs="Arial"/>
          <w:snapToGrid w:val="0"/>
        </w:rPr>
        <w:t xml:space="preserve"> de cele prezentate, a fost elaborat proiectul </w:t>
      </w:r>
      <w:r w:rsidR="002D31A9" w:rsidRPr="00B939C6">
        <w:rPr>
          <w:rFonts w:cs="Arial"/>
          <w:snapToGrid w:val="0"/>
        </w:rPr>
        <w:t xml:space="preserve">de </w:t>
      </w:r>
      <w:r w:rsidR="007342B8" w:rsidRPr="007342B8">
        <w:rPr>
          <w:rFonts w:cs="Arial"/>
          <w:b/>
          <w:snapToGrid w:val="0"/>
        </w:rPr>
        <w:t>H</w:t>
      </w:r>
      <w:r w:rsidR="002D31A9" w:rsidRPr="007342B8">
        <w:rPr>
          <w:rFonts w:cs="Arial"/>
          <w:b/>
          <w:snapToGrid w:val="0"/>
        </w:rPr>
        <w:t xml:space="preserve">otărâre a Guvernului </w:t>
      </w:r>
      <w:r w:rsidR="002D31A9" w:rsidRPr="007342B8">
        <w:rPr>
          <w:rFonts w:cs="Arial"/>
          <w:b/>
        </w:rPr>
        <w:t xml:space="preserve">privind suplimentarea numărului maxim de posturi </w:t>
      </w:r>
      <w:r w:rsidR="00AE0064">
        <w:rPr>
          <w:rFonts w:cs="Arial"/>
          <w:b/>
        </w:rPr>
        <w:t>pentru unele instituții din sistemul justiției</w:t>
      </w:r>
      <w:r w:rsidR="002902EE" w:rsidRPr="00B939C6">
        <w:rPr>
          <w:rFonts w:cs="Arial"/>
        </w:rPr>
        <w:t xml:space="preserve"> </w:t>
      </w:r>
      <w:r w:rsidR="001447E0" w:rsidRPr="00B939C6">
        <w:t xml:space="preserve">pe care, dacă sunteți de acord, vă rugăm să-l </w:t>
      </w:r>
      <w:r w:rsidR="002902EE" w:rsidRPr="00B939C6">
        <w:t>adoptați</w:t>
      </w:r>
      <w:r w:rsidR="001447E0" w:rsidRPr="00B939C6">
        <w:t>.</w:t>
      </w:r>
    </w:p>
    <w:p w14:paraId="529556D6" w14:textId="77777777" w:rsidR="00A728B1" w:rsidRDefault="00A728B1" w:rsidP="00B939C6">
      <w:pPr>
        <w:ind w:left="0" w:right="134"/>
        <w:jc w:val="center"/>
        <w:rPr>
          <w:b/>
        </w:rPr>
      </w:pPr>
    </w:p>
    <w:p w14:paraId="296A0FE0" w14:textId="06A066D3" w:rsidR="00C94EEA" w:rsidRPr="00B939C6" w:rsidRDefault="00C94EEA" w:rsidP="00B939C6">
      <w:pPr>
        <w:ind w:left="0" w:right="134"/>
        <w:jc w:val="center"/>
        <w:rPr>
          <w:b/>
        </w:rPr>
      </w:pPr>
      <w:r w:rsidRPr="00B939C6">
        <w:rPr>
          <w:b/>
        </w:rPr>
        <w:t>Ministrul Justiției</w:t>
      </w:r>
    </w:p>
    <w:p w14:paraId="09D7316D" w14:textId="77777777" w:rsidR="001120C5" w:rsidRPr="00B939C6" w:rsidRDefault="001120C5" w:rsidP="00774E36">
      <w:pPr>
        <w:ind w:left="0" w:right="134"/>
        <w:rPr>
          <w:b/>
        </w:rPr>
      </w:pPr>
    </w:p>
    <w:p w14:paraId="1CAD92B1" w14:textId="42C4455B" w:rsidR="00FE3B1B" w:rsidRPr="00B939C6" w:rsidRDefault="009159E1" w:rsidP="009159E1">
      <w:pPr>
        <w:ind w:left="0"/>
        <w:jc w:val="center"/>
        <w:rPr>
          <w:b/>
        </w:rPr>
      </w:pPr>
      <w:r>
        <w:rPr>
          <w:b/>
        </w:rPr>
        <w:t>Stelian-Cristian ION</w:t>
      </w:r>
    </w:p>
    <w:p w14:paraId="40C1B59E" w14:textId="463133B2" w:rsidR="00C94EEA" w:rsidRDefault="00C94EEA" w:rsidP="00B939C6">
      <w:pPr>
        <w:ind w:left="0"/>
        <w:jc w:val="center"/>
        <w:rPr>
          <w:b/>
        </w:rPr>
      </w:pPr>
    </w:p>
    <w:p w14:paraId="68991957" w14:textId="77777777" w:rsidR="00A728B1" w:rsidRPr="00B939C6" w:rsidRDefault="00A728B1" w:rsidP="00B939C6">
      <w:pPr>
        <w:ind w:left="0"/>
        <w:jc w:val="center"/>
        <w:rPr>
          <w:b/>
        </w:rPr>
      </w:pPr>
    </w:p>
    <w:p w14:paraId="62613E0C" w14:textId="77777777" w:rsidR="001611CA" w:rsidRPr="00B939C6" w:rsidRDefault="00C94EEA" w:rsidP="00B939C6">
      <w:pPr>
        <w:ind w:left="0"/>
        <w:jc w:val="center"/>
        <w:rPr>
          <w:b/>
        </w:rPr>
      </w:pPr>
      <w:r w:rsidRPr="00B939C6">
        <w:rPr>
          <w:b/>
        </w:rPr>
        <w:t>AVIZĂM FAVORABIL</w:t>
      </w:r>
      <w:r w:rsidR="004C76F9" w:rsidRPr="00B939C6">
        <w:rPr>
          <w:b/>
        </w:rPr>
        <w:t>:</w:t>
      </w:r>
    </w:p>
    <w:p w14:paraId="1CACBEE3" w14:textId="77777777" w:rsidR="00A728B1" w:rsidRDefault="00923368" w:rsidP="00774E36">
      <w:pPr>
        <w:ind w:left="0"/>
        <w:rPr>
          <w:b/>
        </w:rPr>
      </w:pPr>
      <w:r>
        <w:rPr>
          <w:b/>
        </w:rPr>
        <w:t xml:space="preserve">                                                   </w:t>
      </w:r>
    </w:p>
    <w:p w14:paraId="67A60CA3" w14:textId="2A23C729" w:rsidR="00DB2103" w:rsidRDefault="00923368" w:rsidP="00A728B1">
      <w:pPr>
        <w:ind w:left="0"/>
        <w:jc w:val="center"/>
        <w:rPr>
          <w:b/>
        </w:rPr>
      </w:pPr>
      <w:r>
        <w:rPr>
          <w:b/>
        </w:rPr>
        <w:t>Viceprim-ministru</w:t>
      </w:r>
    </w:p>
    <w:p w14:paraId="1EEA1FB4" w14:textId="16CF0E4A" w:rsidR="00923368" w:rsidRDefault="00923368" w:rsidP="00774E36">
      <w:pPr>
        <w:ind w:left="0"/>
        <w:rPr>
          <w:b/>
        </w:rPr>
      </w:pPr>
    </w:p>
    <w:p w14:paraId="2063F4D1" w14:textId="01CC004B" w:rsidR="00923368" w:rsidRDefault="00923368" w:rsidP="00774E36">
      <w:pPr>
        <w:ind w:left="0"/>
        <w:rPr>
          <w:b/>
        </w:rPr>
      </w:pPr>
      <w:r>
        <w:rPr>
          <w:b/>
        </w:rPr>
        <w:tab/>
      </w:r>
      <w:r>
        <w:rPr>
          <w:b/>
        </w:rPr>
        <w:tab/>
      </w:r>
      <w:r>
        <w:rPr>
          <w:b/>
        </w:rPr>
        <w:tab/>
      </w:r>
      <w:r>
        <w:rPr>
          <w:b/>
        </w:rPr>
        <w:tab/>
      </w:r>
      <w:r>
        <w:rPr>
          <w:b/>
        </w:rPr>
        <w:tab/>
        <w:t xml:space="preserve">Ilie-Dan BARNA </w:t>
      </w:r>
    </w:p>
    <w:p w14:paraId="0A33F871" w14:textId="77777777" w:rsidR="00A728B1" w:rsidRDefault="00A728B1" w:rsidP="00774E36">
      <w:pPr>
        <w:ind w:left="0"/>
        <w:rPr>
          <w:b/>
        </w:rPr>
      </w:pPr>
    </w:p>
    <w:p w14:paraId="66D5D1D6" w14:textId="77777777" w:rsidR="00A728B1" w:rsidRDefault="00A728B1" w:rsidP="00A728B1">
      <w:pPr>
        <w:ind w:left="142"/>
        <w:jc w:val="center"/>
        <w:rPr>
          <w:b/>
        </w:rPr>
      </w:pPr>
    </w:p>
    <w:tbl>
      <w:tblPr>
        <w:tblStyle w:val="Tabelgril"/>
        <w:tblW w:w="0" w:type="auto"/>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6"/>
        <w:gridCol w:w="4399"/>
      </w:tblGrid>
      <w:tr w:rsidR="00A728B1" w14:paraId="7B7ACF5A" w14:textId="77777777" w:rsidTr="00A728B1">
        <w:tc>
          <w:tcPr>
            <w:tcW w:w="5666" w:type="dxa"/>
          </w:tcPr>
          <w:p w14:paraId="197552FF" w14:textId="77777777" w:rsidR="00A728B1" w:rsidRPr="00B939C6" w:rsidRDefault="00A728B1" w:rsidP="00A728B1">
            <w:pPr>
              <w:ind w:left="0"/>
              <w:jc w:val="center"/>
              <w:rPr>
                <w:b/>
              </w:rPr>
            </w:pPr>
            <w:r w:rsidRPr="00B939C6">
              <w:rPr>
                <w:b/>
              </w:rPr>
              <w:t>Ministrul Muncii și Protecției  Sociale</w:t>
            </w:r>
          </w:p>
          <w:p w14:paraId="44FDB46A" w14:textId="77777777" w:rsidR="00A728B1" w:rsidRPr="00B939C6" w:rsidRDefault="00A728B1" w:rsidP="00A728B1">
            <w:pPr>
              <w:ind w:left="0"/>
              <w:rPr>
                <w:b/>
              </w:rPr>
            </w:pPr>
          </w:p>
          <w:p w14:paraId="797A0D93" w14:textId="77777777" w:rsidR="00A728B1" w:rsidRDefault="00A728B1" w:rsidP="00A728B1">
            <w:pPr>
              <w:ind w:left="0"/>
              <w:jc w:val="center"/>
              <w:rPr>
                <w:b/>
              </w:rPr>
            </w:pPr>
            <w:r>
              <w:rPr>
                <w:b/>
              </w:rPr>
              <w:t>Raluca TURCAN</w:t>
            </w:r>
          </w:p>
          <w:p w14:paraId="14B17CAC" w14:textId="4576CBED" w:rsidR="00A728B1" w:rsidRDefault="00A728B1" w:rsidP="00A728B1">
            <w:pPr>
              <w:ind w:left="0"/>
              <w:jc w:val="center"/>
              <w:rPr>
                <w:b/>
              </w:rPr>
            </w:pPr>
          </w:p>
        </w:tc>
        <w:tc>
          <w:tcPr>
            <w:tcW w:w="4399" w:type="dxa"/>
          </w:tcPr>
          <w:p w14:paraId="31D104AC" w14:textId="77777777" w:rsidR="00A728B1" w:rsidRPr="00B939C6" w:rsidRDefault="00A728B1" w:rsidP="00A728B1">
            <w:pPr>
              <w:ind w:left="0"/>
              <w:jc w:val="center"/>
              <w:rPr>
                <w:b/>
              </w:rPr>
            </w:pPr>
            <w:r w:rsidRPr="00B939C6">
              <w:rPr>
                <w:b/>
              </w:rPr>
              <w:t xml:space="preserve">Ministrul Finanțelor </w:t>
            </w:r>
          </w:p>
          <w:p w14:paraId="3AAD01BE" w14:textId="77777777" w:rsidR="00A728B1" w:rsidRPr="00B939C6" w:rsidRDefault="00A728B1" w:rsidP="00A728B1">
            <w:pPr>
              <w:ind w:left="-851"/>
              <w:jc w:val="center"/>
              <w:rPr>
                <w:b/>
              </w:rPr>
            </w:pPr>
          </w:p>
          <w:p w14:paraId="0BEF98F7" w14:textId="77777777" w:rsidR="00A728B1" w:rsidRDefault="00A728B1" w:rsidP="00A728B1">
            <w:pPr>
              <w:ind w:left="142"/>
              <w:jc w:val="center"/>
              <w:rPr>
                <w:b/>
              </w:rPr>
            </w:pPr>
            <w:r>
              <w:rPr>
                <w:b/>
              </w:rPr>
              <w:t>Alexandru NAZARE</w:t>
            </w:r>
          </w:p>
          <w:p w14:paraId="78088F9F" w14:textId="7649E553" w:rsidR="00A728B1" w:rsidRDefault="00A728B1" w:rsidP="00A728B1">
            <w:pPr>
              <w:ind w:left="142"/>
              <w:jc w:val="center"/>
              <w:rPr>
                <w:b/>
              </w:rPr>
            </w:pPr>
          </w:p>
        </w:tc>
      </w:tr>
    </w:tbl>
    <w:p w14:paraId="7ABD0834" w14:textId="77777777" w:rsidR="00A728B1" w:rsidRPr="00B939C6" w:rsidRDefault="00A728B1">
      <w:pPr>
        <w:ind w:left="142"/>
        <w:jc w:val="center"/>
        <w:rPr>
          <w:b/>
        </w:rPr>
      </w:pPr>
    </w:p>
    <w:sectPr w:rsidR="00A728B1" w:rsidRPr="00B939C6" w:rsidSect="00F51808">
      <w:headerReference w:type="default" r:id="rId8"/>
      <w:footerReference w:type="default" r:id="rId9"/>
      <w:headerReference w:type="first" r:id="rId10"/>
      <w:footerReference w:type="first" r:id="rId11"/>
      <w:pgSz w:w="11900" w:h="16840" w:code="9"/>
      <w:pgMar w:top="851" w:right="567" w:bottom="1135" w:left="2268" w:header="567"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EFAAD" w14:textId="77777777" w:rsidR="00DA7F32" w:rsidRDefault="00DA7F32" w:rsidP="00CD5B3B">
      <w:r>
        <w:separator/>
      </w:r>
    </w:p>
  </w:endnote>
  <w:endnote w:type="continuationSeparator" w:id="0">
    <w:p w14:paraId="54C57403" w14:textId="77777777" w:rsidR="00DA7F32" w:rsidRDefault="00DA7F3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265559"/>
      <w:docPartObj>
        <w:docPartGallery w:val="Page Numbers (Bottom of Page)"/>
        <w:docPartUnique/>
      </w:docPartObj>
    </w:sdtPr>
    <w:sdtEndPr>
      <w:rPr>
        <w:noProof/>
      </w:rPr>
    </w:sdtEndPr>
    <w:sdtContent>
      <w:p w14:paraId="30FE854D" w14:textId="77777777" w:rsidR="00296ED0" w:rsidRDefault="00296ED0">
        <w:pPr>
          <w:pStyle w:val="Subsol"/>
          <w:jc w:val="right"/>
        </w:pPr>
        <w:r>
          <w:fldChar w:fldCharType="begin"/>
        </w:r>
        <w:r>
          <w:instrText xml:space="preserve"> PAGE   \* MERGEFORMAT </w:instrText>
        </w:r>
        <w:r>
          <w:fldChar w:fldCharType="separate"/>
        </w:r>
        <w:r w:rsidR="000D7DE4">
          <w:rPr>
            <w:noProof/>
          </w:rPr>
          <w:t>6</w:t>
        </w:r>
        <w:r>
          <w:rPr>
            <w:noProof/>
          </w:rPr>
          <w:fldChar w:fldCharType="end"/>
        </w:r>
      </w:p>
    </w:sdtContent>
  </w:sdt>
  <w:p w14:paraId="2F4CA334" w14:textId="77777777" w:rsidR="0053713A" w:rsidRPr="007E7D11" w:rsidRDefault="0053713A" w:rsidP="00E80D5E">
    <w:pPr>
      <w:pStyle w:val="Subsol"/>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943599"/>
      <w:docPartObj>
        <w:docPartGallery w:val="Page Numbers (Bottom of Page)"/>
        <w:docPartUnique/>
      </w:docPartObj>
    </w:sdtPr>
    <w:sdtEndPr>
      <w:rPr>
        <w:noProof/>
      </w:rPr>
    </w:sdtEndPr>
    <w:sdtContent>
      <w:p w14:paraId="37A3758A" w14:textId="77777777" w:rsidR="00614922" w:rsidRDefault="00614922">
        <w:pPr>
          <w:pStyle w:val="Subsol"/>
          <w:jc w:val="right"/>
        </w:pPr>
        <w:r>
          <w:fldChar w:fldCharType="begin"/>
        </w:r>
        <w:r>
          <w:instrText xml:space="preserve"> PAGE   \* MERGEFORMAT </w:instrText>
        </w:r>
        <w:r>
          <w:fldChar w:fldCharType="separate"/>
        </w:r>
        <w:r w:rsidR="000D7DE4">
          <w:rPr>
            <w:noProof/>
          </w:rPr>
          <w:t>1</w:t>
        </w:r>
        <w:r>
          <w:rPr>
            <w:noProof/>
          </w:rPr>
          <w:fldChar w:fldCharType="end"/>
        </w:r>
      </w:p>
    </w:sdtContent>
  </w:sdt>
  <w:p w14:paraId="14E108C0" w14:textId="77777777" w:rsidR="0053713A" w:rsidRPr="007E7D11" w:rsidRDefault="0053713A" w:rsidP="00036CF6">
    <w:pPr>
      <w:pStyle w:val="Subsol"/>
      <w:ind w:left="0"/>
      <w:rPr>
        <w:sz w:val="2"/>
        <w:szCs w:val="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3C7D5" w14:textId="77777777" w:rsidR="00DA7F32" w:rsidRDefault="00DA7F32" w:rsidP="00871565">
      <w:pPr>
        <w:spacing w:after="0"/>
        <w:ind w:left="0"/>
      </w:pPr>
      <w:r>
        <w:separator/>
      </w:r>
    </w:p>
  </w:footnote>
  <w:footnote w:type="continuationSeparator" w:id="0">
    <w:p w14:paraId="30354CAC" w14:textId="77777777" w:rsidR="00DA7F32" w:rsidRDefault="00DA7F32" w:rsidP="00871565">
      <w:pPr>
        <w:ind w:left="0"/>
      </w:pPr>
      <w:r>
        <w:continuationSeparator/>
      </w:r>
    </w:p>
  </w:footnote>
  <w:footnote w:type="continuationNotice" w:id="1">
    <w:p w14:paraId="17D0D09E" w14:textId="77777777" w:rsidR="00DA7F32" w:rsidRDefault="00DA7F32" w:rsidP="00871565">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0B292" w14:textId="77777777" w:rsidR="0053713A" w:rsidRDefault="0053713A" w:rsidP="008A4458">
    <w:pPr>
      <w:pStyle w:val="Antet"/>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Ind w:w="-1701" w:type="dxa"/>
      <w:tblCellMar>
        <w:left w:w="0" w:type="dxa"/>
        <w:right w:w="0" w:type="dxa"/>
      </w:tblCellMar>
      <w:tblLook w:val="04A0" w:firstRow="1" w:lastRow="0" w:firstColumn="1" w:lastColumn="0" w:noHBand="0" w:noVBand="1"/>
    </w:tblPr>
    <w:tblGrid>
      <w:gridCol w:w="6804"/>
      <w:gridCol w:w="4111"/>
    </w:tblGrid>
    <w:tr w:rsidR="0053713A" w14:paraId="070DE8CD" w14:textId="77777777" w:rsidTr="008A4458">
      <w:tc>
        <w:tcPr>
          <w:tcW w:w="6804" w:type="dxa"/>
          <w:shd w:val="clear" w:color="auto" w:fill="auto"/>
        </w:tcPr>
        <w:p w14:paraId="5718DFE1" w14:textId="77777777" w:rsidR="0053713A" w:rsidRPr="00CD5B3B" w:rsidRDefault="0053713A" w:rsidP="00C20EF1">
          <w:pPr>
            <w:pStyle w:val="MediumGrid21"/>
          </w:pPr>
        </w:p>
      </w:tc>
      <w:tc>
        <w:tcPr>
          <w:tcW w:w="4111" w:type="dxa"/>
          <w:shd w:val="clear" w:color="auto" w:fill="auto"/>
          <w:vAlign w:val="center"/>
        </w:tcPr>
        <w:p w14:paraId="7051A403" w14:textId="77777777" w:rsidR="0053713A" w:rsidRDefault="0053713A" w:rsidP="00E562FC">
          <w:pPr>
            <w:pStyle w:val="MediumGrid21"/>
            <w:jc w:val="right"/>
          </w:pPr>
        </w:p>
      </w:tc>
    </w:tr>
  </w:tbl>
  <w:p w14:paraId="3BA8AE8E" w14:textId="77777777" w:rsidR="0053713A" w:rsidRPr="007E7D11" w:rsidRDefault="0053713A" w:rsidP="002B2D08">
    <w:pPr>
      <w:pStyle w:val="Antet"/>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0ECC"/>
    <w:multiLevelType w:val="hybridMultilevel"/>
    <w:tmpl w:val="55E22440"/>
    <w:lvl w:ilvl="0" w:tplc="36329630">
      <w:start w:val="2"/>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078E8"/>
    <w:multiLevelType w:val="hybridMultilevel"/>
    <w:tmpl w:val="89B2076C"/>
    <w:lvl w:ilvl="0" w:tplc="34B8F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82F21"/>
    <w:multiLevelType w:val="hybridMultilevel"/>
    <w:tmpl w:val="004829D4"/>
    <w:lvl w:ilvl="0" w:tplc="EFAC4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4156B"/>
    <w:multiLevelType w:val="hybridMultilevel"/>
    <w:tmpl w:val="FD508400"/>
    <w:lvl w:ilvl="0" w:tplc="93DCF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01613"/>
    <w:multiLevelType w:val="hybridMultilevel"/>
    <w:tmpl w:val="6152011A"/>
    <w:lvl w:ilvl="0" w:tplc="9104C258">
      <w:numFmt w:val="bullet"/>
      <w:lvlText w:val="-"/>
      <w:lvlJc w:val="left"/>
      <w:pPr>
        <w:ind w:left="1080" w:hanging="360"/>
      </w:pPr>
      <w:rPr>
        <w:rFonts w:ascii="Trebuchet MS" w:eastAsia="MS Mincho"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6597D"/>
    <w:multiLevelType w:val="hybridMultilevel"/>
    <w:tmpl w:val="627ED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F5966"/>
    <w:multiLevelType w:val="hybridMultilevel"/>
    <w:tmpl w:val="B470A9F4"/>
    <w:lvl w:ilvl="0" w:tplc="A9D850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728C5"/>
    <w:multiLevelType w:val="hybridMultilevel"/>
    <w:tmpl w:val="FE9686D4"/>
    <w:lvl w:ilvl="0" w:tplc="A9D850CA">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4692BA9"/>
    <w:multiLevelType w:val="hybridMultilevel"/>
    <w:tmpl w:val="532E633A"/>
    <w:lvl w:ilvl="0" w:tplc="A9D8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440AC"/>
    <w:multiLevelType w:val="hybridMultilevel"/>
    <w:tmpl w:val="5CF2366E"/>
    <w:lvl w:ilvl="0" w:tplc="63CE3236">
      <w:start w:val="1"/>
      <w:numFmt w:val="decimal"/>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498C324C"/>
    <w:multiLevelType w:val="hybridMultilevel"/>
    <w:tmpl w:val="D3FAD4AC"/>
    <w:lvl w:ilvl="0" w:tplc="D208381E">
      <w:start w:val="2"/>
      <w:numFmt w:val="bullet"/>
      <w:lvlText w:val="-"/>
      <w:lvlJc w:val="left"/>
      <w:pPr>
        <w:ind w:left="720" w:hanging="360"/>
      </w:pPr>
      <w:rPr>
        <w:rFonts w:ascii="Trebuchet MS" w:eastAsia="Times New Roman" w:hAnsi="Trebuchet MS" w:cs="Times New Roman" w:hint="default"/>
      </w:rPr>
    </w:lvl>
    <w:lvl w:ilvl="1" w:tplc="74F8EB22">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3556D"/>
    <w:multiLevelType w:val="hybridMultilevel"/>
    <w:tmpl w:val="E97238DE"/>
    <w:lvl w:ilvl="0" w:tplc="E3C0FE64">
      <w:start w:val="3"/>
      <w:numFmt w:val="bullet"/>
      <w:lvlText w:val="-"/>
      <w:lvlJc w:val="left"/>
      <w:pPr>
        <w:ind w:left="429" w:hanging="360"/>
      </w:pPr>
      <w:rPr>
        <w:rFonts w:ascii="Trebuchet MS" w:eastAsia="MS Mincho" w:hAnsi="Trebuchet MS" w:cs="Times New Roman"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12" w15:restartNumberingAfterBreak="0">
    <w:nsid w:val="52FB1DF5"/>
    <w:multiLevelType w:val="hybridMultilevel"/>
    <w:tmpl w:val="3FF2757C"/>
    <w:lvl w:ilvl="0" w:tplc="9E12B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A0173D"/>
    <w:multiLevelType w:val="hybridMultilevel"/>
    <w:tmpl w:val="0AC8F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05C78"/>
    <w:multiLevelType w:val="hybridMultilevel"/>
    <w:tmpl w:val="0636C794"/>
    <w:lvl w:ilvl="0" w:tplc="2A181E58">
      <w:start w:val="1"/>
      <w:numFmt w:val="upperRoman"/>
      <w:lvlText w:val="%1."/>
      <w:lvlJc w:val="left"/>
      <w:pPr>
        <w:ind w:left="360" w:hanging="360"/>
      </w:pPr>
      <w:rPr>
        <w:rFonts w:ascii="Trebuchet MS" w:eastAsia="MS Mincho" w:hAnsi="Trebuchet MS" w:cs="Times New Roman"/>
        <w:b/>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15:restartNumberingAfterBreak="0">
    <w:nsid w:val="657202B8"/>
    <w:multiLevelType w:val="hybridMultilevel"/>
    <w:tmpl w:val="E4AE670E"/>
    <w:lvl w:ilvl="0" w:tplc="A9D85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35AA0"/>
    <w:multiLevelType w:val="hybridMultilevel"/>
    <w:tmpl w:val="142E862C"/>
    <w:lvl w:ilvl="0" w:tplc="D6F63B4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2A3F37"/>
    <w:multiLevelType w:val="hybridMultilevel"/>
    <w:tmpl w:val="508EE938"/>
    <w:lvl w:ilvl="0" w:tplc="66880586">
      <w:start w:val="1"/>
      <w:numFmt w:val="upperRoman"/>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14"/>
  </w:num>
  <w:num w:numId="2">
    <w:abstractNumId w:val="7"/>
  </w:num>
  <w:num w:numId="3">
    <w:abstractNumId w:val="9"/>
  </w:num>
  <w:num w:numId="4">
    <w:abstractNumId w:val="5"/>
  </w:num>
  <w:num w:numId="5">
    <w:abstractNumId w:val="2"/>
  </w:num>
  <w:num w:numId="6">
    <w:abstractNumId w:val="13"/>
  </w:num>
  <w:num w:numId="7">
    <w:abstractNumId w:val="0"/>
  </w:num>
  <w:num w:numId="8">
    <w:abstractNumId w:val="16"/>
  </w:num>
  <w:num w:numId="9">
    <w:abstractNumId w:val="10"/>
  </w:num>
  <w:num w:numId="10">
    <w:abstractNumId w:val="3"/>
  </w:num>
  <w:num w:numId="11">
    <w:abstractNumId w:val="1"/>
  </w:num>
  <w:num w:numId="12">
    <w:abstractNumId w:val="12"/>
  </w:num>
  <w:num w:numId="13">
    <w:abstractNumId w:val="4"/>
  </w:num>
  <w:num w:numId="14">
    <w:abstractNumId w:val="8"/>
  </w:num>
  <w:num w:numId="15">
    <w:abstractNumId w:val="15"/>
  </w:num>
  <w:num w:numId="16">
    <w:abstractNumId w:val="6"/>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F3A"/>
    <w:rsid w:val="00001360"/>
    <w:rsid w:val="000024D7"/>
    <w:rsid w:val="00002BB0"/>
    <w:rsid w:val="000105DA"/>
    <w:rsid w:val="00015DBD"/>
    <w:rsid w:val="00021B19"/>
    <w:rsid w:val="0002256C"/>
    <w:rsid w:val="00023330"/>
    <w:rsid w:val="00027713"/>
    <w:rsid w:val="0003110F"/>
    <w:rsid w:val="00034EE3"/>
    <w:rsid w:val="00035BFB"/>
    <w:rsid w:val="000369B5"/>
    <w:rsid w:val="00036CF6"/>
    <w:rsid w:val="000378B6"/>
    <w:rsid w:val="00041F59"/>
    <w:rsid w:val="00053A95"/>
    <w:rsid w:val="0005443B"/>
    <w:rsid w:val="00071067"/>
    <w:rsid w:val="00071536"/>
    <w:rsid w:val="0007317F"/>
    <w:rsid w:val="00075136"/>
    <w:rsid w:val="00094F9F"/>
    <w:rsid w:val="00096E7B"/>
    <w:rsid w:val="000B4C0D"/>
    <w:rsid w:val="000B52A7"/>
    <w:rsid w:val="000C1F52"/>
    <w:rsid w:val="000D1F05"/>
    <w:rsid w:val="000D2455"/>
    <w:rsid w:val="000D7DE4"/>
    <w:rsid w:val="000E07D8"/>
    <w:rsid w:val="000E6859"/>
    <w:rsid w:val="000F17C6"/>
    <w:rsid w:val="000F52D3"/>
    <w:rsid w:val="000F7504"/>
    <w:rsid w:val="00100F36"/>
    <w:rsid w:val="0010565C"/>
    <w:rsid w:val="00105E38"/>
    <w:rsid w:val="001120C5"/>
    <w:rsid w:val="0011673C"/>
    <w:rsid w:val="00124CB6"/>
    <w:rsid w:val="001447E0"/>
    <w:rsid w:val="00150CB5"/>
    <w:rsid w:val="00155315"/>
    <w:rsid w:val="001611CA"/>
    <w:rsid w:val="001631D2"/>
    <w:rsid w:val="001827D0"/>
    <w:rsid w:val="001946CE"/>
    <w:rsid w:val="00195F78"/>
    <w:rsid w:val="001A0DAC"/>
    <w:rsid w:val="001A332B"/>
    <w:rsid w:val="001A6313"/>
    <w:rsid w:val="001A7746"/>
    <w:rsid w:val="001D1BE5"/>
    <w:rsid w:val="001E192C"/>
    <w:rsid w:val="001E420D"/>
    <w:rsid w:val="001F126A"/>
    <w:rsid w:val="001F4376"/>
    <w:rsid w:val="001F455B"/>
    <w:rsid w:val="001F5DA9"/>
    <w:rsid w:val="00200A7D"/>
    <w:rsid w:val="00203472"/>
    <w:rsid w:val="002037DC"/>
    <w:rsid w:val="00205F4E"/>
    <w:rsid w:val="002062E1"/>
    <w:rsid w:val="002103E8"/>
    <w:rsid w:val="00210900"/>
    <w:rsid w:val="00211609"/>
    <w:rsid w:val="00211D64"/>
    <w:rsid w:val="00212A34"/>
    <w:rsid w:val="0021481F"/>
    <w:rsid w:val="00221F7C"/>
    <w:rsid w:val="002326F8"/>
    <w:rsid w:val="00237758"/>
    <w:rsid w:val="00250734"/>
    <w:rsid w:val="00253FC8"/>
    <w:rsid w:val="00265063"/>
    <w:rsid w:val="002662A0"/>
    <w:rsid w:val="00284333"/>
    <w:rsid w:val="002902EE"/>
    <w:rsid w:val="00296ED0"/>
    <w:rsid w:val="002A5742"/>
    <w:rsid w:val="002A5EBB"/>
    <w:rsid w:val="002A7ABE"/>
    <w:rsid w:val="002B2D08"/>
    <w:rsid w:val="002B58DB"/>
    <w:rsid w:val="002D0C68"/>
    <w:rsid w:val="002D22E7"/>
    <w:rsid w:val="002D31A9"/>
    <w:rsid w:val="002D70AF"/>
    <w:rsid w:val="002E08A2"/>
    <w:rsid w:val="002E1753"/>
    <w:rsid w:val="002E2A8D"/>
    <w:rsid w:val="002E580F"/>
    <w:rsid w:val="002F0279"/>
    <w:rsid w:val="003033E6"/>
    <w:rsid w:val="00304E25"/>
    <w:rsid w:val="00321733"/>
    <w:rsid w:val="0032422C"/>
    <w:rsid w:val="0035535B"/>
    <w:rsid w:val="003560DB"/>
    <w:rsid w:val="00357417"/>
    <w:rsid w:val="00362C9F"/>
    <w:rsid w:val="00362F67"/>
    <w:rsid w:val="0036368B"/>
    <w:rsid w:val="003677C6"/>
    <w:rsid w:val="00372EF0"/>
    <w:rsid w:val="0037476C"/>
    <w:rsid w:val="0038175C"/>
    <w:rsid w:val="00390C4C"/>
    <w:rsid w:val="003A3AA0"/>
    <w:rsid w:val="003A7FB0"/>
    <w:rsid w:val="003B431B"/>
    <w:rsid w:val="003C65B0"/>
    <w:rsid w:val="003E750E"/>
    <w:rsid w:val="003F051E"/>
    <w:rsid w:val="00403A18"/>
    <w:rsid w:val="00403AB2"/>
    <w:rsid w:val="0040498B"/>
    <w:rsid w:val="0041442B"/>
    <w:rsid w:val="0041602B"/>
    <w:rsid w:val="004175F0"/>
    <w:rsid w:val="00421CFB"/>
    <w:rsid w:val="00442460"/>
    <w:rsid w:val="00442F4A"/>
    <w:rsid w:val="00447E8A"/>
    <w:rsid w:val="00462299"/>
    <w:rsid w:val="004630DD"/>
    <w:rsid w:val="0046633E"/>
    <w:rsid w:val="00493AD5"/>
    <w:rsid w:val="004A5494"/>
    <w:rsid w:val="004A736E"/>
    <w:rsid w:val="004B356F"/>
    <w:rsid w:val="004B53DD"/>
    <w:rsid w:val="004B6D69"/>
    <w:rsid w:val="004C51D7"/>
    <w:rsid w:val="004C68CA"/>
    <w:rsid w:val="004C76F9"/>
    <w:rsid w:val="004D2C46"/>
    <w:rsid w:val="004D6AE6"/>
    <w:rsid w:val="004F094D"/>
    <w:rsid w:val="004F2C37"/>
    <w:rsid w:val="00500927"/>
    <w:rsid w:val="00504D17"/>
    <w:rsid w:val="0051411D"/>
    <w:rsid w:val="00523135"/>
    <w:rsid w:val="00534972"/>
    <w:rsid w:val="0053713A"/>
    <w:rsid w:val="0054086A"/>
    <w:rsid w:val="00543045"/>
    <w:rsid w:val="0055090F"/>
    <w:rsid w:val="0056657D"/>
    <w:rsid w:val="005712C8"/>
    <w:rsid w:val="005725E2"/>
    <w:rsid w:val="00586795"/>
    <w:rsid w:val="00591A82"/>
    <w:rsid w:val="00592AA7"/>
    <w:rsid w:val="0059449D"/>
    <w:rsid w:val="005961BB"/>
    <w:rsid w:val="00597619"/>
    <w:rsid w:val="005B2AF8"/>
    <w:rsid w:val="005B7A7A"/>
    <w:rsid w:val="005D36B6"/>
    <w:rsid w:val="005D457E"/>
    <w:rsid w:val="005D4BD9"/>
    <w:rsid w:val="005D6E0D"/>
    <w:rsid w:val="005D7F08"/>
    <w:rsid w:val="005E2F22"/>
    <w:rsid w:val="005E6FFA"/>
    <w:rsid w:val="005E71F1"/>
    <w:rsid w:val="005F1A9B"/>
    <w:rsid w:val="005F35BC"/>
    <w:rsid w:val="005F4E4C"/>
    <w:rsid w:val="005F66A5"/>
    <w:rsid w:val="00601237"/>
    <w:rsid w:val="00604DD4"/>
    <w:rsid w:val="006143B5"/>
    <w:rsid w:val="00614922"/>
    <w:rsid w:val="00620E77"/>
    <w:rsid w:val="00626C53"/>
    <w:rsid w:val="00626E59"/>
    <w:rsid w:val="006319D0"/>
    <w:rsid w:val="00632D1A"/>
    <w:rsid w:val="006356EE"/>
    <w:rsid w:val="006367D2"/>
    <w:rsid w:val="00636B3B"/>
    <w:rsid w:val="006542D6"/>
    <w:rsid w:val="00662BB7"/>
    <w:rsid w:val="006631A0"/>
    <w:rsid w:val="006729E0"/>
    <w:rsid w:val="006745A2"/>
    <w:rsid w:val="00674B7C"/>
    <w:rsid w:val="00677E9B"/>
    <w:rsid w:val="00677FEB"/>
    <w:rsid w:val="006818C1"/>
    <w:rsid w:val="006834CE"/>
    <w:rsid w:val="00690B43"/>
    <w:rsid w:val="006A018E"/>
    <w:rsid w:val="006A263E"/>
    <w:rsid w:val="006A26B5"/>
    <w:rsid w:val="006A4488"/>
    <w:rsid w:val="006B226E"/>
    <w:rsid w:val="006B3C27"/>
    <w:rsid w:val="006B528B"/>
    <w:rsid w:val="006C37A1"/>
    <w:rsid w:val="006C7396"/>
    <w:rsid w:val="006D655C"/>
    <w:rsid w:val="006D7378"/>
    <w:rsid w:val="006E236B"/>
    <w:rsid w:val="006E27F8"/>
    <w:rsid w:val="006F0C3E"/>
    <w:rsid w:val="006F2A10"/>
    <w:rsid w:val="006F44CF"/>
    <w:rsid w:val="00700AF3"/>
    <w:rsid w:val="007112D5"/>
    <w:rsid w:val="00715AF9"/>
    <w:rsid w:val="00722BEC"/>
    <w:rsid w:val="00725EF8"/>
    <w:rsid w:val="00725F2C"/>
    <w:rsid w:val="007342B8"/>
    <w:rsid w:val="00740335"/>
    <w:rsid w:val="00740EEB"/>
    <w:rsid w:val="0074348C"/>
    <w:rsid w:val="00743D2D"/>
    <w:rsid w:val="00751C15"/>
    <w:rsid w:val="00756015"/>
    <w:rsid w:val="00763E11"/>
    <w:rsid w:val="007646B7"/>
    <w:rsid w:val="00764B30"/>
    <w:rsid w:val="00766E0E"/>
    <w:rsid w:val="00774E36"/>
    <w:rsid w:val="00781422"/>
    <w:rsid w:val="00783590"/>
    <w:rsid w:val="00785579"/>
    <w:rsid w:val="007A1A6A"/>
    <w:rsid w:val="007A3B5E"/>
    <w:rsid w:val="007A6BEE"/>
    <w:rsid w:val="007B09F5"/>
    <w:rsid w:val="007B125B"/>
    <w:rsid w:val="007B5F53"/>
    <w:rsid w:val="007B776F"/>
    <w:rsid w:val="007C419B"/>
    <w:rsid w:val="007C569A"/>
    <w:rsid w:val="007E22E0"/>
    <w:rsid w:val="007E7D11"/>
    <w:rsid w:val="00810CE9"/>
    <w:rsid w:val="00810DA2"/>
    <w:rsid w:val="00815EB5"/>
    <w:rsid w:val="008231E2"/>
    <w:rsid w:val="008377D7"/>
    <w:rsid w:val="00840F14"/>
    <w:rsid w:val="0084631E"/>
    <w:rsid w:val="0085062E"/>
    <w:rsid w:val="00852C2E"/>
    <w:rsid w:val="00866B83"/>
    <w:rsid w:val="00870D7F"/>
    <w:rsid w:val="00871565"/>
    <w:rsid w:val="00871DA8"/>
    <w:rsid w:val="00873D3B"/>
    <w:rsid w:val="0087743D"/>
    <w:rsid w:val="0088750D"/>
    <w:rsid w:val="00891AFB"/>
    <w:rsid w:val="008A2AC0"/>
    <w:rsid w:val="008A440F"/>
    <w:rsid w:val="008A4458"/>
    <w:rsid w:val="008B0C23"/>
    <w:rsid w:val="008B3D63"/>
    <w:rsid w:val="008B62F4"/>
    <w:rsid w:val="008B63B2"/>
    <w:rsid w:val="008C45AE"/>
    <w:rsid w:val="008C5D92"/>
    <w:rsid w:val="008E08A3"/>
    <w:rsid w:val="008E7F6B"/>
    <w:rsid w:val="008F0E75"/>
    <w:rsid w:val="0090024A"/>
    <w:rsid w:val="00903AE5"/>
    <w:rsid w:val="00904AD9"/>
    <w:rsid w:val="00905A36"/>
    <w:rsid w:val="00915096"/>
    <w:rsid w:val="009159E1"/>
    <w:rsid w:val="00921837"/>
    <w:rsid w:val="00923368"/>
    <w:rsid w:val="009306C9"/>
    <w:rsid w:val="0094530E"/>
    <w:rsid w:val="009524AA"/>
    <w:rsid w:val="009618FE"/>
    <w:rsid w:val="00974016"/>
    <w:rsid w:val="009920A0"/>
    <w:rsid w:val="00996208"/>
    <w:rsid w:val="00996938"/>
    <w:rsid w:val="009A1C94"/>
    <w:rsid w:val="009A6FD2"/>
    <w:rsid w:val="009A7B23"/>
    <w:rsid w:val="009B7E66"/>
    <w:rsid w:val="009C32CB"/>
    <w:rsid w:val="009E6B74"/>
    <w:rsid w:val="009E7609"/>
    <w:rsid w:val="009F574F"/>
    <w:rsid w:val="00A026EE"/>
    <w:rsid w:val="00A13890"/>
    <w:rsid w:val="00A143BE"/>
    <w:rsid w:val="00A26F61"/>
    <w:rsid w:val="00A26F81"/>
    <w:rsid w:val="00A323AB"/>
    <w:rsid w:val="00A32A9A"/>
    <w:rsid w:val="00A33E37"/>
    <w:rsid w:val="00A341A4"/>
    <w:rsid w:val="00A358C4"/>
    <w:rsid w:val="00A36732"/>
    <w:rsid w:val="00A52B73"/>
    <w:rsid w:val="00A62CD5"/>
    <w:rsid w:val="00A64B98"/>
    <w:rsid w:val="00A65CE5"/>
    <w:rsid w:val="00A728B1"/>
    <w:rsid w:val="00A74FAE"/>
    <w:rsid w:val="00A75794"/>
    <w:rsid w:val="00A76176"/>
    <w:rsid w:val="00A7669D"/>
    <w:rsid w:val="00A81397"/>
    <w:rsid w:val="00A851E9"/>
    <w:rsid w:val="00A91BB9"/>
    <w:rsid w:val="00A946DE"/>
    <w:rsid w:val="00AA0F30"/>
    <w:rsid w:val="00AA1C92"/>
    <w:rsid w:val="00AB0993"/>
    <w:rsid w:val="00AB61D7"/>
    <w:rsid w:val="00AC460A"/>
    <w:rsid w:val="00AC6390"/>
    <w:rsid w:val="00AE0064"/>
    <w:rsid w:val="00AE26B4"/>
    <w:rsid w:val="00AE7B9D"/>
    <w:rsid w:val="00AF126D"/>
    <w:rsid w:val="00AF5E63"/>
    <w:rsid w:val="00B04035"/>
    <w:rsid w:val="00B077DC"/>
    <w:rsid w:val="00B10A59"/>
    <w:rsid w:val="00B13162"/>
    <w:rsid w:val="00B13BB4"/>
    <w:rsid w:val="00B1425B"/>
    <w:rsid w:val="00B14306"/>
    <w:rsid w:val="00B15CB3"/>
    <w:rsid w:val="00B162C3"/>
    <w:rsid w:val="00B22811"/>
    <w:rsid w:val="00B40F1C"/>
    <w:rsid w:val="00B47C66"/>
    <w:rsid w:val="00B50FB3"/>
    <w:rsid w:val="00B51B61"/>
    <w:rsid w:val="00B55776"/>
    <w:rsid w:val="00B6285F"/>
    <w:rsid w:val="00B62951"/>
    <w:rsid w:val="00B65AEC"/>
    <w:rsid w:val="00B66E1D"/>
    <w:rsid w:val="00B8501C"/>
    <w:rsid w:val="00B920DC"/>
    <w:rsid w:val="00B92102"/>
    <w:rsid w:val="00B930E4"/>
    <w:rsid w:val="00B939C6"/>
    <w:rsid w:val="00B9527A"/>
    <w:rsid w:val="00B95545"/>
    <w:rsid w:val="00BB10F5"/>
    <w:rsid w:val="00BC2ED1"/>
    <w:rsid w:val="00BC6E93"/>
    <w:rsid w:val="00BD3ACB"/>
    <w:rsid w:val="00BF375A"/>
    <w:rsid w:val="00BF61AA"/>
    <w:rsid w:val="00C00956"/>
    <w:rsid w:val="00C01BBF"/>
    <w:rsid w:val="00C0209A"/>
    <w:rsid w:val="00C05271"/>
    <w:rsid w:val="00C05F49"/>
    <w:rsid w:val="00C144DE"/>
    <w:rsid w:val="00C20EF1"/>
    <w:rsid w:val="00C26B72"/>
    <w:rsid w:val="00C40D83"/>
    <w:rsid w:val="00C40E7F"/>
    <w:rsid w:val="00C51B63"/>
    <w:rsid w:val="00C52F60"/>
    <w:rsid w:val="00C542FE"/>
    <w:rsid w:val="00C54591"/>
    <w:rsid w:val="00C56446"/>
    <w:rsid w:val="00C60C2D"/>
    <w:rsid w:val="00C62469"/>
    <w:rsid w:val="00C652A3"/>
    <w:rsid w:val="00C65B9C"/>
    <w:rsid w:val="00C72AA3"/>
    <w:rsid w:val="00C800E8"/>
    <w:rsid w:val="00C94EEA"/>
    <w:rsid w:val="00C9569D"/>
    <w:rsid w:val="00CA057D"/>
    <w:rsid w:val="00CB7E13"/>
    <w:rsid w:val="00CC0323"/>
    <w:rsid w:val="00CC1486"/>
    <w:rsid w:val="00CC3511"/>
    <w:rsid w:val="00CD0C6C"/>
    <w:rsid w:val="00CD0F06"/>
    <w:rsid w:val="00CD5B3B"/>
    <w:rsid w:val="00CE1717"/>
    <w:rsid w:val="00CF306A"/>
    <w:rsid w:val="00D06E9C"/>
    <w:rsid w:val="00D07245"/>
    <w:rsid w:val="00D25CF7"/>
    <w:rsid w:val="00D327AD"/>
    <w:rsid w:val="00D476B7"/>
    <w:rsid w:val="00D5041D"/>
    <w:rsid w:val="00D5160C"/>
    <w:rsid w:val="00D60542"/>
    <w:rsid w:val="00D6243B"/>
    <w:rsid w:val="00D6402E"/>
    <w:rsid w:val="00D71F41"/>
    <w:rsid w:val="00D72DDA"/>
    <w:rsid w:val="00D755EF"/>
    <w:rsid w:val="00D77532"/>
    <w:rsid w:val="00D81306"/>
    <w:rsid w:val="00D86F1D"/>
    <w:rsid w:val="00D90387"/>
    <w:rsid w:val="00D9190B"/>
    <w:rsid w:val="00D92947"/>
    <w:rsid w:val="00D93F53"/>
    <w:rsid w:val="00D95A9C"/>
    <w:rsid w:val="00DA169A"/>
    <w:rsid w:val="00DA5F8B"/>
    <w:rsid w:val="00DA7F32"/>
    <w:rsid w:val="00DB2103"/>
    <w:rsid w:val="00DB3D92"/>
    <w:rsid w:val="00DB4421"/>
    <w:rsid w:val="00DE7755"/>
    <w:rsid w:val="00DF0575"/>
    <w:rsid w:val="00DF3E11"/>
    <w:rsid w:val="00DF7B2B"/>
    <w:rsid w:val="00E04E0D"/>
    <w:rsid w:val="00E07965"/>
    <w:rsid w:val="00E14D10"/>
    <w:rsid w:val="00E15075"/>
    <w:rsid w:val="00E15104"/>
    <w:rsid w:val="00E2099A"/>
    <w:rsid w:val="00E219D2"/>
    <w:rsid w:val="00E23DC8"/>
    <w:rsid w:val="00E269E6"/>
    <w:rsid w:val="00E311FA"/>
    <w:rsid w:val="00E45D02"/>
    <w:rsid w:val="00E532F8"/>
    <w:rsid w:val="00E538C8"/>
    <w:rsid w:val="00E562FC"/>
    <w:rsid w:val="00E61444"/>
    <w:rsid w:val="00E67401"/>
    <w:rsid w:val="00E70EE2"/>
    <w:rsid w:val="00E758D7"/>
    <w:rsid w:val="00E80D5E"/>
    <w:rsid w:val="00E926A9"/>
    <w:rsid w:val="00EA0F6C"/>
    <w:rsid w:val="00EA1D55"/>
    <w:rsid w:val="00EA3EBF"/>
    <w:rsid w:val="00EB247A"/>
    <w:rsid w:val="00EB5296"/>
    <w:rsid w:val="00EB6ABD"/>
    <w:rsid w:val="00EC7E47"/>
    <w:rsid w:val="00EE32F2"/>
    <w:rsid w:val="00F067D8"/>
    <w:rsid w:val="00F23EC1"/>
    <w:rsid w:val="00F30363"/>
    <w:rsid w:val="00F42ECB"/>
    <w:rsid w:val="00F4554D"/>
    <w:rsid w:val="00F51808"/>
    <w:rsid w:val="00F5219A"/>
    <w:rsid w:val="00F56471"/>
    <w:rsid w:val="00F570FB"/>
    <w:rsid w:val="00F57D51"/>
    <w:rsid w:val="00F67D20"/>
    <w:rsid w:val="00F72651"/>
    <w:rsid w:val="00F77F30"/>
    <w:rsid w:val="00F80CB8"/>
    <w:rsid w:val="00F87327"/>
    <w:rsid w:val="00F8749C"/>
    <w:rsid w:val="00F97D67"/>
    <w:rsid w:val="00FA7222"/>
    <w:rsid w:val="00FB6D27"/>
    <w:rsid w:val="00FC0C7A"/>
    <w:rsid w:val="00FC4284"/>
    <w:rsid w:val="00FC459F"/>
    <w:rsid w:val="00FD3CB7"/>
    <w:rsid w:val="00FD4578"/>
    <w:rsid w:val="00FD48C3"/>
    <w:rsid w:val="00FD7204"/>
    <w:rsid w:val="00FE05E4"/>
    <w:rsid w:val="00FE1207"/>
    <w:rsid w:val="00FE2F2C"/>
    <w:rsid w:val="00FE3B1B"/>
    <w:rsid w:val="00FE5D25"/>
    <w:rsid w:val="00FF2921"/>
    <w:rsid w:val="00FF554B"/>
    <w:rsid w:val="00FF7BDA"/>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664AE1"/>
  <w14:defaultImageDpi w14:val="300"/>
  <w15:docId w15:val="{0FE28D9A-83E7-4A70-BA28-01DF62DC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50E"/>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uiPriority w:val="99"/>
    <w:unhideWhenUsed/>
    <w:rsid w:val="003E750E"/>
    <w:pPr>
      <w:spacing w:after="0"/>
      <w:ind w:left="0"/>
    </w:pPr>
    <w:rPr>
      <w:sz w:val="16"/>
      <w:szCs w:val="20"/>
    </w:rPr>
  </w:style>
  <w:style w:type="character" w:customStyle="1" w:styleId="TextnotdesubsolCaracter">
    <w:name w:val="Text notă de subsol Caracter"/>
    <w:basedOn w:val="Fontdeparagrafimplicit"/>
    <w:link w:val="Textnotdesubsol"/>
    <w:uiPriority w:val="99"/>
    <w:rsid w:val="003E750E"/>
    <w:rPr>
      <w:rFonts w:ascii="Trebuchet MS" w:hAnsi="Trebuchet MS"/>
      <w:sz w:val="16"/>
    </w:rPr>
  </w:style>
  <w:style w:type="character" w:styleId="Referinnotdesubsol">
    <w:name w:val="footnote reference"/>
    <w:basedOn w:val="Fontdeparagrafimplicit"/>
    <w:uiPriority w:val="99"/>
    <w:unhideWhenUsed/>
    <w:rsid w:val="00A65CE5"/>
    <w:rPr>
      <w:vertAlign w:val="superscript"/>
    </w:rPr>
  </w:style>
  <w:style w:type="paragraph" w:styleId="Listparagraf">
    <w:name w:val="List Paragraph"/>
    <w:basedOn w:val="Normal"/>
    <w:uiPriority w:val="34"/>
    <w:qFormat/>
    <w:rsid w:val="007B5F53"/>
    <w:pPr>
      <w:ind w:left="720"/>
      <w:contextualSpacing/>
    </w:pPr>
  </w:style>
  <w:style w:type="character" w:customStyle="1" w:styleId="l5def1">
    <w:name w:val="l5def1"/>
    <w:basedOn w:val="Fontdeparagrafimplicit"/>
    <w:rsid w:val="005F66A5"/>
    <w:rPr>
      <w:rFonts w:ascii="Arial" w:hAnsi="Arial" w:cs="Arial" w:hint="default"/>
      <w:color w:val="000000"/>
      <w:sz w:val="26"/>
      <w:szCs w:val="26"/>
    </w:rPr>
  </w:style>
  <w:style w:type="character" w:customStyle="1" w:styleId="Other">
    <w:name w:val="Other_"/>
    <w:link w:val="Other0"/>
    <w:rsid w:val="00A62CD5"/>
    <w:rPr>
      <w:rFonts w:ascii="Arial" w:eastAsia="Arial" w:hAnsi="Arial" w:cs="Arial"/>
      <w:sz w:val="22"/>
      <w:szCs w:val="22"/>
      <w:shd w:val="clear" w:color="auto" w:fill="FFFFFF"/>
    </w:rPr>
  </w:style>
  <w:style w:type="paragraph" w:customStyle="1" w:styleId="Other0">
    <w:name w:val="Other"/>
    <w:basedOn w:val="Normal"/>
    <w:link w:val="Other"/>
    <w:rsid w:val="00A62CD5"/>
    <w:pPr>
      <w:widowControl w:val="0"/>
      <w:shd w:val="clear" w:color="auto" w:fill="FFFFFF"/>
      <w:spacing w:after="60" w:line="254" w:lineRule="auto"/>
      <w:ind w:left="0"/>
      <w:jc w:val="left"/>
    </w:pPr>
    <w:rPr>
      <w:rFonts w:ascii="Arial" w:eastAsia="Arial" w:hAnsi="Arial" w:cs="Arial"/>
      <w:lang w:val="en-US"/>
    </w:rPr>
  </w:style>
  <w:style w:type="paragraph" w:customStyle="1" w:styleId="Style6">
    <w:name w:val="Style6"/>
    <w:basedOn w:val="Normal"/>
    <w:uiPriority w:val="99"/>
    <w:rsid w:val="00751C15"/>
    <w:pPr>
      <w:widowControl w:val="0"/>
      <w:autoSpaceDE w:val="0"/>
      <w:autoSpaceDN w:val="0"/>
      <w:adjustRightInd w:val="0"/>
      <w:spacing w:after="0" w:line="271" w:lineRule="exact"/>
      <w:ind w:left="0" w:firstLine="302"/>
      <w:jc w:val="left"/>
    </w:pPr>
    <w:rPr>
      <w:rFonts w:eastAsiaTheme="minorEastAsia" w:cstheme="minorBidi"/>
      <w:sz w:val="24"/>
      <w:szCs w:val="24"/>
      <w:lang w:eastAsia="ro-RO"/>
    </w:rPr>
  </w:style>
  <w:style w:type="character" w:customStyle="1" w:styleId="FontStyle15">
    <w:name w:val="Font Style15"/>
    <w:basedOn w:val="Fontdeparagrafimplicit"/>
    <w:uiPriority w:val="99"/>
    <w:rsid w:val="00751C15"/>
    <w:rPr>
      <w:rFonts w:ascii="Trebuchet MS" w:hAnsi="Trebuchet MS" w:cs="Trebuchet MS"/>
      <w:sz w:val="22"/>
      <w:szCs w:val="22"/>
    </w:rPr>
  </w:style>
  <w:style w:type="character" w:customStyle="1" w:styleId="FontStyle11">
    <w:name w:val="Font Style11"/>
    <w:basedOn w:val="Fontdeparagrafimplicit"/>
    <w:uiPriority w:val="99"/>
    <w:rsid w:val="00751C15"/>
    <w:rPr>
      <w:rFonts w:ascii="Trebuchet MS" w:hAnsi="Trebuchet MS" w:cs="Trebuchet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30494-D4F0-45D4-9E24-716F53E3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8</Pages>
  <Words>1893</Words>
  <Characters>10984</Characters>
  <DocSecurity>0</DocSecurity>
  <Lines>91</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12852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2021-04-05T09:11:00Z</cp:lastPrinted>
  <dcterms:created xsi:type="dcterms:W3CDTF">2021-04-22T07:56:00Z</dcterms:created>
  <dcterms:modified xsi:type="dcterms:W3CDTF">2021-04-22T07:56:00Z</dcterms:modified>
</cp:coreProperties>
</file>