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2DFA" w14:textId="79BDFADB" w:rsidR="00632AD4" w:rsidRPr="00632AD4" w:rsidRDefault="00632AD4" w:rsidP="00632AD4">
      <w:pPr>
        <w:autoSpaceDE w:val="0"/>
        <w:autoSpaceDN w:val="0"/>
        <w:adjustRightInd w:val="0"/>
        <w:jc w:val="center"/>
        <w:rPr>
          <w:rFonts w:ascii="Palatino Linotype" w:hAnsi="Palatino Linotype" w:cs="P’¬'BBò"/>
          <w:b/>
          <w:bCs/>
          <w:color w:val="683055"/>
        </w:rPr>
      </w:pPr>
      <w:r w:rsidRPr="00632AD4">
        <w:rPr>
          <w:rFonts w:ascii="Palatino Linotype" w:hAnsi="Palatino Linotype" w:cs="P’¬'BBò"/>
          <w:b/>
          <w:bCs/>
          <w:color w:val="683055"/>
        </w:rPr>
        <w:t xml:space="preserve">Reguli </w:t>
      </w:r>
      <w:proofErr w:type="spellStart"/>
      <w:r w:rsidRPr="00632AD4">
        <w:rPr>
          <w:rFonts w:ascii="Palatino Linotype" w:hAnsi="Palatino Linotype" w:cs="P’¬'BBò"/>
          <w:b/>
          <w:bCs/>
          <w:color w:val="683055"/>
        </w:rPr>
        <w:t>noi</w:t>
      </w:r>
      <w:proofErr w:type="spellEnd"/>
      <w:r w:rsidRPr="00632AD4">
        <w:rPr>
          <w:rFonts w:ascii="Palatino Linotype" w:hAnsi="Palatino Linotype" w:cs="P’¬'BBò"/>
          <w:b/>
          <w:bCs/>
          <w:color w:val="683055"/>
        </w:rPr>
        <w:t xml:space="preserve"> </w:t>
      </w:r>
      <w:proofErr w:type="spellStart"/>
      <w:r w:rsidR="00E37FA1">
        <w:rPr>
          <w:rFonts w:ascii="Palatino Linotype" w:hAnsi="Palatino Linotype" w:cs="P’¬'BBò"/>
          <w:b/>
          <w:bCs/>
          <w:color w:val="683055"/>
        </w:rPr>
        <w:t>privind</w:t>
      </w:r>
      <w:proofErr w:type="spellEnd"/>
      <w:r w:rsidRPr="00632AD4">
        <w:rPr>
          <w:rFonts w:ascii="Palatino Linotype" w:hAnsi="Palatino Linotype" w:cs="P’¬'BBò"/>
          <w:b/>
          <w:bCs/>
          <w:color w:val="683055"/>
        </w:rPr>
        <w:t xml:space="preserve"> </w:t>
      </w:r>
      <w:r w:rsidRPr="00632AD4">
        <w:rPr>
          <w:rFonts w:ascii="Palatino Linotype" w:hAnsi="Palatino Linotype" w:cs="P’¬'BBò"/>
          <w:b/>
          <w:bCs/>
          <w:color w:val="683055"/>
          <w:lang w:val="ro-RO"/>
        </w:rPr>
        <w:t>racordarea</w:t>
      </w:r>
      <w:r w:rsidRPr="00632AD4">
        <w:rPr>
          <w:rFonts w:ascii="Palatino Linotype" w:hAnsi="Palatino Linotype" w:cs="P’¬'BBò"/>
          <w:b/>
          <w:bCs/>
          <w:color w:val="683055"/>
        </w:rPr>
        <w:t xml:space="preserve"> la </w:t>
      </w:r>
      <w:proofErr w:type="spellStart"/>
      <w:r w:rsidRPr="00632AD4">
        <w:rPr>
          <w:rFonts w:ascii="Palatino Linotype" w:hAnsi="Palatino Linotype" w:cs="P’¬'BBò"/>
          <w:b/>
          <w:bCs/>
          <w:color w:val="683055"/>
        </w:rPr>
        <w:t>rețeaua</w:t>
      </w:r>
      <w:proofErr w:type="spellEnd"/>
      <w:r w:rsidRPr="00632AD4">
        <w:rPr>
          <w:rFonts w:ascii="Palatino Linotype" w:hAnsi="Palatino Linotype" w:cs="P’¬'BBò"/>
          <w:b/>
          <w:bCs/>
          <w:color w:val="683055"/>
        </w:rPr>
        <w:t xml:space="preserve"> </w:t>
      </w:r>
      <w:proofErr w:type="spellStart"/>
      <w:r w:rsidRPr="00632AD4">
        <w:rPr>
          <w:rFonts w:ascii="Palatino Linotype" w:hAnsi="Palatino Linotype" w:cs="P’¬'BBò"/>
          <w:b/>
          <w:bCs/>
          <w:color w:val="683055"/>
        </w:rPr>
        <w:t>electrică</w:t>
      </w:r>
      <w:proofErr w:type="spellEnd"/>
    </w:p>
    <w:p w14:paraId="4FDBB174" w14:textId="77777777" w:rsidR="00632AD4" w:rsidRPr="005451AB" w:rsidRDefault="00632AD4" w:rsidP="00632AD4">
      <w:pPr>
        <w:autoSpaceDE w:val="0"/>
        <w:autoSpaceDN w:val="0"/>
        <w:adjustRightInd w:val="0"/>
        <w:jc w:val="center"/>
        <w:rPr>
          <w:rFonts w:ascii="Palatino Linotype" w:hAnsi="Palatino Linotype" w:cs="P’¬'BBò"/>
          <w:b/>
          <w:bCs/>
          <w:color w:val="000000"/>
        </w:rPr>
      </w:pPr>
    </w:p>
    <w:p w14:paraId="3A337C9E" w14:textId="77777777" w:rsidR="00632AD4" w:rsidRPr="0075252A" w:rsidRDefault="00632AD4" w:rsidP="00632AD4">
      <w:pPr>
        <w:autoSpaceDE w:val="0"/>
        <w:autoSpaceDN w:val="0"/>
        <w:adjustRightInd w:val="0"/>
        <w:rPr>
          <w:rFonts w:ascii="Palatino Linotype" w:hAnsi="Palatino Linotype" w:cs="P’¬'BBò"/>
          <w:color w:val="000000"/>
          <w:sz w:val="20"/>
          <w:szCs w:val="20"/>
        </w:rPr>
      </w:pPr>
    </w:p>
    <w:p w14:paraId="64408C31" w14:textId="79D100FC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Autoritatea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Națională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Reglementare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525E28">
        <w:rPr>
          <w:rFonts w:ascii="Palatino Linotype" w:hAnsi="Palatino Linotype" w:cs="P’¬'BBò"/>
          <w:color w:val="000000"/>
          <w:sz w:val="22"/>
          <w:szCs w:val="22"/>
        </w:rPr>
        <w:t>domeniul</w:t>
      </w:r>
      <w:proofErr w:type="spellEnd"/>
      <w:r w:rsidR="00525E28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Energie</w:t>
      </w:r>
      <w:r w:rsidR="00525E28">
        <w:rPr>
          <w:rFonts w:ascii="Palatino Linotype" w:hAnsi="Palatino Linotype" w:cs="P’¬'BBò"/>
          <w:color w:val="000000"/>
          <w:sz w:val="22"/>
          <w:szCs w:val="22"/>
        </w:rPr>
        <w:t>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(„</w:t>
      </w:r>
      <w:r w:rsidRPr="005451AB">
        <w:rPr>
          <w:rFonts w:ascii="Palatino Linotype" w:hAnsi="Palatino Linotype" w:cs="P’¬'BBò"/>
          <w:b/>
          <w:bCs/>
          <w:color w:val="000000"/>
          <w:sz w:val="22"/>
          <w:szCs w:val="22"/>
        </w:rPr>
        <w:t>ANRE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”) 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supus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consultării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publice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un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ordin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care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modifică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4F269A">
        <w:rPr>
          <w:rFonts w:ascii="Palatino Linotype" w:hAnsi="Palatino Linotype" w:cs="P’¬'BBò"/>
          <w:color w:val="000000"/>
          <w:sz w:val="22"/>
          <w:szCs w:val="22"/>
        </w:rPr>
        <w:t>regulile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racordare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la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noilor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capacități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producere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energiei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electrice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(„</w:t>
      </w:r>
      <w:proofErr w:type="spellStart"/>
      <w:r w:rsidRPr="005451AB">
        <w:rPr>
          <w:rFonts w:ascii="Palatino Linotype" w:hAnsi="Palatino Linotype" w:cs="P’¬'BBò"/>
          <w:b/>
          <w:bCs/>
          <w:color w:val="000000"/>
          <w:sz w:val="22"/>
          <w:szCs w:val="22"/>
        </w:rPr>
        <w:t>Proiectul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”).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Consultările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publice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vor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avea loc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timp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30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zile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.</w:t>
      </w:r>
    </w:p>
    <w:p w14:paraId="1B4F28FE" w14:textId="73971990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aduce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schimbări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importante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regulilor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existente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unele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dintre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aceste</w:t>
      </w:r>
      <w:proofErr w:type="spellEnd"/>
      <w:r w:rsidR="004F269A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4F269A">
        <w:rPr>
          <w:rFonts w:ascii="Palatino Linotype" w:hAnsi="Palatino Linotype" w:cs="P’¬'BBò"/>
          <w:color w:val="000000"/>
          <w:sz w:val="22"/>
          <w:szCs w:val="22"/>
        </w:rPr>
        <w:t>schimbări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fiind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prevăzute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intre în vigoare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imediat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timp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alte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4F269A">
        <w:rPr>
          <w:rFonts w:ascii="Palatino Linotype" w:hAnsi="Palatino Linotype" w:cs="P’¬'BBò"/>
          <w:color w:val="000000"/>
          <w:sz w:val="22"/>
          <w:szCs w:val="22"/>
        </w:rPr>
        <w:t>prevederi</w:t>
      </w:r>
      <w:proofErr w:type="spellEnd"/>
      <w:r w:rsidR="004F269A">
        <w:rPr>
          <w:rFonts w:ascii="Palatino Linotype" w:hAnsi="Palatino Linotype" w:cs="P’¬'BBò"/>
          <w:color w:val="000000"/>
          <w:sz w:val="22"/>
          <w:szCs w:val="22"/>
        </w:rPr>
        <w:t xml:space="preserve">, care </w:t>
      </w:r>
      <w:proofErr w:type="spellStart"/>
      <w:r w:rsidR="004F269A">
        <w:rPr>
          <w:rFonts w:ascii="Palatino Linotype" w:hAnsi="Palatino Linotype" w:cs="P’¬'BBò"/>
          <w:color w:val="000000"/>
          <w:sz w:val="22"/>
          <w:szCs w:val="22"/>
        </w:rPr>
        <w:t>modifică</w:t>
      </w:r>
      <w:proofErr w:type="spellEnd"/>
      <w:r w:rsidR="004F269A">
        <w:rPr>
          <w:rFonts w:ascii="Palatino Linotype" w:hAnsi="Palatino Linotype" w:cs="P’¬'BBò"/>
          <w:color w:val="000000"/>
          <w:sz w:val="22"/>
          <w:szCs w:val="22"/>
        </w:rPr>
        <w:t xml:space="preserve"> fundamental </w:t>
      </w:r>
      <w:proofErr w:type="spellStart"/>
      <w:r w:rsidR="004F269A">
        <w:rPr>
          <w:rFonts w:ascii="Palatino Linotype" w:hAnsi="Palatino Linotype" w:cs="P’¬'BBò"/>
          <w:color w:val="000000"/>
          <w:sz w:val="22"/>
          <w:szCs w:val="22"/>
        </w:rPr>
        <w:t>sistemul</w:t>
      </w:r>
      <w:proofErr w:type="spellEnd"/>
      <w:r w:rsidR="004F269A">
        <w:rPr>
          <w:rFonts w:ascii="Palatino Linotype" w:hAnsi="Palatino Linotype" w:cs="P’¬'BBò"/>
          <w:color w:val="000000"/>
          <w:sz w:val="22"/>
          <w:szCs w:val="22"/>
        </w:rPr>
        <w:t xml:space="preserve"> existent, 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sunt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prevăzute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fie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puse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aplicare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la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începutul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anului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viitor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.</w:t>
      </w:r>
    </w:p>
    <w:p w14:paraId="46E44F0C" w14:textId="77777777" w:rsidR="00632AD4" w:rsidRPr="00632AD4" w:rsidRDefault="00632AD4" w:rsidP="00EB08D7">
      <w:pPr>
        <w:pStyle w:val="ListParagraph"/>
        <w:widowControl/>
        <w:numPr>
          <w:ilvl w:val="0"/>
          <w:numId w:val="1"/>
        </w:numPr>
        <w:adjustRightInd w:val="0"/>
        <w:spacing w:after="200" w:line="320" w:lineRule="exact"/>
        <w:ind w:left="567" w:hanging="501"/>
        <w:jc w:val="both"/>
        <w:rPr>
          <w:rFonts w:ascii="Palatino Linotype" w:hAnsi="Palatino Linotype" w:cs="P’¬'BBò"/>
          <w:b/>
          <w:bCs/>
          <w:color w:val="683055"/>
        </w:rPr>
      </w:pPr>
      <w:r w:rsidRPr="00632AD4">
        <w:rPr>
          <w:rFonts w:ascii="Palatino Linotype" w:hAnsi="Palatino Linotype" w:cs="P’¬'BBò"/>
          <w:b/>
          <w:bCs/>
          <w:color w:val="683055"/>
        </w:rPr>
        <w:t xml:space="preserve">NOI REGULI </w:t>
      </w:r>
      <w:r w:rsidRPr="00632AD4">
        <w:rPr>
          <w:rFonts w:ascii="Palatino Linotype" w:hAnsi="Palatino Linotype" w:cs="P’¬'BBò"/>
          <w:b/>
          <w:bCs/>
          <w:color w:val="683055"/>
          <w:lang w:val="ro-RO"/>
        </w:rPr>
        <w:t>PRIVIND</w:t>
      </w:r>
      <w:r w:rsidRPr="00632AD4">
        <w:rPr>
          <w:rFonts w:ascii="Palatino Linotype" w:hAnsi="Palatino Linotype" w:cs="P’¬'BBò"/>
          <w:b/>
          <w:bCs/>
          <w:color w:val="683055"/>
        </w:rPr>
        <w:t xml:space="preserve"> GARANȚIA FINANCIARĂ</w:t>
      </w:r>
    </w:p>
    <w:p w14:paraId="3FB950BB" w14:textId="77777777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Conform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regulilor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existente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dezvoltatorii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noi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trebuie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constituie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o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garanție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financiară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favoarea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operatorului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(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)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doar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dacă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racordarea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condiționată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lucrări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întărire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rețelei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și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(ii)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într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-un termen maxim de 12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luni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la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emiterea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avizului tehnic de racordare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(„</w:t>
      </w:r>
      <w:r w:rsidRPr="005451AB">
        <w:rPr>
          <w:rFonts w:ascii="Palatino Linotype" w:hAnsi="Palatino Linotype" w:cs="P’¬'BBò"/>
          <w:b/>
          <w:bCs/>
          <w:color w:val="000000"/>
          <w:sz w:val="22"/>
          <w:szCs w:val="22"/>
        </w:rPr>
        <w:t>ATR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”).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Valoarea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garanției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determinată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la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caz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la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caz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operatorul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funcție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cantitatea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lucrări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întărire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necesare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fiind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limitată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la 20% din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tariful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racordare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>.</w:t>
      </w:r>
    </w:p>
    <w:p w14:paraId="435AF9D0" w14:textId="77777777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ANRE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intenționează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schimbe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mecanismul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garanție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după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cum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urmează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:</w:t>
      </w:r>
    </w:p>
    <w:p w14:paraId="142E7F46" w14:textId="77777777" w:rsidR="00632AD4" w:rsidRPr="005451AB" w:rsidRDefault="00632AD4" w:rsidP="00EB08D7">
      <w:pPr>
        <w:pStyle w:val="ListParagraph"/>
        <w:widowControl/>
        <w:numPr>
          <w:ilvl w:val="0"/>
          <w:numId w:val="2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color w:val="000000"/>
        </w:rPr>
      </w:pPr>
      <w:proofErr w:type="spellStart"/>
      <w:r w:rsidRPr="005451AB">
        <w:rPr>
          <w:rFonts w:ascii="Palatino Linotype" w:hAnsi="Palatino Linotype" w:cs="P’¬'BBò"/>
          <w:b/>
          <w:bCs/>
          <w:color w:val="000000"/>
        </w:rPr>
        <w:t>Aplicabilitate</w:t>
      </w:r>
      <w:proofErr w:type="spellEnd"/>
      <w:r w:rsidRPr="005451AB">
        <w:rPr>
          <w:rFonts w:ascii="Palatino Linotype" w:hAnsi="Palatino Linotype" w:cs="P’¬'BBò"/>
          <w:b/>
          <w:bCs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b/>
          <w:bCs/>
          <w:color w:val="000000"/>
        </w:rPr>
        <w:t>extinsă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: </w:t>
      </w:r>
      <w:proofErr w:type="spellStart"/>
      <w:r w:rsidRPr="005451AB">
        <w:rPr>
          <w:rFonts w:ascii="Palatino Linotype" w:hAnsi="Palatino Linotype" w:cs="P’¬'BBò"/>
          <w:color w:val="000000"/>
        </w:rPr>
        <w:t>garanți</w:t>
      </w:r>
      <w:proofErr w:type="spellEnd"/>
      <w:r w:rsidRPr="005451AB">
        <w:rPr>
          <w:rFonts w:ascii="Palatino Linotype" w:hAnsi="Palatino Linotype" w:cs="P’¬'BBò"/>
          <w:color w:val="000000"/>
          <w:lang w:val="ro-RO"/>
        </w:rPr>
        <w:t>a</w:t>
      </w:r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financiar</w:t>
      </w:r>
      <w:proofErr w:type="spellEnd"/>
      <w:r w:rsidRPr="005451AB">
        <w:rPr>
          <w:rFonts w:ascii="Palatino Linotype" w:hAnsi="Palatino Linotype" w:cs="P’¬'BBò"/>
          <w:color w:val="000000"/>
          <w:lang w:val="ro-RO"/>
        </w:rPr>
        <w:t xml:space="preserve">ă ar urma să fie aplicabilă tuturor proiectelor </w:t>
      </w:r>
      <w:proofErr w:type="spellStart"/>
      <w:r w:rsidRPr="005451AB">
        <w:rPr>
          <w:rFonts w:ascii="Palatino Linotype" w:hAnsi="Palatino Linotype" w:cs="P’¬'BBò"/>
          <w:color w:val="000000"/>
        </w:rPr>
        <w:t>noi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</w:rPr>
        <w:t>indiferent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dacă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sunt </w:t>
      </w:r>
      <w:proofErr w:type="spellStart"/>
      <w:r w:rsidRPr="005451AB">
        <w:rPr>
          <w:rFonts w:ascii="Palatino Linotype" w:hAnsi="Palatino Linotype" w:cs="P’¬'BBò"/>
          <w:color w:val="000000"/>
        </w:rPr>
        <w:t>sau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nu </w:t>
      </w:r>
      <w:proofErr w:type="spellStart"/>
      <w:r w:rsidRPr="005451AB">
        <w:rPr>
          <w:rFonts w:ascii="Palatino Linotype" w:hAnsi="Palatino Linotype" w:cs="P’¬'BBò"/>
          <w:color w:val="000000"/>
        </w:rPr>
        <w:t>necesare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lucrări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</w:rPr>
        <w:t>întărire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; </w:t>
      </w:r>
      <w:proofErr w:type="spellStart"/>
      <w:r w:rsidRPr="005451AB">
        <w:rPr>
          <w:rFonts w:ascii="Palatino Linotype" w:hAnsi="Palatino Linotype" w:cs="P’¬'BBò"/>
          <w:color w:val="000000"/>
        </w:rPr>
        <w:t>nu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se </w:t>
      </w:r>
      <w:proofErr w:type="spellStart"/>
      <w:r w:rsidRPr="005451AB">
        <w:rPr>
          <w:rFonts w:ascii="Palatino Linotype" w:hAnsi="Palatino Linotype" w:cs="P’¬'BBò"/>
          <w:color w:val="000000"/>
        </w:rPr>
        <w:t>aplică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însă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proiectelor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aflate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dezvoltare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care au </w:t>
      </w:r>
      <w:proofErr w:type="spellStart"/>
      <w:r w:rsidRPr="005451AB">
        <w:rPr>
          <w:rFonts w:ascii="Palatino Linotype" w:hAnsi="Palatino Linotype" w:cs="P’¬'BBò"/>
          <w:color w:val="000000"/>
        </w:rPr>
        <w:t>obținut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deja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ATR-</w:t>
      </w:r>
      <w:proofErr w:type="spellStart"/>
      <w:r w:rsidRPr="005451AB">
        <w:rPr>
          <w:rFonts w:ascii="Palatino Linotype" w:hAnsi="Palatino Linotype" w:cs="P’¬'BBò"/>
          <w:color w:val="000000"/>
        </w:rPr>
        <w:t>ul</w:t>
      </w:r>
      <w:proofErr w:type="spellEnd"/>
      <w:r w:rsidRPr="005451AB">
        <w:rPr>
          <w:rFonts w:ascii="Palatino Linotype" w:hAnsi="Palatino Linotype" w:cs="P’¬'BBò"/>
          <w:color w:val="000000"/>
        </w:rPr>
        <w:t>;</w:t>
      </w:r>
    </w:p>
    <w:p w14:paraId="56D56AAF" w14:textId="77777777" w:rsidR="00632AD4" w:rsidRPr="005451AB" w:rsidRDefault="00632AD4" w:rsidP="00EB08D7">
      <w:pPr>
        <w:pStyle w:val="ListParagraph"/>
        <w:widowControl/>
        <w:numPr>
          <w:ilvl w:val="0"/>
          <w:numId w:val="2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color w:val="000000"/>
        </w:rPr>
      </w:pPr>
      <w:r w:rsidRPr="005451AB">
        <w:rPr>
          <w:rFonts w:ascii="Palatino Linotype" w:hAnsi="Palatino Linotype" w:cs="P’¬'BBò"/>
          <w:b/>
          <w:bCs/>
          <w:color w:val="000000"/>
          <w:lang w:val="ro-RO"/>
        </w:rPr>
        <w:t xml:space="preserve">Condiție pentru emiterea </w:t>
      </w:r>
      <w:r w:rsidRPr="005451AB">
        <w:rPr>
          <w:rFonts w:ascii="Palatino Linotype" w:hAnsi="Palatino Linotype" w:cs="P’¬'BBò"/>
          <w:b/>
          <w:bCs/>
          <w:color w:val="000000"/>
        </w:rPr>
        <w:t>ATR-</w:t>
      </w:r>
      <w:proofErr w:type="spellStart"/>
      <w:r w:rsidRPr="005451AB">
        <w:rPr>
          <w:rFonts w:ascii="Palatino Linotype" w:hAnsi="Palatino Linotype" w:cs="P’¬'BBò"/>
          <w:b/>
          <w:bCs/>
          <w:color w:val="000000"/>
        </w:rPr>
        <w:t>ului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: </w:t>
      </w:r>
      <w:proofErr w:type="spellStart"/>
      <w:r w:rsidRPr="005451AB">
        <w:rPr>
          <w:rFonts w:ascii="Palatino Linotype" w:hAnsi="Palatino Linotype" w:cs="P’¬'BBò"/>
          <w:color w:val="000000"/>
        </w:rPr>
        <w:t>garanția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financiară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r w:rsidRPr="005451AB">
        <w:rPr>
          <w:rFonts w:ascii="Palatino Linotype" w:hAnsi="Palatino Linotype" w:cs="P’¬'BBò"/>
          <w:color w:val="000000"/>
          <w:lang w:val="ro-RO"/>
        </w:rPr>
        <w:t>trebuie constituită</w:t>
      </w:r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înainte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</w:rPr>
        <w:t>emiterea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ATR-</w:t>
      </w:r>
      <w:proofErr w:type="spellStart"/>
      <w:r w:rsidRPr="005451AB">
        <w:rPr>
          <w:rFonts w:ascii="Palatino Linotype" w:hAnsi="Palatino Linotype" w:cs="P’¬'BBò"/>
          <w:color w:val="000000"/>
        </w:rPr>
        <w:t>ului</w:t>
      </w:r>
      <w:proofErr w:type="spellEnd"/>
      <w:r w:rsidRPr="005451AB">
        <w:rPr>
          <w:rFonts w:ascii="Palatino Linotype" w:hAnsi="Palatino Linotype" w:cs="P’¬'BBò"/>
          <w:color w:val="000000"/>
        </w:rPr>
        <w:t>;</w:t>
      </w:r>
    </w:p>
    <w:p w14:paraId="546A95A3" w14:textId="77777777" w:rsidR="00632AD4" w:rsidRPr="005451AB" w:rsidRDefault="00632AD4" w:rsidP="00EB08D7">
      <w:pPr>
        <w:pStyle w:val="ListParagraph"/>
        <w:widowControl/>
        <w:numPr>
          <w:ilvl w:val="0"/>
          <w:numId w:val="2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color w:val="000000"/>
        </w:rPr>
      </w:pPr>
      <w:proofErr w:type="spellStart"/>
      <w:r w:rsidRPr="005451AB">
        <w:rPr>
          <w:rFonts w:ascii="Palatino Linotype" w:hAnsi="Palatino Linotype" w:cs="P’¬'BBò"/>
          <w:b/>
          <w:bCs/>
          <w:color w:val="000000"/>
        </w:rPr>
        <w:t>Valoare</w:t>
      </w:r>
      <w:proofErr w:type="spellEnd"/>
      <w:r w:rsidRPr="005451AB">
        <w:rPr>
          <w:rFonts w:ascii="Palatino Linotype" w:hAnsi="Palatino Linotype" w:cs="P’¬'BBò"/>
          <w:b/>
          <w:bCs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b/>
          <w:bCs/>
          <w:color w:val="000000"/>
        </w:rPr>
        <w:t>fixă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: </w:t>
      </w:r>
      <w:proofErr w:type="spellStart"/>
      <w:r w:rsidRPr="005451AB">
        <w:rPr>
          <w:rFonts w:ascii="Palatino Linotype" w:hAnsi="Palatino Linotype" w:cs="P’¬'BBò"/>
          <w:color w:val="000000"/>
        </w:rPr>
        <w:t>garanția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financiară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valoare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5% din </w:t>
      </w:r>
      <w:proofErr w:type="spellStart"/>
      <w:r w:rsidRPr="005451AB">
        <w:rPr>
          <w:rFonts w:ascii="Palatino Linotype" w:hAnsi="Palatino Linotype" w:cs="P’¬'BBò"/>
          <w:color w:val="000000"/>
        </w:rPr>
        <w:t>tariful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</w:t>
      </w:r>
      <w:r w:rsidRPr="005451AB">
        <w:rPr>
          <w:rFonts w:ascii="Palatino Linotype" w:hAnsi="Palatino Linotype" w:cs="P’¬'BBò"/>
          <w:color w:val="000000"/>
          <w:lang w:val="ro-RO"/>
        </w:rPr>
        <w:t>racordare</w:t>
      </w:r>
      <w:r w:rsidRPr="005451AB">
        <w:rPr>
          <w:rFonts w:ascii="Palatino Linotype" w:hAnsi="Palatino Linotype" w:cs="P’¬'BBò"/>
          <w:color w:val="000000"/>
        </w:rPr>
        <w:t>;</w:t>
      </w:r>
    </w:p>
    <w:p w14:paraId="17FB74CB" w14:textId="625751CC" w:rsidR="00632AD4" w:rsidRPr="005451AB" w:rsidRDefault="00632AD4" w:rsidP="00EB08D7">
      <w:pPr>
        <w:pStyle w:val="ListParagraph"/>
        <w:widowControl/>
        <w:numPr>
          <w:ilvl w:val="0"/>
          <w:numId w:val="2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color w:val="000000"/>
        </w:rPr>
      </w:pPr>
      <w:r w:rsidRPr="005451AB">
        <w:rPr>
          <w:rFonts w:ascii="Palatino Linotype" w:hAnsi="Palatino Linotype" w:cs="P’¬'BBò"/>
          <w:b/>
          <w:bCs/>
          <w:color w:val="000000"/>
          <w:lang w:val="ro-RO"/>
        </w:rPr>
        <w:t>Cazuri de executare a garanției</w:t>
      </w:r>
      <w:r w:rsidRPr="005451AB">
        <w:rPr>
          <w:rFonts w:ascii="Palatino Linotype" w:hAnsi="Palatino Linotype" w:cs="P’¬'BBò"/>
          <w:color w:val="000000"/>
        </w:rPr>
        <w:t xml:space="preserve">: </w:t>
      </w:r>
      <w:proofErr w:type="spellStart"/>
      <w:r w:rsidRPr="005451AB">
        <w:rPr>
          <w:rFonts w:ascii="Palatino Linotype" w:hAnsi="Palatino Linotype" w:cs="P’¬'BBò"/>
          <w:color w:val="000000"/>
        </w:rPr>
        <w:t>cazurile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care </w:t>
      </w:r>
      <w:proofErr w:type="spellStart"/>
      <w:r w:rsidRPr="005451AB">
        <w:rPr>
          <w:rFonts w:ascii="Palatino Linotype" w:hAnsi="Palatino Linotype" w:cs="P’¬'BBò"/>
          <w:color w:val="000000"/>
        </w:rPr>
        <w:t>îndreptățesc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operatorul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</w:rPr>
        <w:t>rețea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să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execute </w:t>
      </w:r>
      <w:proofErr w:type="spellStart"/>
      <w:r w:rsidRPr="005451AB">
        <w:rPr>
          <w:rFonts w:ascii="Palatino Linotype" w:hAnsi="Palatino Linotype" w:cs="P’¬'BBò"/>
          <w:color w:val="000000"/>
        </w:rPr>
        <w:t>garanția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nu se </w:t>
      </w:r>
      <w:r w:rsidRPr="005451AB">
        <w:rPr>
          <w:rFonts w:ascii="Palatino Linotype" w:hAnsi="Palatino Linotype" w:cs="P’¬'BBò"/>
          <w:color w:val="000000"/>
          <w:lang w:val="ro-RO"/>
        </w:rPr>
        <w:t xml:space="preserve">modifică </w:t>
      </w:r>
      <w:proofErr w:type="spellStart"/>
      <w:r w:rsidRPr="005451AB">
        <w:rPr>
          <w:rFonts w:ascii="Palatino Linotype" w:hAnsi="Palatino Linotype" w:cs="P’¬'BBò"/>
          <w:color w:val="000000"/>
        </w:rPr>
        <w:t>fiind</w:t>
      </w:r>
      <w:proofErr w:type="spellEnd"/>
      <w:r w:rsidRPr="005451AB">
        <w:rPr>
          <w:rFonts w:ascii="Palatino Linotype" w:hAnsi="Palatino Linotype" w:cs="P’¬'BBò"/>
          <w:color w:val="000000"/>
        </w:rPr>
        <w:t>,</w:t>
      </w:r>
      <w:r w:rsidRPr="005451AB">
        <w:rPr>
          <w:rFonts w:ascii="Palatino Linotype" w:hAnsi="Palatino Linotype" w:cs="P’¬'BBò"/>
          <w:color w:val="000000"/>
          <w:lang w:val="ro-RO"/>
        </w:rPr>
        <w:t xml:space="preserve"> în esență</w:t>
      </w:r>
      <w:r w:rsidRPr="005451AB">
        <w:rPr>
          <w:rFonts w:ascii="Palatino Linotype" w:hAnsi="Palatino Linotype" w:cs="P’¬'BBò"/>
          <w:color w:val="000000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</w:rPr>
        <w:t>dacă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investitorul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(</w:t>
      </w:r>
      <w:proofErr w:type="spellStart"/>
      <w:r w:rsidRPr="005451AB">
        <w:rPr>
          <w:rFonts w:ascii="Palatino Linotype" w:hAnsi="Palatino Linotype" w:cs="P’¬'BBò"/>
          <w:color w:val="000000"/>
        </w:rPr>
        <w:t>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) nu </w:t>
      </w:r>
      <w:proofErr w:type="spellStart"/>
      <w:r w:rsidRPr="005451AB">
        <w:rPr>
          <w:rFonts w:ascii="Palatino Linotype" w:hAnsi="Palatino Linotype" w:cs="P’¬'BBò"/>
          <w:color w:val="000000"/>
        </w:rPr>
        <w:t>depune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cererea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semnarea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contractului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</w:t>
      </w:r>
      <w:r w:rsidRPr="005451AB">
        <w:rPr>
          <w:rFonts w:ascii="Palatino Linotype" w:hAnsi="Palatino Linotype" w:cs="P’¬'BBò"/>
          <w:color w:val="000000"/>
          <w:lang w:val="ro-RO"/>
        </w:rPr>
        <w:t>racordare</w:t>
      </w:r>
      <w:r w:rsidRPr="005451AB">
        <w:rPr>
          <w:rFonts w:ascii="Palatino Linotype" w:hAnsi="Palatino Linotype" w:cs="P’¬'BBò"/>
          <w:color w:val="000000"/>
        </w:rPr>
        <w:t xml:space="preserve">, (ii) nu </w:t>
      </w:r>
      <w:proofErr w:type="spellStart"/>
      <w:r w:rsidRPr="005451AB">
        <w:rPr>
          <w:rFonts w:ascii="Palatino Linotype" w:hAnsi="Palatino Linotype" w:cs="P’¬'BBò"/>
          <w:color w:val="000000"/>
        </w:rPr>
        <w:t>plătește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tariful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</w:t>
      </w:r>
      <w:r w:rsidRPr="005451AB">
        <w:rPr>
          <w:rFonts w:ascii="Palatino Linotype" w:hAnsi="Palatino Linotype" w:cs="P’¬'BBò"/>
          <w:color w:val="000000"/>
          <w:lang w:val="ro-RO"/>
        </w:rPr>
        <w:t>racordare</w:t>
      </w:r>
      <w:r w:rsidRPr="005451AB">
        <w:rPr>
          <w:rFonts w:ascii="Palatino Linotype" w:hAnsi="Palatino Linotype" w:cs="P’¬'BBò"/>
          <w:color w:val="000000"/>
        </w:rPr>
        <w:t xml:space="preserve"> la </w:t>
      </w:r>
      <w:proofErr w:type="spellStart"/>
      <w:r w:rsidRPr="005451AB">
        <w:rPr>
          <w:rFonts w:ascii="Palatino Linotype" w:hAnsi="Palatino Linotype" w:cs="P’¬'BBò"/>
          <w:color w:val="000000"/>
        </w:rPr>
        <w:t>termenele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stabilite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="00427895">
        <w:rPr>
          <w:rFonts w:ascii="Palatino Linotype" w:hAnsi="Palatino Linotype" w:cs="P’¬'BBò"/>
          <w:color w:val="000000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contractul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</w:t>
      </w:r>
      <w:r w:rsidRPr="005451AB">
        <w:rPr>
          <w:rFonts w:ascii="Palatino Linotype" w:hAnsi="Palatino Linotype" w:cs="P’¬'BBò"/>
          <w:color w:val="000000"/>
          <w:lang w:val="ro-RO"/>
        </w:rPr>
        <w:t>racordare</w:t>
      </w:r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sau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(iii) nu </w:t>
      </w:r>
      <w:proofErr w:type="spellStart"/>
      <w:r w:rsidRPr="005451AB">
        <w:rPr>
          <w:rFonts w:ascii="Palatino Linotype" w:hAnsi="Palatino Linotype" w:cs="P’¬'BBò"/>
          <w:color w:val="000000"/>
        </w:rPr>
        <w:t>finalizează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proiectul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până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la </w:t>
      </w:r>
      <w:proofErr w:type="spellStart"/>
      <w:r w:rsidRPr="005451AB">
        <w:rPr>
          <w:rFonts w:ascii="Palatino Linotype" w:hAnsi="Palatino Linotype" w:cs="P’¬'BBò"/>
          <w:color w:val="000000"/>
        </w:rPr>
        <w:t>termenul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limită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r w:rsidRPr="005451AB">
        <w:rPr>
          <w:rFonts w:ascii="Palatino Linotype" w:hAnsi="Palatino Linotype" w:cs="P’¬'BBò"/>
          <w:color w:val="000000"/>
          <w:lang w:val="ro-RO"/>
        </w:rPr>
        <w:t>prevăzut în</w:t>
      </w:r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contractul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</w:t>
      </w:r>
      <w:r w:rsidRPr="005451AB">
        <w:rPr>
          <w:rFonts w:ascii="Palatino Linotype" w:hAnsi="Palatino Linotype" w:cs="P’¬'BBò"/>
          <w:color w:val="000000"/>
          <w:lang w:val="ro-RO"/>
        </w:rPr>
        <w:t>racordare</w:t>
      </w:r>
      <w:r w:rsidRPr="005451AB">
        <w:rPr>
          <w:rFonts w:ascii="Palatino Linotype" w:hAnsi="Palatino Linotype" w:cs="P’¬'BBò"/>
          <w:color w:val="000000"/>
        </w:rPr>
        <w:t>;</w:t>
      </w:r>
    </w:p>
    <w:p w14:paraId="24BC5CC6" w14:textId="0C2B664D" w:rsidR="00632AD4" w:rsidRPr="005451AB" w:rsidRDefault="00632AD4" w:rsidP="00EB08D7">
      <w:pPr>
        <w:pStyle w:val="ListParagraph"/>
        <w:widowControl/>
        <w:numPr>
          <w:ilvl w:val="0"/>
          <w:numId w:val="2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color w:val="000000"/>
        </w:rPr>
      </w:pPr>
      <w:proofErr w:type="spellStart"/>
      <w:r w:rsidRPr="005451AB">
        <w:rPr>
          <w:rFonts w:ascii="Palatino Linotype" w:hAnsi="Palatino Linotype" w:cs="P’¬'BBò"/>
          <w:b/>
          <w:bCs/>
          <w:color w:val="000000"/>
        </w:rPr>
        <w:t>Cazuri</w:t>
      </w:r>
      <w:proofErr w:type="spellEnd"/>
      <w:r w:rsidRPr="005451AB">
        <w:rPr>
          <w:rFonts w:ascii="Palatino Linotype" w:hAnsi="Palatino Linotype" w:cs="P’¬'BBò"/>
          <w:b/>
          <w:bCs/>
          <w:color w:val="000000"/>
        </w:rPr>
        <w:t xml:space="preserve"> de </w:t>
      </w:r>
      <w:proofErr w:type="spellStart"/>
      <w:r w:rsidRPr="005451AB">
        <w:rPr>
          <w:rFonts w:ascii="Palatino Linotype" w:hAnsi="Palatino Linotype" w:cs="P’¬'BBò"/>
          <w:b/>
          <w:bCs/>
          <w:color w:val="000000"/>
        </w:rPr>
        <w:t>restituire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: </w:t>
      </w:r>
      <w:proofErr w:type="spellStart"/>
      <w:r w:rsidRPr="005451AB">
        <w:rPr>
          <w:rFonts w:ascii="Palatino Linotype" w:hAnsi="Palatino Linotype" w:cs="P’¬'BBò"/>
          <w:color w:val="000000"/>
        </w:rPr>
        <w:t>cazurile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care </w:t>
      </w:r>
      <w:proofErr w:type="spellStart"/>
      <w:r w:rsidRPr="005451AB">
        <w:rPr>
          <w:rFonts w:ascii="Palatino Linotype" w:hAnsi="Palatino Linotype" w:cs="P’¬'BBò"/>
          <w:color w:val="000000"/>
        </w:rPr>
        <w:t>garanția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returnată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investitorilor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sunt</w:t>
      </w:r>
      <w:r w:rsidRPr="005451AB">
        <w:rPr>
          <w:rFonts w:ascii="Palatino Linotype" w:hAnsi="Palatino Linotype" w:cs="P’¬'BBò"/>
          <w:color w:val="000000"/>
          <w:lang w:val="ro-RO"/>
        </w:rPr>
        <w:t xml:space="preserve"> ușor clarificate, fiind în principal (i) punerea în funcțiune a proiectului</w:t>
      </w:r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și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r w:rsidRPr="005451AB">
        <w:rPr>
          <w:rFonts w:ascii="Palatino Linotype" w:hAnsi="Palatino Linotype" w:cs="P’¬'BBò"/>
          <w:color w:val="000000"/>
          <w:lang w:val="ro-RO"/>
        </w:rPr>
        <w:t>(ii) finalizarea lucrărilor de înt</w:t>
      </w:r>
      <w:r w:rsidR="00427895">
        <w:rPr>
          <w:rFonts w:ascii="Palatino Linotype" w:hAnsi="Palatino Linotype" w:cs="P’¬'BBò"/>
          <w:color w:val="000000"/>
          <w:lang w:val="ro-RO"/>
        </w:rPr>
        <w:t>ă</w:t>
      </w:r>
      <w:r w:rsidRPr="005451AB">
        <w:rPr>
          <w:rFonts w:ascii="Palatino Linotype" w:hAnsi="Palatino Linotype" w:cs="P’¬'BBò"/>
          <w:color w:val="000000"/>
          <w:lang w:val="ro-RO"/>
        </w:rPr>
        <w:t>rire</w:t>
      </w:r>
      <w:r w:rsidRPr="005451AB">
        <w:rPr>
          <w:rFonts w:ascii="Palatino Linotype" w:hAnsi="Palatino Linotype" w:cs="P’¬'BBò"/>
          <w:color w:val="000000"/>
        </w:rPr>
        <w:t>.</w:t>
      </w:r>
    </w:p>
    <w:p w14:paraId="693FE747" w14:textId="7C1B9F8C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Extinzând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aplicabilitatea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garanției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la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toate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proiectele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și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6724B0">
        <w:rPr>
          <w:rFonts w:ascii="Palatino Linotype" w:hAnsi="Palatino Linotype" w:cs="P’¬'BBò"/>
          <w:color w:val="000000"/>
          <w:sz w:val="22"/>
          <w:szCs w:val="22"/>
        </w:rPr>
        <w:t>impunând</w:t>
      </w:r>
      <w:proofErr w:type="spellEnd"/>
      <w:r w:rsidR="006724B0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6724B0">
        <w:rPr>
          <w:rFonts w:ascii="Palatino Linotype" w:hAnsi="Palatino Linotype" w:cs="P’¬'BBò"/>
          <w:color w:val="000000"/>
          <w:sz w:val="22"/>
          <w:szCs w:val="22"/>
        </w:rPr>
        <w:t>obligația</w:t>
      </w:r>
      <w:proofErr w:type="spellEnd"/>
      <w:r w:rsidR="006724B0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6724B0">
        <w:rPr>
          <w:rFonts w:ascii="Palatino Linotype" w:hAnsi="Palatino Linotype" w:cs="P’¬'BBò"/>
          <w:color w:val="000000"/>
          <w:sz w:val="22"/>
          <w:szCs w:val="22"/>
        </w:rPr>
        <w:t>constituirii</w:t>
      </w:r>
      <w:proofErr w:type="spellEnd"/>
      <w:r w:rsidR="006724B0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6724B0">
        <w:rPr>
          <w:rFonts w:ascii="Palatino Linotype" w:hAnsi="Palatino Linotype" w:cs="P’¬'BBò"/>
          <w:color w:val="000000"/>
          <w:sz w:val="22"/>
          <w:szCs w:val="22"/>
        </w:rPr>
        <w:t>acesteia</w:t>
      </w:r>
      <w:proofErr w:type="spellEnd"/>
      <w:r w:rsidR="006724B0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6724B0">
        <w:rPr>
          <w:rFonts w:ascii="Palatino Linotype" w:hAnsi="Palatino Linotype" w:cs="P’¬'BBò"/>
          <w:color w:val="000000"/>
          <w:sz w:val="22"/>
          <w:szCs w:val="22"/>
        </w:rPr>
        <w:t>înainte</w:t>
      </w:r>
      <w:proofErr w:type="spellEnd"/>
      <w:r w:rsidR="006724B0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="006724B0">
        <w:rPr>
          <w:rFonts w:ascii="Palatino Linotype" w:hAnsi="Palatino Linotype" w:cs="P’¬'BBò"/>
          <w:color w:val="000000"/>
          <w:sz w:val="22"/>
          <w:szCs w:val="22"/>
        </w:rPr>
        <w:t>emiterea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ATR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-ului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ANRE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răspunde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cererilor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pieței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r w:rsidR="00C54AB7">
        <w:rPr>
          <w:rFonts w:ascii="Palatino Linotype" w:hAnsi="Palatino Linotype" w:cs="P’¬'BBò"/>
          <w:color w:val="000000"/>
          <w:sz w:val="22"/>
          <w:szCs w:val="22"/>
        </w:rPr>
        <w:t xml:space="preserve">a </w:t>
      </w:r>
      <w:proofErr w:type="spellStart"/>
      <w:r w:rsidR="00C54AB7">
        <w:rPr>
          <w:rFonts w:ascii="Palatino Linotype" w:hAnsi="Palatino Linotype" w:cs="P’¬'BBò"/>
          <w:color w:val="000000"/>
          <w:sz w:val="22"/>
          <w:szCs w:val="22"/>
        </w:rPr>
        <w:t>implementa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un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mecanism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care s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ă limiteze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blocarea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artificială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rețelei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 </w:t>
      </w:r>
      <w:r w:rsidR="00C54AB7">
        <w:rPr>
          <w:rFonts w:ascii="Palatino Linotype" w:hAnsi="Palatino Linotype" w:cs="P’¬'BBò"/>
          <w:color w:val="000000"/>
          <w:sz w:val="22"/>
          <w:szCs w:val="22"/>
          <w:lang w:val="ro-RO"/>
        </w:rPr>
        <w:t>cu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ATR-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uri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emise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nefezabile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sau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ărora le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lipsesc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surse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le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finanțare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.</w:t>
      </w:r>
    </w:p>
    <w:p w14:paraId="53987658" w14:textId="77777777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Mai mult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procentul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unic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calcularea valorii garanției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elimină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îngrijorările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exprimate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piață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cu privire la caracterul injust al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sistemului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actual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care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operatorul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determină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procentul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la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caz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la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caz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.</w:t>
      </w:r>
    </w:p>
    <w:p w14:paraId="1B00E8DC" w14:textId="48C4986E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lastRenderedPageBreak/>
        <w:t>Dintr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-o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altă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perspectivă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stabilirea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garanției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într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-un moment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care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fezabilitatea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proiectului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incertă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coroborată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cu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executarea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acesteia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dacă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contractul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racordare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nu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semnat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sau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nu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finalizat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(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indiferent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motiv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),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poate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crește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riscul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investițional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.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Acest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lucru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se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aplică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exemplu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dacă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racordarea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depinde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lucrări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întărire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care nu sunt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incluse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planurile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investiții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ale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operatorilor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caz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care, la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etapa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ATR,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investitorul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s-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putea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nu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aibă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o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viziune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completă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și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precisă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asupra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(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)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datei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punere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funcțiune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lucrărilor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întărire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sau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 (ii)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costurilor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exacte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întărire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care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vor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trebui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suportate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asigura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racordarea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proiectului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respectiv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(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deoarece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tariful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întărire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stabilit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ATR (Ti)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reprezintă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doar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o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parte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din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valoarea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totală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lucrărilor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întărire</w:t>
      </w:r>
      <w:proofErr w:type="spellEnd"/>
      <w:r w:rsidR="00F92250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F92250">
        <w:rPr>
          <w:rFonts w:ascii="Palatino Linotype" w:hAnsi="Palatino Linotype" w:cs="P’¬'BBò"/>
          <w:color w:val="000000"/>
          <w:sz w:val="22"/>
          <w:szCs w:val="22"/>
        </w:rPr>
        <w:t>necesare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).</w:t>
      </w:r>
    </w:p>
    <w:p w14:paraId="0CF20010" w14:textId="77777777" w:rsidR="00632AD4" w:rsidRPr="00632AD4" w:rsidRDefault="00632AD4" w:rsidP="00EB08D7">
      <w:pPr>
        <w:pStyle w:val="ListParagraph"/>
        <w:widowControl/>
        <w:numPr>
          <w:ilvl w:val="0"/>
          <w:numId w:val="1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b/>
          <w:bCs/>
          <w:color w:val="683055"/>
        </w:rPr>
      </w:pPr>
      <w:r w:rsidRPr="00632AD4">
        <w:rPr>
          <w:rFonts w:ascii="Palatino Linotype" w:hAnsi="Palatino Linotype" w:cs="P’¬'BBò"/>
          <w:b/>
          <w:bCs/>
          <w:color w:val="683055"/>
        </w:rPr>
        <w:t>REC</w:t>
      </w:r>
      <w:r w:rsidRPr="00632AD4">
        <w:rPr>
          <w:rFonts w:ascii="Palatino Linotype" w:hAnsi="Palatino Linotype" w:cs="P’¬'BBò"/>
          <w:b/>
          <w:bCs/>
          <w:color w:val="683055"/>
          <w:lang w:val="ro-RO"/>
        </w:rPr>
        <w:t>A</w:t>
      </w:r>
      <w:r w:rsidRPr="00632AD4">
        <w:rPr>
          <w:rFonts w:ascii="Palatino Linotype" w:hAnsi="Palatino Linotype" w:cs="P’¬'BBò"/>
          <w:b/>
          <w:bCs/>
          <w:color w:val="683055"/>
        </w:rPr>
        <w:t>LCULAREA CAPACITĂȚII REȚELEI</w:t>
      </w:r>
    </w:p>
    <w:p w14:paraId="3AF92BDF" w14:textId="48B419BF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Conform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regulilor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actuale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dacă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un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finalizat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înainte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finalizarea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lucrărilor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întărire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stabilite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prin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ATR,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operatorul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obligat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refacă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calculele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privind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capacitatea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disponibilă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rețelei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respectiv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luând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considerare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doar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(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)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proiectele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operaționale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și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(ii)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proiectele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pentru care s-a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depus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cererea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privind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6B0B33">
        <w:rPr>
          <w:rFonts w:ascii="Palatino Linotype" w:hAnsi="Palatino Linotype" w:cs="P’¬'BBò"/>
          <w:color w:val="000000"/>
          <w:sz w:val="22"/>
          <w:szCs w:val="22"/>
        </w:rPr>
        <w:t>inițierea</w:t>
      </w:r>
      <w:proofErr w:type="spellEnd"/>
      <w:r w:rsidR="006B0B33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6B0B33">
        <w:rPr>
          <w:rFonts w:ascii="Palatino Linotype" w:hAnsi="Palatino Linotype" w:cs="P’¬'BBò"/>
          <w:color w:val="000000"/>
          <w:sz w:val="22"/>
          <w:szCs w:val="22"/>
        </w:rPr>
        <w:t>testelor</w:t>
      </w:r>
      <w:proofErr w:type="spellEnd"/>
      <w:r w:rsidR="006B0B33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punere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funcțiune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.</w:t>
      </w:r>
    </w:p>
    <w:p w14:paraId="0414DD7C" w14:textId="59CCF3BE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Investitorii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care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își propun să avanseze într-un ritm accelerat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propriile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se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bazează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pe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acest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mecanism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și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pe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faptul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nu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vor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6B0B33">
        <w:rPr>
          <w:rFonts w:ascii="Palatino Linotype" w:hAnsi="Palatino Linotype" w:cs="P’¬'BBò"/>
          <w:color w:val="000000"/>
          <w:sz w:val="22"/>
          <w:szCs w:val="22"/>
        </w:rPr>
        <w:t>mai</w:t>
      </w:r>
      <w:proofErr w:type="spellEnd"/>
      <w:r w:rsidR="006B0B33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fi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necesare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lucrări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întărire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urmare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noilor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calcule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. Cu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toate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acestea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sistemul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actual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cauzează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incertitudini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cu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privire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la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modul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care </w:t>
      </w:r>
      <w:proofErr w:type="spellStart"/>
      <w:r w:rsidR="006B0B33">
        <w:rPr>
          <w:rFonts w:ascii="Palatino Linotype" w:hAnsi="Palatino Linotype" w:cs="P’¬'BBò"/>
          <w:color w:val="000000"/>
          <w:sz w:val="22"/>
          <w:szCs w:val="22"/>
        </w:rPr>
        <w:t>vor</w:t>
      </w:r>
      <w:proofErr w:type="spellEnd"/>
      <w:r w:rsidR="006B0B33">
        <w:rPr>
          <w:rFonts w:ascii="Palatino Linotype" w:hAnsi="Palatino Linotype" w:cs="P’¬'BBò"/>
          <w:color w:val="000000"/>
          <w:sz w:val="22"/>
          <w:szCs w:val="22"/>
        </w:rPr>
        <w:t xml:space="preserve"> fi </w:t>
      </w:r>
      <w:proofErr w:type="spellStart"/>
      <w:r w:rsidR="006B0B33">
        <w:rPr>
          <w:rFonts w:ascii="Palatino Linotype" w:hAnsi="Palatino Linotype" w:cs="P’¬'BBò"/>
          <w:color w:val="000000"/>
          <w:sz w:val="22"/>
          <w:szCs w:val="22"/>
        </w:rPr>
        <w:t>impactate</w:t>
      </w:r>
      <w:proofErr w:type="spellEnd"/>
      <w:r w:rsidR="006B0B33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6B0B33">
        <w:rPr>
          <w:rFonts w:ascii="Palatino Linotype" w:hAnsi="Palatino Linotype" w:cs="P’¬'BBò"/>
          <w:color w:val="000000"/>
          <w:sz w:val="22"/>
          <w:szCs w:val="22"/>
        </w:rPr>
        <w:t>acele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8A7956">
        <w:rPr>
          <w:rFonts w:ascii="Palatino Linotype" w:hAnsi="Palatino Linotype" w:cs="P’¬'BBò"/>
          <w:color w:val="000000"/>
          <w:sz w:val="22"/>
          <w:szCs w:val="22"/>
        </w:rPr>
        <w:t>anterioare</w:t>
      </w:r>
      <w:proofErr w:type="spellEnd"/>
      <w:r w:rsidR="008A7956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8A7956">
        <w:rPr>
          <w:rFonts w:ascii="Palatino Linotype" w:hAnsi="Palatino Linotype" w:cs="P’¬'BBò"/>
          <w:color w:val="000000"/>
          <w:sz w:val="22"/>
          <w:szCs w:val="22"/>
        </w:rPr>
        <w:t>celui</w:t>
      </w:r>
      <w:proofErr w:type="spellEnd"/>
      <w:r w:rsidR="008A7956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8A7956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="008A7956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8A7956">
        <w:rPr>
          <w:rFonts w:ascii="Palatino Linotype" w:hAnsi="Palatino Linotype" w:cs="P’¬'BBò"/>
          <w:color w:val="000000"/>
          <w:sz w:val="22"/>
          <w:szCs w:val="22"/>
        </w:rPr>
        <w:t>cauză</w:t>
      </w:r>
      <w:proofErr w:type="spellEnd"/>
      <w:r w:rsidR="00D13EE2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care se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dezvoltă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într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-un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ritm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mai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lent</w:t>
      </w:r>
      <w:r w:rsidR="008A7956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8A7956">
        <w:rPr>
          <w:rFonts w:ascii="Palatino Linotype" w:hAnsi="Palatino Linotype" w:cs="P’¬'BBò"/>
          <w:color w:val="000000"/>
          <w:sz w:val="22"/>
          <w:szCs w:val="22"/>
        </w:rPr>
        <w:t>și</w:t>
      </w:r>
      <w:proofErr w:type="spellEnd"/>
      <w:r w:rsidR="008A7956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="00D13EE2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="00D13EE2">
        <w:rPr>
          <w:rFonts w:ascii="Palatino Linotype" w:hAnsi="Palatino Linotype" w:cs="P’¬'BBò"/>
          <w:color w:val="000000"/>
          <w:sz w:val="22"/>
          <w:szCs w:val="22"/>
        </w:rPr>
        <w:t>prin</w:t>
      </w:r>
      <w:proofErr w:type="spellEnd"/>
      <w:r w:rsidR="00D13EE2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D13EE2">
        <w:rPr>
          <w:rFonts w:ascii="Palatino Linotype" w:hAnsi="Palatino Linotype" w:cs="P’¬'BBò"/>
          <w:color w:val="000000"/>
          <w:sz w:val="22"/>
          <w:szCs w:val="22"/>
        </w:rPr>
        <w:t>urmare</w:t>
      </w:r>
      <w:proofErr w:type="spellEnd"/>
      <w:r w:rsidR="00D13EE2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r w:rsidR="008A7956">
        <w:rPr>
          <w:rFonts w:ascii="Palatino Linotype" w:hAnsi="Palatino Linotype" w:cs="P’¬'BBò"/>
          <w:color w:val="000000"/>
          <w:sz w:val="22"/>
          <w:szCs w:val="22"/>
        </w:rPr>
        <w:t xml:space="preserve">nu sunt </w:t>
      </w:r>
      <w:proofErr w:type="spellStart"/>
      <w:r w:rsidR="008A7956">
        <w:rPr>
          <w:rFonts w:ascii="Palatino Linotype" w:hAnsi="Palatino Linotype" w:cs="P’¬'BBò"/>
          <w:color w:val="000000"/>
          <w:sz w:val="22"/>
          <w:szCs w:val="22"/>
        </w:rPr>
        <w:t>luate</w:t>
      </w:r>
      <w:proofErr w:type="spellEnd"/>
      <w:r w:rsidR="008A7956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8A7956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="008A7956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8A7956">
        <w:rPr>
          <w:rFonts w:ascii="Palatino Linotype" w:hAnsi="Palatino Linotype" w:cs="P’¬'BBò"/>
          <w:color w:val="000000"/>
          <w:sz w:val="22"/>
          <w:szCs w:val="22"/>
        </w:rPr>
        <w:t>considerare</w:t>
      </w:r>
      <w:proofErr w:type="spellEnd"/>
      <w:r w:rsidR="008A7956">
        <w:rPr>
          <w:rFonts w:ascii="Palatino Linotype" w:hAnsi="Palatino Linotype" w:cs="P’¬'BBò"/>
          <w:color w:val="000000"/>
          <w:sz w:val="22"/>
          <w:szCs w:val="22"/>
        </w:rPr>
        <w:t xml:space="preserve"> la </w:t>
      </w:r>
      <w:proofErr w:type="spellStart"/>
      <w:r w:rsidR="008A7956">
        <w:rPr>
          <w:rFonts w:ascii="Palatino Linotype" w:hAnsi="Palatino Linotype" w:cs="P’¬'BBò"/>
          <w:color w:val="000000"/>
          <w:sz w:val="22"/>
          <w:szCs w:val="22"/>
        </w:rPr>
        <w:t>recalculare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.</w:t>
      </w:r>
    </w:p>
    <w:p w14:paraId="2F819EDC" w14:textId="171F470A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Probabil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adresa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incertitudinile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mai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sus,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prevede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la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recalcularea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pacității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rețelei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,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operatorul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va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lua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considerare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și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toate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ATR-urile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valabile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indiferent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stadiul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implementare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proiectelor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respective. Cu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toate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modificarea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principiu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pozitivă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considerăm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trebui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se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considerare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doar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ATR-urile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valabile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care au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fost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luate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considerare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studiul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soluție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elaborat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respectiv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.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caz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contrar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fi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denaturat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principiul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="00D13EE2">
        <w:rPr>
          <w:rFonts w:ascii="Palatino Linotype" w:hAnsi="Palatino Linotype" w:cs="P’¬'BBò"/>
          <w:color w:val="000000"/>
          <w:sz w:val="22"/>
          <w:szCs w:val="22"/>
        </w:rPr>
        <w:t>“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priorită</w:t>
      </w:r>
      <w:r w:rsidR="00D13EE2">
        <w:rPr>
          <w:rFonts w:ascii="Palatino Linotype" w:hAnsi="Palatino Linotype" w:cs="P’¬'BBò"/>
          <w:color w:val="000000"/>
          <w:sz w:val="22"/>
          <w:szCs w:val="22"/>
        </w:rPr>
        <w:t>ț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>ii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D13EE2">
        <w:rPr>
          <w:rFonts w:ascii="Palatino Linotype" w:hAnsi="Palatino Linotype" w:cs="P’¬'BBò"/>
          <w:color w:val="000000"/>
          <w:sz w:val="22"/>
          <w:szCs w:val="22"/>
        </w:rPr>
        <w:t>primului</w:t>
      </w:r>
      <w:proofErr w:type="spellEnd"/>
      <w:r w:rsidR="00D13EE2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D13EE2">
        <w:rPr>
          <w:rFonts w:ascii="Palatino Linotype" w:hAnsi="Palatino Linotype" w:cs="P’¬'BBò"/>
          <w:color w:val="000000"/>
          <w:sz w:val="22"/>
          <w:szCs w:val="22"/>
        </w:rPr>
        <w:t>venit</w:t>
      </w:r>
      <w:proofErr w:type="spellEnd"/>
      <w:r w:rsidR="00D13EE2">
        <w:rPr>
          <w:rFonts w:ascii="Palatino Linotype" w:hAnsi="Palatino Linotype" w:cs="P’¬'BBò"/>
          <w:color w:val="000000"/>
          <w:sz w:val="22"/>
          <w:szCs w:val="22"/>
        </w:rPr>
        <w:t xml:space="preserve">” </w:t>
      </w:r>
      <w:proofErr w:type="spellStart"/>
      <w:r w:rsidR="00D13EE2">
        <w:rPr>
          <w:rFonts w:ascii="Palatino Linotype" w:hAnsi="Palatino Linotype" w:cs="P’¬'BBò"/>
          <w:color w:val="000000"/>
          <w:sz w:val="22"/>
          <w:szCs w:val="22"/>
        </w:rPr>
        <w:t>aplicabil</w:t>
      </w:r>
      <w:proofErr w:type="spellEnd"/>
      <w:r w:rsidR="00D13EE2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D13EE2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="00D13EE2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D13EE2">
        <w:rPr>
          <w:rFonts w:ascii="Palatino Linotype" w:hAnsi="Palatino Linotype" w:cs="P’¬'BBò"/>
          <w:color w:val="000000"/>
          <w:sz w:val="22"/>
          <w:szCs w:val="22"/>
        </w:rPr>
        <w:t>procesul</w:t>
      </w:r>
      <w:proofErr w:type="spellEnd"/>
      <w:r w:rsidR="00D13EE2">
        <w:rPr>
          <w:rFonts w:ascii="Palatino Linotype" w:hAnsi="Palatino Linotype" w:cs="P’¬'BBò"/>
          <w:color w:val="000000"/>
          <w:sz w:val="22"/>
          <w:szCs w:val="22"/>
        </w:rPr>
        <w:t xml:space="preserve"> de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conectare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la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. </w:t>
      </w:r>
    </w:p>
    <w:p w14:paraId="1AB83C56" w14:textId="1CB76115" w:rsidR="00632AD4" w:rsidRPr="00632AD4" w:rsidRDefault="00632AD4" w:rsidP="00EB08D7">
      <w:pPr>
        <w:pStyle w:val="ListParagraph"/>
        <w:widowControl/>
        <w:numPr>
          <w:ilvl w:val="0"/>
          <w:numId w:val="1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b/>
          <w:bCs/>
          <w:color w:val="683055"/>
          <w:lang w:val="ro-RO"/>
        </w:rPr>
      </w:pPr>
      <w:r w:rsidRPr="00632AD4">
        <w:rPr>
          <w:rFonts w:ascii="Palatino Linotype" w:hAnsi="Palatino Linotype" w:cs="P’¬'BBò"/>
          <w:b/>
          <w:bCs/>
          <w:color w:val="683055"/>
        </w:rPr>
        <w:t>PROPRIETATE</w:t>
      </w:r>
      <w:r>
        <w:rPr>
          <w:rFonts w:ascii="Palatino Linotype" w:hAnsi="Palatino Linotype" w:cs="P’¬'BBò"/>
          <w:b/>
          <w:bCs/>
          <w:color w:val="683055"/>
        </w:rPr>
        <w:t>A</w:t>
      </w:r>
      <w:r w:rsidRPr="00632AD4">
        <w:rPr>
          <w:rFonts w:ascii="Palatino Linotype" w:hAnsi="Palatino Linotype" w:cs="P’¬'BBò"/>
          <w:b/>
          <w:bCs/>
          <w:color w:val="683055"/>
        </w:rPr>
        <w:t xml:space="preserve"> ASUPRA NOILOR INSTALAȚII DE </w:t>
      </w:r>
      <w:r w:rsidRPr="00632AD4">
        <w:rPr>
          <w:rFonts w:ascii="Palatino Linotype" w:hAnsi="Palatino Linotype" w:cs="P’¬'BBò"/>
          <w:b/>
          <w:bCs/>
          <w:color w:val="683055"/>
          <w:lang w:val="ro-RO"/>
        </w:rPr>
        <w:t>RACORDARE</w:t>
      </w:r>
    </w:p>
    <w:p w14:paraId="28EF5DA0" w14:textId="725AFAAB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Spre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deosebire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primul val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regenerabile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(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când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instalațiile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racordare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finanțate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investitori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prin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tariful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racordare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erau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deținute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operatorii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)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prezent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instalațiile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racordare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D13EE2">
        <w:rPr>
          <w:rFonts w:ascii="Palatino Linotype" w:hAnsi="Palatino Linotype" w:cs="P’¬'BBò"/>
          <w:color w:val="000000"/>
          <w:sz w:val="22"/>
          <w:szCs w:val="22"/>
        </w:rPr>
        <w:t>aparțin</w:t>
      </w:r>
      <w:proofErr w:type="spellEnd"/>
      <w:r w:rsidR="00D13EE2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D13EE2">
        <w:rPr>
          <w:rFonts w:ascii="Palatino Linotype" w:hAnsi="Palatino Linotype" w:cs="P’¬'BBò"/>
          <w:color w:val="000000"/>
          <w:sz w:val="22"/>
          <w:szCs w:val="22"/>
        </w:rPr>
        <w:t>celor</w:t>
      </w:r>
      <w:proofErr w:type="spellEnd"/>
      <w:r w:rsidR="00D13EE2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care le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finanțează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-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respectiv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investitori</w:t>
      </w:r>
      <w:r w:rsidR="000E0F2E">
        <w:rPr>
          <w:rFonts w:ascii="Palatino Linotype" w:hAnsi="Palatino Linotype" w:cs="P’¬'BBò"/>
          <w:color w:val="000000"/>
          <w:sz w:val="22"/>
          <w:szCs w:val="22"/>
        </w:rPr>
        <w:t>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.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Acest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principiu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se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aplică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indiferent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dacă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racordat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la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rețeaua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distribuție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sau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la cea 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>de transport.</w:t>
      </w:r>
    </w:p>
    <w:p w14:paraId="01E78750" w14:textId="6C30E3D1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În practică au fost exprimate îngrijorări cu privire la faptul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principiul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mai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sus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încalcă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prevederile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Legii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energiei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 electrice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și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gazelor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naturale 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>nr. 123/20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1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2 care </w:t>
      </w:r>
      <w:proofErr w:type="spellStart"/>
      <w:r w:rsidR="0073426B">
        <w:rPr>
          <w:rFonts w:ascii="Palatino Linotype" w:hAnsi="Palatino Linotype" w:cs="P’¬'BBò"/>
          <w:color w:val="000000"/>
          <w:sz w:val="22"/>
          <w:szCs w:val="22"/>
        </w:rPr>
        <w:t>prevede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rețeaua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cu o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tensiune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73426B">
        <w:rPr>
          <w:rFonts w:ascii="Palatino Linotype" w:hAnsi="Palatino Linotype" w:cs="P’¬'BBò"/>
          <w:color w:val="000000"/>
          <w:sz w:val="22"/>
          <w:szCs w:val="22"/>
        </w:rPr>
        <w:t>nominală</w:t>
      </w:r>
      <w:proofErr w:type="spellEnd"/>
      <w:r w:rsidR="0073426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mai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mare de 110 kV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face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parte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din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rețeaua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transport,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 asupra căreia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Operatorul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Transport și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Sistem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(OT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S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>)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 </w:t>
      </w:r>
      <w:r w:rsidR="0073426B">
        <w:rPr>
          <w:rFonts w:ascii="Palatino Linotype" w:hAnsi="Palatino Linotype" w:cs="P’¬'BBò"/>
          <w:color w:val="000000"/>
          <w:sz w:val="22"/>
          <w:szCs w:val="22"/>
          <w:lang w:val="ro-RO"/>
        </w:rPr>
        <w:t>deține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 monopol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>.</w:t>
      </w:r>
    </w:p>
    <w:p w14:paraId="2A3EC6C7" w14:textId="41FCA1D0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Drept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urmare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prevede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cazul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care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racordarea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prevăzută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la o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cu o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tensiune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mai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mare de 110 kV,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linia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și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stația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racordare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noi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sunt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parte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rețelei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transport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și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se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califică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drept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lucrări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întărire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. Ca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rezultat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al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acestei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calificări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deși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nu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menționat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mod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expres</w:t>
      </w:r>
      <w:proofErr w:type="spellEnd"/>
      <w:r w:rsidR="0073426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73426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="0073426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73426B">
        <w:rPr>
          <w:rFonts w:ascii="Palatino Linotype" w:hAnsi="Palatino Linotype" w:cs="P’¬'BBò"/>
          <w:color w:val="000000"/>
          <w:sz w:val="22"/>
          <w:szCs w:val="22"/>
        </w:rPr>
        <w:t>Proiect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estimăm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investitorii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nu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vor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mai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avea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opțiunea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încheia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direct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contractul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lastRenderedPageBreak/>
        <w:t>proiectarea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/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execuția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respectivelor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instalații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racordare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ci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vor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avea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doar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dreptul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desemna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083478">
        <w:rPr>
          <w:rFonts w:ascii="Palatino Linotype" w:hAnsi="Palatino Linotype" w:cs="P’¬'BBò"/>
          <w:color w:val="000000"/>
          <w:sz w:val="22"/>
          <w:szCs w:val="22"/>
        </w:rPr>
        <w:t>proiectantul</w:t>
      </w:r>
      <w:proofErr w:type="spellEnd"/>
      <w:r w:rsidR="00083478">
        <w:rPr>
          <w:rFonts w:ascii="Palatino Linotype" w:hAnsi="Palatino Linotype" w:cs="P’¬'BBò"/>
          <w:color w:val="000000"/>
          <w:sz w:val="22"/>
          <w:szCs w:val="22"/>
        </w:rPr>
        <w:t>/</w:t>
      </w:r>
      <w:proofErr w:type="spellStart"/>
      <w:r w:rsidR="00083478">
        <w:rPr>
          <w:rFonts w:ascii="Palatino Linotype" w:hAnsi="Palatino Linotype" w:cs="P’¬'BBò"/>
          <w:color w:val="000000"/>
          <w:sz w:val="22"/>
          <w:szCs w:val="22"/>
        </w:rPr>
        <w:t>constructorul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.</w:t>
      </w:r>
    </w:p>
    <w:p w14:paraId="455C9B68" w14:textId="2E5B1C2F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conține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asemenea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o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prevedere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neclară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potrivit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căreia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noile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stații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racordare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sunt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transferate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la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operatorii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„</w:t>
      </w:r>
      <w:r w:rsidRPr="005451AB">
        <w:rPr>
          <w:rFonts w:ascii="Palatino Linotype" w:hAnsi="Palatino Linotype" w:cs="P’¬'BBò"/>
          <w:i/>
          <w:iCs/>
          <w:color w:val="000000"/>
          <w:sz w:val="22"/>
          <w:szCs w:val="22"/>
        </w:rPr>
        <w:t xml:space="preserve">cu </w:t>
      </w:r>
      <w:proofErr w:type="spellStart"/>
      <w:r w:rsidRPr="005451AB">
        <w:rPr>
          <w:rFonts w:ascii="Palatino Linotype" w:hAnsi="Palatino Linotype" w:cs="P’¬'BBò"/>
          <w:i/>
          <w:iCs/>
          <w:color w:val="000000"/>
          <w:sz w:val="22"/>
          <w:szCs w:val="22"/>
        </w:rPr>
        <w:t>justă</w:t>
      </w:r>
      <w:proofErr w:type="spellEnd"/>
      <w:r w:rsidRPr="005451AB">
        <w:rPr>
          <w:rFonts w:ascii="Palatino Linotype" w:hAnsi="Palatino Linotype" w:cs="P’¬'BBò"/>
          <w:i/>
          <w:iCs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i/>
          <w:iCs/>
          <w:color w:val="000000"/>
          <w:sz w:val="22"/>
          <w:szCs w:val="22"/>
        </w:rPr>
        <w:t>despăgubire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”,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prevedere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care pare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aplicabilă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indiferent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tensiunea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/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rețeaua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la care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prevăzută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racordarea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.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Sperăm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083478">
        <w:rPr>
          <w:rFonts w:ascii="Palatino Linotype" w:hAnsi="Palatino Linotype" w:cs="P’¬'BBò"/>
          <w:color w:val="000000"/>
          <w:sz w:val="22"/>
          <w:szCs w:val="22"/>
        </w:rPr>
        <w:t>această</w:t>
      </w:r>
      <w:proofErr w:type="spellEnd"/>
      <w:r w:rsidR="00083478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="00083478">
        <w:rPr>
          <w:rFonts w:ascii="Palatino Linotype" w:hAnsi="Palatino Linotype" w:cs="P’¬'BBò"/>
          <w:color w:val="000000"/>
          <w:sz w:val="22"/>
          <w:szCs w:val="22"/>
        </w:rPr>
        <w:t>prevedere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va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fi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clarificat</w:t>
      </w:r>
      <w:r w:rsidR="00083478">
        <w:rPr>
          <w:rFonts w:ascii="Palatino Linotype" w:hAnsi="Palatino Linotype" w:cs="P’¬'BBò"/>
          <w:color w:val="000000"/>
          <w:sz w:val="22"/>
          <w:szCs w:val="22"/>
        </w:rPr>
        <w:t>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procesul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consultare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publică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.</w:t>
      </w:r>
    </w:p>
    <w:p w14:paraId="0CC2D0D5" w14:textId="77777777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Principiile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mai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sus sunt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aplicabile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doar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proiectelor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care ATR-urile nu au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fost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încă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emise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.</w:t>
      </w:r>
    </w:p>
    <w:p w14:paraId="28D22C02" w14:textId="61AEE63C" w:rsidR="00632AD4" w:rsidRPr="005451AB" w:rsidRDefault="00632AD4" w:rsidP="00EB08D7">
      <w:pPr>
        <w:pStyle w:val="ListParagraph"/>
        <w:widowControl/>
        <w:numPr>
          <w:ilvl w:val="0"/>
          <w:numId w:val="1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b/>
          <w:bCs/>
          <w:color w:val="000000"/>
        </w:rPr>
      </w:pPr>
      <w:r w:rsidRPr="00632AD4">
        <w:rPr>
          <w:rFonts w:ascii="Palatino Linotype" w:hAnsi="Palatino Linotype" w:cs="P’¬'BBò"/>
          <w:b/>
          <w:bCs/>
          <w:color w:val="683055"/>
        </w:rPr>
        <w:t>ALOCAREA CAPACITĂȚII REȚELEI PE BAZ</w:t>
      </w:r>
      <w:r w:rsidR="00083478">
        <w:rPr>
          <w:rFonts w:ascii="Palatino Linotype" w:hAnsi="Palatino Linotype" w:cs="P’¬'BBò"/>
          <w:b/>
          <w:bCs/>
          <w:color w:val="683055"/>
        </w:rPr>
        <w:t xml:space="preserve">Ă DE </w:t>
      </w:r>
      <w:r w:rsidRPr="00632AD4">
        <w:rPr>
          <w:rFonts w:ascii="Palatino Linotype" w:hAnsi="Palatino Linotype" w:cs="P’¬'BBò"/>
          <w:b/>
          <w:bCs/>
          <w:color w:val="683055"/>
        </w:rPr>
        <w:t>LICITAȚIE</w:t>
      </w:r>
    </w:p>
    <w:p w14:paraId="21EF1E26" w14:textId="0DC37DEB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ANRE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intenționează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schimbe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radical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procesul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racordare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la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rețea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a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proiectelor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cu o capacitate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instalată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egală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sau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mai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mare de 1 MW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prin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alocarea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capacității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pe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baz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ă de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licitație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.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Mecanismul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>se dorește a fi</w:t>
      </w:r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implementat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începând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cu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luna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ianuarie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2025.</w:t>
      </w:r>
    </w:p>
    <w:p w14:paraId="6D644DFA" w14:textId="77777777" w:rsidR="00632AD4" w:rsidRPr="005451AB" w:rsidRDefault="00632AD4" w:rsidP="00632AD4">
      <w:pPr>
        <w:autoSpaceDE w:val="0"/>
        <w:autoSpaceDN w:val="0"/>
        <w:adjustRightInd w:val="0"/>
        <w:spacing w:after="200" w:line="320" w:lineRule="exact"/>
        <w:jc w:val="both"/>
        <w:rPr>
          <w:rFonts w:ascii="Palatino Linotype" w:hAnsi="Palatino Linotype" w:cs="P’¬'BBò"/>
          <w:color w:val="000000"/>
          <w:sz w:val="22"/>
          <w:szCs w:val="22"/>
        </w:rPr>
      </w:pP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Proiectul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stabilește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doar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principiile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generale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,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urmând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ca OTS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să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elaboreze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r w:rsidRPr="005451AB">
        <w:rPr>
          <w:rFonts w:ascii="Palatino Linotype" w:hAnsi="Palatino Linotype" w:cs="P’¬'BBò"/>
          <w:color w:val="000000"/>
          <w:sz w:val="22"/>
          <w:szCs w:val="22"/>
          <w:lang w:val="ro-RO"/>
        </w:rPr>
        <w:t xml:space="preserve">normele de punere în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aplicare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termen de 60 de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zile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de la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adoptarea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  <w:sz w:val="22"/>
          <w:szCs w:val="22"/>
        </w:rPr>
        <w:t>Proiectului</w:t>
      </w:r>
      <w:proofErr w:type="spellEnd"/>
      <w:r w:rsidRPr="005451AB">
        <w:rPr>
          <w:rFonts w:ascii="Palatino Linotype" w:hAnsi="Palatino Linotype" w:cs="P’¬'BBò"/>
          <w:color w:val="000000"/>
          <w:sz w:val="22"/>
          <w:szCs w:val="22"/>
        </w:rPr>
        <w:t>.</w:t>
      </w:r>
    </w:p>
    <w:p w14:paraId="3C10562C" w14:textId="77777777" w:rsidR="00632AD4" w:rsidRPr="005451AB" w:rsidRDefault="00632AD4" w:rsidP="00EB08D7">
      <w:pPr>
        <w:pStyle w:val="ListParagraph"/>
        <w:widowControl/>
        <w:numPr>
          <w:ilvl w:val="0"/>
          <w:numId w:val="3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color w:val="000000"/>
        </w:rPr>
      </w:pPr>
      <w:proofErr w:type="spellStart"/>
      <w:r w:rsidRPr="005451AB">
        <w:rPr>
          <w:rFonts w:ascii="Palatino Linotype" w:hAnsi="Palatino Linotype" w:cs="P’¬'BBò"/>
          <w:b/>
          <w:bCs/>
          <w:color w:val="000000"/>
        </w:rPr>
        <w:t>Calendarul</w:t>
      </w:r>
      <w:proofErr w:type="spellEnd"/>
      <w:r w:rsidRPr="005451AB">
        <w:rPr>
          <w:rFonts w:ascii="Palatino Linotype" w:hAnsi="Palatino Linotype" w:cs="P’¬'BBò"/>
          <w:b/>
          <w:bCs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b/>
          <w:bCs/>
          <w:color w:val="000000"/>
        </w:rPr>
        <w:t>licitației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: </w:t>
      </w:r>
      <w:proofErr w:type="spellStart"/>
      <w:r w:rsidRPr="005451AB">
        <w:rPr>
          <w:rFonts w:ascii="Palatino Linotype" w:hAnsi="Palatino Linotype" w:cs="P’¬'BBò"/>
          <w:color w:val="000000"/>
        </w:rPr>
        <w:t>Licita</w:t>
      </w:r>
      <w:proofErr w:type="spellEnd"/>
      <w:r w:rsidRPr="005451AB">
        <w:rPr>
          <w:rFonts w:ascii="Palatino Linotype" w:hAnsi="Palatino Linotype" w:cs="P’¬'BBò"/>
          <w:color w:val="000000"/>
          <w:lang w:val="ro-RO"/>
        </w:rPr>
        <w:t>ț</w:t>
      </w:r>
      <w:proofErr w:type="spellStart"/>
      <w:r w:rsidRPr="005451AB">
        <w:rPr>
          <w:rFonts w:ascii="Palatino Linotype" w:hAnsi="Palatino Linotype" w:cs="P’¬'BBò"/>
          <w:color w:val="000000"/>
        </w:rPr>
        <w:t>iile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sunt </w:t>
      </w:r>
      <w:proofErr w:type="spellStart"/>
      <w:r w:rsidRPr="005451AB">
        <w:rPr>
          <w:rFonts w:ascii="Palatino Linotype" w:hAnsi="Palatino Linotype" w:cs="P’¬'BBò"/>
          <w:color w:val="000000"/>
        </w:rPr>
        <w:t>organizate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anual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(Anul Y), </w:t>
      </w:r>
      <w:proofErr w:type="spellStart"/>
      <w:r w:rsidRPr="005451AB">
        <w:rPr>
          <w:rFonts w:ascii="Palatino Linotype" w:hAnsi="Palatino Linotype" w:cs="P’¬'BBò"/>
          <w:color w:val="000000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o </w:t>
      </w:r>
      <w:proofErr w:type="spellStart"/>
      <w:r w:rsidRPr="005451AB">
        <w:rPr>
          <w:rFonts w:ascii="Palatino Linotype" w:hAnsi="Palatino Linotype" w:cs="P’¬'BBò"/>
          <w:color w:val="000000"/>
        </w:rPr>
        <w:t>perioadă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</w:rPr>
        <w:t>alocare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10 ani </w:t>
      </w:r>
      <w:proofErr w:type="spellStart"/>
      <w:r w:rsidRPr="005451AB">
        <w:rPr>
          <w:rFonts w:ascii="Palatino Linotype" w:hAnsi="Palatino Linotype" w:cs="P’¬'BBò"/>
          <w:color w:val="000000"/>
        </w:rPr>
        <w:t>începând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cu al </w:t>
      </w:r>
      <w:proofErr w:type="spellStart"/>
      <w:r w:rsidRPr="005451AB">
        <w:rPr>
          <w:rFonts w:ascii="Palatino Linotype" w:hAnsi="Palatino Linotype" w:cs="P’¬'BBò"/>
          <w:color w:val="000000"/>
        </w:rPr>
        <w:t>doilea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an </w:t>
      </w:r>
      <w:proofErr w:type="spellStart"/>
      <w:r w:rsidRPr="005451AB">
        <w:rPr>
          <w:rFonts w:ascii="Palatino Linotype" w:hAnsi="Palatino Linotype" w:cs="P’¬'BBò"/>
          <w:color w:val="000000"/>
        </w:rPr>
        <w:t>după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licitație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(Anul Y+2);</w:t>
      </w:r>
    </w:p>
    <w:p w14:paraId="59C6B49E" w14:textId="77777777" w:rsidR="00632AD4" w:rsidRPr="005451AB" w:rsidRDefault="00632AD4" w:rsidP="00EB08D7">
      <w:pPr>
        <w:pStyle w:val="ListParagraph"/>
        <w:widowControl/>
        <w:numPr>
          <w:ilvl w:val="0"/>
          <w:numId w:val="3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color w:val="000000"/>
        </w:rPr>
      </w:pPr>
      <w:proofErr w:type="spellStart"/>
      <w:r w:rsidRPr="005451AB">
        <w:rPr>
          <w:rFonts w:ascii="Palatino Linotype" w:hAnsi="Palatino Linotype" w:cs="P’¬'BBò"/>
          <w:b/>
          <w:bCs/>
          <w:color w:val="000000"/>
        </w:rPr>
        <w:t>Proces</w:t>
      </w:r>
      <w:proofErr w:type="spellEnd"/>
      <w:r w:rsidRPr="005451AB">
        <w:rPr>
          <w:rFonts w:ascii="Palatino Linotype" w:hAnsi="Palatino Linotype" w:cs="P’¬'BBò"/>
          <w:color w:val="000000"/>
        </w:rPr>
        <w:t>:</w:t>
      </w:r>
    </w:p>
    <w:p w14:paraId="370BFB0C" w14:textId="77777777" w:rsidR="00632AD4" w:rsidRPr="005451AB" w:rsidRDefault="00632AD4" w:rsidP="00EB08D7">
      <w:pPr>
        <w:pStyle w:val="ListParagraph"/>
        <w:widowControl/>
        <w:numPr>
          <w:ilvl w:val="0"/>
          <w:numId w:val="4"/>
        </w:numPr>
        <w:adjustRightInd w:val="0"/>
        <w:spacing w:after="200" w:line="320" w:lineRule="exact"/>
        <w:ind w:left="1170" w:hanging="540"/>
        <w:jc w:val="both"/>
        <w:rPr>
          <w:rFonts w:ascii="Palatino Linotype" w:hAnsi="Palatino Linotype" w:cs="P’¬'BBò"/>
          <w:color w:val="000000"/>
        </w:rPr>
      </w:pPr>
      <w:proofErr w:type="spellStart"/>
      <w:r w:rsidRPr="005451AB">
        <w:rPr>
          <w:rFonts w:ascii="Palatino Linotype" w:hAnsi="Palatino Linotype" w:cs="P’¬'BBò"/>
          <w:color w:val="000000"/>
        </w:rPr>
        <w:t>Până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pe 15 </w:t>
      </w:r>
      <w:proofErr w:type="spellStart"/>
      <w:r w:rsidRPr="005451AB">
        <w:rPr>
          <w:rFonts w:ascii="Palatino Linotype" w:hAnsi="Palatino Linotype" w:cs="P’¬'BBò"/>
          <w:color w:val="000000"/>
        </w:rPr>
        <w:t>ianuarie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</w:rPr>
        <w:t>Anului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Y, OT</w:t>
      </w:r>
      <w:r w:rsidRPr="005451AB">
        <w:rPr>
          <w:rFonts w:ascii="Palatino Linotype" w:hAnsi="Palatino Linotype" w:cs="P’¬'BBò"/>
          <w:color w:val="000000"/>
          <w:lang w:val="ro-RO"/>
        </w:rPr>
        <w:t>S</w:t>
      </w:r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determină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și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publică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capacitatea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disponibilă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fiecare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zonă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</w:rPr>
        <w:t>rețelei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</w:t>
      </w:r>
      <w:r w:rsidRPr="005451AB">
        <w:rPr>
          <w:rFonts w:ascii="Palatino Linotype" w:hAnsi="Palatino Linotype" w:cs="P’¬'BBò"/>
          <w:color w:val="000000"/>
          <w:lang w:val="ro-RO"/>
        </w:rPr>
        <w:t>transport</w:t>
      </w:r>
      <w:r w:rsidRPr="005451AB">
        <w:rPr>
          <w:rFonts w:ascii="Palatino Linotype" w:hAnsi="Palatino Linotype" w:cs="P’¬'BBò"/>
          <w:color w:val="000000"/>
        </w:rPr>
        <w:t>/</w:t>
      </w:r>
      <w:proofErr w:type="spellStart"/>
      <w:r w:rsidRPr="005451AB">
        <w:rPr>
          <w:rFonts w:ascii="Palatino Linotype" w:hAnsi="Palatino Linotype" w:cs="P’¬'BBò"/>
          <w:color w:val="000000"/>
        </w:rPr>
        <w:t>distribuție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care nu </w:t>
      </w:r>
      <w:proofErr w:type="spellStart"/>
      <w:r w:rsidRPr="005451AB">
        <w:rPr>
          <w:rFonts w:ascii="Palatino Linotype" w:hAnsi="Palatino Linotype" w:cs="P’¬'BBò"/>
          <w:color w:val="000000"/>
        </w:rPr>
        <w:t>este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necesară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întărirea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rețelei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Anul Y+2;</w:t>
      </w:r>
    </w:p>
    <w:p w14:paraId="61AAD98B" w14:textId="77777777" w:rsidR="00632AD4" w:rsidRPr="005451AB" w:rsidRDefault="00632AD4" w:rsidP="00E30CC5">
      <w:pPr>
        <w:pStyle w:val="ListParagraph"/>
        <w:widowControl/>
        <w:numPr>
          <w:ilvl w:val="0"/>
          <w:numId w:val="4"/>
        </w:numPr>
        <w:adjustRightInd w:val="0"/>
        <w:spacing w:after="200" w:line="320" w:lineRule="exact"/>
        <w:ind w:left="1170" w:hanging="540"/>
        <w:jc w:val="both"/>
        <w:rPr>
          <w:rFonts w:ascii="Palatino Linotype" w:hAnsi="Palatino Linotype" w:cs="P’¬'BBò"/>
          <w:color w:val="000000"/>
        </w:rPr>
      </w:pPr>
      <w:proofErr w:type="spellStart"/>
      <w:r w:rsidRPr="005451AB">
        <w:rPr>
          <w:rFonts w:ascii="Palatino Linotype" w:hAnsi="Palatino Linotype" w:cs="P’¬'BBò"/>
          <w:color w:val="000000"/>
        </w:rPr>
        <w:t>Până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la </w:t>
      </w:r>
      <w:proofErr w:type="spellStart"/>
      <w:r w:rsidRPr="005451AB">
        <w:rPr>
          <w:rFonts w:ascii="Palatino Linotype" w:hAnsi="Palatino Linotype" w:cs="P’¬'BBò"/>
          <w:color w:val="000000"/>
        </w:rPr>
        <w:t>sfârșitul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lunii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februarie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</w:rPr>
        <w:t>Anului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Y, </w:t>
      </w:r>
      <w:proofErr w:type="spellStart"/>
      <w:r w:rsidRPr="005451AB">
        <w:rPr>
          <w:rFonts w:ascii="Palatino Linotype" w:hAnsi="Palatino Linotype" w:cs="P’¬'BBò"/>
          <w:color w:val="000000"/>
        </w:rPr>
        <w:t>investitorii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depun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cerere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alocarea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capacității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într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-o </w:t>
      </w:r>
      <w:proofErr w:type="spellStart"/>
      <w:r w:rsidRPr="005451AB">
        <w:rPr>
          <w:rFonts w:ascii="Palatino Linotype" w:hAnsi="Palatino Linotype" w:cs="P’¬'BBò"/>
          <w:color w:val="000000"/>
        </w:rPr>
        <w:t>anumită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zonă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</w:rPr>
        <w:t>rețelei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și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într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-un </w:t>
      </w:r>
      <w:proofErr w:type="spellStart"/>
      <w:r w:rsidRPr="005451AB">
        <w:rPr>
          <w:rFonts w:ascii="Palatino Linotype" w:hAnsi="Palatino Linotype" w:cs="P’¬'BBò"/>
          <w:color w:val="000000"/>
        </w:rPr>
        <w:t>anumit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an al </w:t>
      </w:r>
      <w:proofErr w:type="spellStart"/>
      <w:r w:rsidRPr="005451AB">
        <w:rPr>
          <w:rFonts w:ascii="Palatino Linotype" w:hAnsi="Palatino Linotype" w:cs="P’¬'BBò"/>
          <w:color w:val="000000"/>
        </w:rPr>
        <w:t>perioadei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</w:rPr>
        <w:t>alocare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(</w:t>
      </w:r>
      <w:proofErr w:type="spellStart"/>
      <w:r w:rsidRPr="005451AB">
        <w:rPr>
          <w:rFonts w:ascii="Palatino Linotype" w:hAnsi="Palatino Linotype" w:cs="P’¬'BBò"/>
          <w:color w:val="000000"/>
        </w:rPr>
        <w:t>respectiv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anul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care </w:t>
      </w:r>
      <w:proofErr w:type="spellStart"/>
      <w:r w:rsidRPr="005451AB">
        <w:rPr>
          <w:rFonts w:ascii="Palatino Linotype" w:hAnsi="Palatino Linotype" w:cs="P’¬'BBò"/>
          <w:color w:val="000000"/>
        </w:rPr>
        <w:t>urmează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să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fie pus </w:t>
      </w:r>
      <w:proofErr w:type="spellStart"/>
      <w:r w:rsidRPr="005451AB">
        <w:rPr>
          <w:rFonts w:ascii="Palatino Linotype" w:hAnsi="Palatino Linotype" w:cs="P’¬'BBò"/>
          <w:color w:val="000000"/>
        </w:rPr>
        <w:t>în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funcțiune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proiectul</w:t>
      </w:r>
      <w:proofErr w:type="spellEnd"/>
      <w:r w:rsidRPr="005451AB">
        <w:rPr>
          <w:rFonts w:ascii="Palatino Linotype" w:hAnsi="Palatino Linotype" w:cs="P’¬'BBò"/>
          <w:color w:val="000000"/>
        </w:rPr>
        <w:t>);</w:t>
      </w:r>
    </w:p>
    <w:p w14:paraId="72688FB2" w14:textId="77777777" w:rsidR="00632AD4" w:rsidRPr="005451AB" w:rsidRDefault="00632AD4" w:rsidP="00EB08D7">
      <w:pPr>
        <w:pStyle w:val="ListParagraph"/>
        <w:widowControl/>
        <w:numPr>
          <w:ilvl w:val="0"/>
          <w:numId w:val="4"/>
        </w:numPr>
        <w:adjustRightInd w:val="0"/>
        <w:spacing w:after="200" w:line="320" w:lineRule="exact"/>
        <w:ind w:left="1170" w:hanging="540"/>
        <w:jc w:val="both"/>
        <w:rPr>
          <w:rFonts w:ascii="Palatino Linotype" w:hAnsi="Palatino Linotype" w:cs="P’¬'BBò"/>
          <w:color w:val="000000"/>
        </w:rPr>
      </w:pPr>
      <w:proofErr w:type="spellStart"/>
      <w:r w:rsidRPr="005451AB">
        <w:rPr>
          <w:rFonts w:ascii="Palatino Linotype" w:hAnsi="Palatino Linotype" w:cs="P’¬'BBò"/>
          <w:color w:val="000000"/>
        </w:rPr>
        <w:t>Până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pe 15 </w:t>
      </w:r>
      <w:proofErr w:type="spellStart"/>
      <w:r w:rsidRPr="005451AB">
        <w:rPr>
          <w:rFonts w:ascii="Palatino Linotype" w:hAnsi="Palatino Linotype" w:cs="P’¬'BBò"/>
          <w:color w:val="000000"/>
        </w:rPr>
        <w:t>martie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</w:rPr>
        <w:t>Anului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Y, OT</w:t>
      </w:r>
      <w:r w:rsidRPr="005451AB">
        <w:rPr>
          <w:rFonts w:ascii="Palatino Linotype" w:hAnsi="Palatino Linotype" w:cs="P’¬'BBò"/>
          <w:color w:val="000000"/>
          <w:lang w:val="ro-RO"/>
        </w:rPr>
        <w:t>S</w:t>
      </w:r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înregistrează</w:t>
      </w:r>
      <w:proofErr w:type="spellEnd"/>
      <w:r w:rsidRPr="005451AB">
        <w:rPr>
          <w:rFonts w:ascii="Palatino Linotype" w:hAnsi="Palatino Linotype" w:cs="P’¬'BBò"/>
          <w:color w:val="000000"/>
          <w:lang w:val="ro-RO"/>
        </w:rPr>
        <w:t xml:space="preserve"> într-o platformă online dedicată </w:t>
      </w:r>
      <w:proofErr w:type="spellStart"/>
      <w:r w:rsidRPr="005451AB">
        <w:rPr>
          <w:rFonts w:ascii="Palatino Linotype" w:hAnsi="Palatino Linotype" w:cs="P’¬'BBò"/>
          <w:color w:val="000000"/>
        </w:rPr>
        <w:t>toate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cererile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complete </w:t>
      </w:r>
      <w:proofErr w:type="spellStart"/>
      <w:r w:rsidRPr="005451AB">
        <w:rPr>
          <w:rFonts w:ascii="Palatino Linotype" w:hAnsi="Palatino Linotype" w:cs="P’¬'BBò"/>
          <w:color w:val="000000"/>
        </w:rPr>
        <w:t>depuse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</w:rPr>
        <w:t>investitori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pentru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fiecare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zonă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</w:rPr>
        <w:t>rețelei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și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</w:t>
      </w:r>
      <w:proofErr w:type="spellStart"/>
      <w:r w:rsidRPr="005451AB">
        <w:rPr>
          <w:rFonts w:ascii="Palatino Linotype" w:hAnsi="Palatino Linotype" w:cs="P’¬'BBò"/>
          <w:color w:val="000000"/>
        </w:rPr>
        <w:t>fiecare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an al </w:t>
      </w:r>
      <w:proofErr w:type="spellStart"/>
      <w:r w:rsidRPr="005451AB">
        <w:rPr>
          <w:rFonts w:ascii="Palatino Linotype" w:hAnsi="Palatino Linotype" w:cs="P’¬'BBò"/>
          <w:color w:val="000000"/>
        </w:rPr>
        <w:t>perioadei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de </w:t>
      </w:r>
      <w:proofErr w:type="spellStart"/>
      <w:r w:rsidRPr="005451AB">
        <w:rPr>
          <w:rFonts w:ascii="Palatino Linotype" w:hAnsi="Palatino Linotype" w:cs="P’¬'BBò"/>
          <w:color w:val="000000"/>
        </w:rPr>
        <w:t>alocare</w:t>
      </w:r>
      <w:proofErr w:type="spellEnd"/>
      <w:r w:rsidRPr="005451AB">
        <w:rPr>
          <w:rFonts w:ascii="Palatino Linotype" w:hAnsi="Palatino Linotype" w:cs="P’¬'BBò"/>
          <w:color w:val="000000"/>
        </w:rPr>
        <w:t>;</w:t>
      </w:r>
    </w:p>
    <w:p w14:paraId="305D9694" w14:textId="77777777" w:rsidR="00632AD4" w:rsidRPr="005451AB" w:rsidRDefault="00632AD4" w:rsidP="00EB08D7">
      <w:pPr>
        <w:pStyle w:val="ListParagraph"/>
        <w:widowControl/>
        <w:numPr>
          <w:ilvl w:val="0"/>
          <w:numId w:val="4"/>
        </w:numPr>
        <w:adjustRightInd w:val="0"/>
        <w:spacing w:after="200" w:line="320" w:lineRule="exact"/>
        <w:ind w:left="1170" w:hanging="540"/>
        <w:jc w:val="both"/>
        <w:rPr>
          <w:rFonts w:ascii="Palatino Linotype" w:hAnsi="Palatino Linotype" w:cs="P’¬'BBò"/>
          <w:color w:val="000000"/>
          <w:lang w:val="ro-RO"/>
        </w:rPr>
      </w:pPr>
      <w:proofErr w:type="spellStart"/>
      <w:r w:rsidRPr="005451AB">
        <w:rPr>
          <w:rFonts w:ascii="Palatino Linotype" w:hAnsi="Palatino Linotype" w:cs="P’¬'BBò"/>
          <w:color w:val="000000"/>
        </w:rPr>
        <w:t>Până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pe 15 </w:t>
      </w:r>
      <w:proofErr w:type="spellStart"/>
      <w:r w:rsidRPr="005451AB">
        <w:rPr>
          <w:rFonts w:ascii="Palatino Linotype" w:hAnsi="Palatino Linotype" w:cs="P’¬'BBò"/>
          <w:color w:val="000000"/>
        </w:rPr>
        <w:t>iunie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a </w:t>
      </w:r>
      <w:proofErr w:type="spellStart"/>
      <w:r w:rsidRPr="005451AB">
        <w:rPr>
          <w:rFonts w:ascii="Palatino Linotype" w:hAnsi="Palatino Linotype" w:cs="P’¬'BBò"/>
          <w:color w:val="000000"/>
        </w:rPr>
        <w:t>Anului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 Y, OT</w:t>
      </w:r>
      <w:r w:rsidRPr="005451AB">
        <w:rPr>
          <w:rFonts w:ascii="Palatino Linotype" w:hAnsi="Palatino Linotype" w:cs="P’¬'BBò"/>
          <w:color w:val="000000"/>
          <w:lang w:val="ro-RO"/>
        </w:rPr>
        <w:t>S</w:t>
      </w:r>
      <w:r w:rsidRPr="005451AB">
        <w:rPr>
          <w:rFonts w:ascii="Palatino Linotype" w:hAnsi="Palatino Linotype" w:cs="P’¬'BBò"/>
          <w:color w:val="000000"/>
        </w:rPr>
        <w:t xml:space="preserve"> (</w:t>
      </w:r>
      <w:proofErr w:type="spellStart"/>
      <w:r w:rsidRPr="005451AB">
        <w:rPr>
          <w:rFonts w:ascii="Palatino Linotype" w:hAnsi="Palatino Linotype" w:cs="P’¬'BBò"/>
          <w:color w:val="000000"/>
        </w:rPr>
        <w:t>i</w:t>
      </w:r>
      <w:proofErr w:type="spellEnd"/>
      <w:r w:rsidRPr="005451AB">
        <w:rPr>
          <w:rFonts w:ascii="Palatino Linotype" w:hAnsi="Palatino Linotype" w:cs="P’¬'BBò"/>
          <w:color w:val="000000"/>
        </w:rPr>
        <w:t xml:space="preserve">) </w:t>
      </w:r>
      <w:r w:rsidRPr="005451AB">
        <w:rPr>
          <w:rFonts w:ascii="Palatino Linotype" w:hAnsi="Palatino Linotype" w:cs="P’¬'BBò"/>
          <w:color w:val="000000"/>
          <w:lang w:val="ro-RO"/>
        </w:rPr>
        <w:t>efectuează un studiu de soluție global pentru a determina lucrările de întărire necesare pentru toate cererile depuse, valoarea estimativă, durata și anul punerii în funcțiune și (ii) publică pentru fiecare zonă de rețea/an de alocare rezultatele studiului, capacitatea disponibilă cu/fără lucrări de întărire, valoarea estimativă a lucrărilor de întărire, prețul de pornire al licitației și data;</w:t>
      </w:r>
    </w:p>
    <w:p w14:paraId="1166696F" w14:textId="77777777" w:rsidR="00632AD4" w:rsidRPr="005451AB" w:rsidRDefault="00632AD4" w:rsidP="00EB08D7">
      <w:pPr>
        <w:pStyle w:val="ListParagraph"/>
        <w:widowControl/>
        <w:numPr>
          <w:ilvl w:val="0"/>
          <w:numId w:val="4"/>
        </w:numPr>
        <w:adjustRightInd w:val="0"/>
        <w:spacing w:after="200" w:line="320" w:lineRule="exact"/>
        <w:ind w:left="1170" w:hanging="540"/>
        <w:jc w:val="both"/>
        <w:rPr>
          <w:rFonts w:ascii="Palatino Linotype" w:hAnsi="Palatino Linotype" w:cs="P’¬'BBò"/>
          <w:color w:val="000000"/>
          <w:lang w:val="ro-RO"/>
        </w:rPr>
      </w:pPr>
      <w:proofErr w:type="spellStart"/>
      <w:r w:rsidRPr="005451AB">
        <w:rPr>
          <w:rFonts w:ascii="Palatino Linotype" w:hAnsi="Palatino Linotype" w:cs="P’¬'BBò"/>
          <w:color w:val="000000"/>
        </w:rPr>
        <w:t>Începând</w:t>
      </w:r>
      <w:proofErr w:type="spellEnd"/>
      <w:r w:rsidRPr="005451AB">
        <w:rPr>
          <w:rFonts w:ascii="Palatino Linotype" w:hAnsi="Palatino Linotype" w:cs="P’¬'BBò"/>
          <w:color w:val="000000"/>
          <w:lang w:val="ro-RO"/>
        </w:rPr>
        <w:t xml:space="preserve"> cu 1 iulie a Anului Y, OTS organizează sesiuni zilnice de licitație pentru alocarea capacității disponibile în fiecare an din perioada de alocare de 10 ani.</w:t>
      </w:r>
    </w:p>
    <w:p w14:paraId="20E78D9C" w14:textId="77777777" w:rsidR="00632AD4" w:rsidRPr="005451AB" w:rsidRDefault="00632AD4" w:rsidP="00EB08D7">
      <w:pPr>
        <w:pStyle w:val="ListParagraph"/>
        <w:widowControl/>
        <w:numPr>
          <w:ilvl w:val="0"/>
          <w:numId w:val="3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color w:val="000000"/>
          <w:lang w:val="ro-RO"/>
        </w:rPr>
      </w:pPr>
      <w:r w:rsidRPr="005451AB">
        <w:rPr>
          <w:rFonts w:ascii="Palatino Linotype" w:hAnsi="Palatino Linotype" w:cs="P’¬'BBò"/>
          <w:b/>
          <w:bCs/>
          <w:color w:val="000000"/>
          <w:lang w:val="ro-RO"/>
        </w:rPr>
        <w:lastRenderedPageBreak/>
        <w:t>Prețul de pornire al licitației</w:t>
      </w:r>
      <w:r w:rsidRPr="005451AB">
        <w:rPr>
          <w:rFonts w:ascii="Palatino Linotype" w:hAnsi="Palatino Linotype" w:cs="P’¬'BBò"/>
          <w:color w:val="000000"/>
          <w:lang w:val="ro-RO"/>
        </w:rPr>
        <w:t>: prețul de pornire al licitației este determinat prin raportarea valorii totale estimative a lucrărilor de întărire la care se adaugă valoarea studiului de soluție global, la capacitatea totală în MW solicitată de investitori;</w:t>
      </w:r>
    </w:p>
    <w:p w14:paraId="6E305BAE" w14:textId="77777777" w:rsidR="00632AD4" w:rsidRPr="005451AB" w:rsidRDefault="00632AD4" w:rsidP="00EB08D7">
      <w:pPr>
        <w:pStyle w:val="ListParagraph"/>
        <w:widowControl/>
        <w:numPr>
          <w:ilvl w:val="0"/>
          <w:numId w:val="3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color w:val="000000"/>
          <w:lang w:val="ro-RO"/>
        </w:rPr>
      </w:pPr>
      <w:r w:rsidRPr="005451AB">
        <w:rPr>
          <w:rFonts w:ascii="Palatino Linotype" w:hAnsi="Palatino Linotype" w:cs="P’¬'BBò"/>
          <w:b/>
          <w:bCs/>
          <w:color w:val="000000"/>
          <w:lang w:val="ro-RO"/>
        </w:rPr>
        <w:t>Garanția de participare</w:t>
      </w:r>
      <w:r w:rsidRPr="005451AB">
        <w:rPr>
          <w:rFonts w:ascii="Palatino Linotype" w:hAnsi="Palatino Linotype" w:cs="P’¬'BBò"/>
          <w:color w:val="000000"/>
          <w:lang w:val="ro-RO"/>
        </w:rPr>
        <w:t>: investitorii trebuie să constituie o garanție de participare egală cu 1% din prețul de pornire al licitației, calculată pe baza capacității licitate de fiecare investitor;</w:t>
      </w:r>
    </w:p>
    <w:p w14:paraId="503A2363" w14:textId="39DE47CD" w:rsidR="00632AD4" w:rsidRPr="005451AB" w:rsidRDefault="00632AD4" w:rsidP="00EB08D7">
      <w:pPr>
        <w:pStyle w:val="ListParagraph"/>
        <w:widowControl/>
        <w:numPr>
          <w:ilvl w:val="0"/>
          <w:numId w:val="3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color w:val="000000"/>
          <w:lang w:val="ro-RO"/>
        </w:rPr>
      </w:pPr>
      <w:r w:rsidRPr="005451AB">
        <w:rPr>
          <w:rFonts w:ascii="Palatino Linotype" w:hAnsi="Palatino Linotype" w:cs="P’¬'BBò"/>
          <w:b/>
          <w:bCs/>
          <w:color w:val="000000"/>
          <w:lang w:val="ro-RO"/>
        </w:rPr>
        <w:t>Contractul de alocare a capacității</w:t>
      </w:r>
      <w:r w:rsidRPr="005451AB">
        <w:rPr>
          <w:rFonts w:ascii="Palatino Linotype" w:hAnsi="Palatino Linotype" w:cs="P’¬'BBò"/>
          <w:color w:val="000000"/>
          <w:lang w:val="ro-RO"/>
        </w:rPr>
        <w:t xml:space="preserve">: investitorii selectați încheie contracte de alocare tripartite cu OTS și operatorul de </w:t>
      </w:r>
      <w:r w:rsidR="006C6B8C">
        <w:rPr>
          <w:rFonts w:ascii="Palatino Linotype" w:hAnsi="Palatino Linotype" w:cs="P’¬'BBò"/>
          <w:color w:val="000000"/>
          <w:lang w:val="ro-RO"/>
        </w:rPr>
        <w:t>distribuție</w:t>
      </w:r>
      <w:r w:rsidRPr="005451AB">
        <w:rPr>
          <w:rFonts w:ascii="Palatino Linotype" w:hAnsi="Palatino Linotype" w:cs="P’¬'BBò"/>
          <w:color w:val="000000"/>
          <w:lang w:val="ro-RO"/>
        </w:rPr>
        <w:t xml:space="preserve"> respectând termenii minimi reglementați de ANRE;</w:t>
      </w:r>
    </w:p>
    <w:p w14:paraId="616C6C7F" w14:textId="77777777" w:rsidR="00632AD4" w:rsidRPr="005451AB" w:rsidRDefault="00632AD4" w:rsidP="00EB08D7">
      <w:pPr>
        <w:pStyle w:val="ListParagraph"/>
        <w:widowControl/>
        <w:numPr>
          <w:ilvl w:val="0"/>
          <w:numId w:val="3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color w:val="000000"/>
          <w:lang w:val="ro-RO"/>
        </w:rPr>
      </w:pPr>
      <w:r w:rsidRPr="005451AB">
        <w:rPr>
          <w:rFonts w:ascii="Palatino Linotype" w:hAnsi="Palatino Linotype" w:cs="P’¬'BBò"/>
          <w:b/>
          <w:bCs/>
          <w:color w:val="000000"/>
          <w:lang w:val="ro-RO"/>
        </w:rPr>
        <w:t>Calculul prețului</w:t>
      </w:r>
      <w:r w:rsidRPr="005451AB">
        <w:rPr>
          <w:rFonts w:ascii="Palatino Linotype" w:hAnsi="Palatino Linotype" w:cs="P’¬'BBò"/>
          <w:color w:val="000000"/>
          <w:lang w:val="ro-RO"/>
        </w:rPr>
        <w:t>: prețul datorat de investitori diferă în funcție de capacitatea disponibilă și capacitatea totală licitată, fiind esențial după cum urmează:</w:t>
      </w:r>
    </w:p>
    <w:p w14:paraId="178B34AF" w14:textId="77777777" w:rsidR="00632AD4" w:rsidRPr="005451AB" w:rsidRDefault="00632AD4" w:rsidP="00EB08D7">
      <w:pPr>
        <w:pStyle w:val="ListParagraph"/>
        <w:widowControl/>
        <w:numPr>
          <w:ilvl w:val="0"/>
          <w:numId w:val="4"/>
        </w:numPr>
        <w:adjustRightInd w:val="0"/>
        <w:spacing w:after="200" w:line="320" w:lineRule="exact"/>
        <w:ind w:left="1170" w:hanging="540"/>
        <w:jc w:val="both"/>
        <w:rPr>
          <w:rFonts w:ascii="Palatino Linotype" w:hAnsi="Palatino Linotype" w:cs="P’¬'BBò"/>
          <w:color w:val="000000"/>
          <w:lang w:val="ro-RO"/>
        </w:rPr>
      </w:pPr>
      <w:r w:rsidRPr="005451AB">
        <w:rPr>
          <w:rFonts w:ascii="Palatino Linotype" w:hAnsi="Palatino Linotype" w:cs="P’¬'BBò"/>
          <w:color w:val="000000"/>
          <w:lang w:val="ro-RO"/>
        </w:rPr>
        <w:t xml:space="preserve">dacă </w:t>
      </w:r>
      <w:proofErr w:type="spellStart"/>
      <w:r w:rsidRPr="005451AB">
        <w:rPr>
          <w:rFonts w:ascii="Palatino Linotype" w:hAnsi="Palatino Linotype" w:cs="P’¬'BBò"/>
          <w:color w:val="000000"/>
        </w:rPr>
        <w:t>capacitatea</w:t>
      </w:r>
      <w:proofErr w:type="spellEnd"/>
      <w:r w:rsidRPr="005451AB">
        <w:rPr>
          <w:rFonts w:ascii="Palatino Linotype" w:hAnsi="Palatino Linotype" w:cs="P’¬'BBò"/>
          <w:color w:val="000000"/>
          <w:lang w:val="ro-RO"/>
        </w:rPr>
        <w:t xml:space="preserve"> disponibilă (fără a fi necesare lucrări de întărire) este mai mare decât capacitatea totală licitată de investitori, toate ofertele sunt acceptate și nu este datorat niciun preț;</w:t>
      </w:r>
    </w:p>
    <w:p w14:paraId="5270CA4E" w14:textId="77777777" w:rsidR="00632AD4" w:rsidRPr="005451AB" w:rsidRDefault="00632AD4" w:rsidP="00EB08D7">
      <w:pPr>
        <w:pStyle w:val="ListParagraph"/>
        <w:widowControl/>
        <w:numPr>
          <w:ilvl w:val="0"/>
          <w:numId w:val="4"/>
        </w:numPr>
        <w:adjustRightInd w:val="0"/>
        <w:spacing w:after="200" w:line="320" w:lineRule="exact"/>
        <w:ind w:left="1170" w:hanging="540"/>
        <w:jc w:val="both"/>
        <w:rPr>
          <w:rFonts w:ascii="Palatino Linotype" w:hAnsi="Palatino Linotype" w:cs="P’¬'BBò"/>
          <w:color w:val="000000"/>
          <w:lang w:val="ro-RO"/>
        </w:rPr>
      </w:pPr>
      <w:r w:rsidRPr="005451AB">
        <w:rPr>
          <w:rFonts w:ascii="Palatino Linotype" w:hAnsi="Palatino Linotype" w:cs="P’¬'BBò"/>
          <w:color w:val="000000"/>
          <w:lang w:val="ro-RO"/>
        </w:rPr>
        <w:t xml:space="preserve">dacă </w:t>
      </w:r>
      <w:proofErr w:type="spellStart"/>
      <w:r w:rsidRPr="005451AB">
        <w:rPr>
          <w:rFonts w:ascii="Palatino Linotype" w:hAnsi="Palatino Linotype" w:cs="P’¬'BBò"/>
          <w:color w:val="000000"/>
        </w:rPr>
        <w:t>capacitatea</w:t>
      </w:r>
      <w:proofErr w:type="spellEnd"/>
      <w:r w:rsidRPr="005451AB">
        <w:rPr>
          <w:rFonts w:ascii="Palatino Linotype" w:hAnsi="Palatino Linotype" w:cs="P’¬'BBò"/>
          <w:color w:val="000000"/>
          <w:lang w:val="ro-RO"/>
        </w:rPr>
        <w:t xml:space="preserve"> disponibilă (rezultată din lucrările de întărire) este mai mare decât capacitatea totală licitată de investitori, toate ofertele sunt acceptate și se datorează prețul de pornire al licitației;</w:t>
      </w:r>
    </w:p>
    <w:p w14:paraId="4C0DFD09" w14:textId="77777777" w:rsidR="00632AD4" w:rsidRPr="005451AB" w:rsidRDefault="00632AD4" w:rsidP="00EB08D7">
      <w:pPr>
        <w:pStyle w:val="ListParagraph"/>
        <w:widowControl/>
        <w:numPr>
          <w:ilvl w:val="0"/>
          <w:numId w:val="4"/>
        </w:numPr>
        <w:adjustRightInd w:val="0"/>
        <w:spacing w:after="200" w:line="320" w:lineRule="exact"/>
        <w:ind w:left="1170" w:hanging="540"/>
        <w:jc w:val="both"/>
        <w:rPr>
          <w:rFonts w:ascii="Palatino Linotype" w:hAnsi="Palatino Linotype" w:cs="P’¬'BBò"/>
          <w:color w:val="000000"/>
          <w:lang w:val="ro-RO"/>
        </w:rPr>
      </w:pPr>
      <w:r w:rsidRPr="005451AB">
        <w:rPr>
          <w:rFonts w:ascii="Palatino Linotype" w:hAnsi="Palatino Linotype" w:cs="P’¬'BBò"/>
          <w:color w:val="000000"/>
          <w:lang w:val="ro-RO"/>
        </w:rPr>
        <w:t>dacă capacitatea disponibilă (rezultată din lucrările de întărire) este mai mică decât cea licitată, investitorii plătesc prețul licitat;</w:t>
      </w:r>
    </w:p>
    <w:p w14:paraId="17A6166C" w14:textId="77777777" w:rsidR="00632AD4" w:rsidRDefault="00632AD4" w:rsidP="00EB08D7">
      <w:pPr>
        <w:pStyle w:val="ListParagraph"/>
        <w:widowControl/>
        <w:numPr>
          <w:ilvl w:val="0"/>
          <w:numId w:val="3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color w:val="000000"/>
          <w:lang w:val="ro-RO"/>
        </w:rPr>
      </w:pPr>
      <w:r w:rsidRPr="005451AB">
        <w:rPr>
          <w:rFonts w:ascii="Palatino Linotype" w:hAnsi="Palatino Linotype" w:cs="P’¬'BBò"/>
          <w:b/>
          <w:bCs/>
          <w:color w:val="000000"/>
          <w:lang w:val="ro-RO"/>
        </w:rPr>
        <w:t>Plata prețului</w:t>
      </w:r>
      <w:r w:rsidRPr="005451AB">
        <w:rPr>
          <w:rFonts w:ascii="Palatino Linotype" w:hAnsi="Palatino Linotype" w:cs="P’¬'BBò"/>
          <w:color w:val="000000"/>
          <w:lang w:val="ro-RO"/>
        </w:rPr>
        <w:t>: 20% din preț trebuie plătit în termen de 30 de zile de la data semnării contractului de alocare a capacității, iar restul nu mai târziu de 4 luni de la data semnării acestuia;</w:t>
      </w:r>
    </w:p>
    <w:p w14:paraId="0082C6BC" w14:textId="3AF9AE72" w:rsidR="00632AD4" w:rsidRPr="00632AD4" w:rsidRDefault="00632AD4" w:rsidP="00EB08D7">
      <w:pPr>
        <w:pStyle w:val="ListParagraph"/>
        <w:widowControl/>
        <w:numPr>
          <w:ilvl w:val="0"/>
          <w:numId w:val="3"/>
        </w:numPr>
        <w:adjustRightInd w:val="0"/>
        <w:spacing w:after="200" w:line="320" w:lineRule="exact"/>
        <w:ind w:left="567" w:hanging="567"/>
        <w:jc w:val="both"/>
        <w:rPr>
          <w:rFonts w:ascii="Palatino Linotype" w:hAnsi="Palatino Linotype" w:cs="P’¬'BBò"/>
          <w:color w:val="000000"/>
          <w:lang w:val="ro-RO"/>
        </w:rPr>
      </w:pPr>
      <w:r w:rsidRPr="00632AD4">
        <w:rPr>
          <w:rFonts w:ascii="Palatino Linotype" w:hAnsi="Palatino Linotype" w:cs="P’¬'BBò"/>
          <w:b/>
          <w:bCs/>
          <w:color w:val="000000"/>
          <w:lang w:val="ro-RO"/>
        </w:rPr>
        <w:t>Penalități de întârziere</w:t>
      </w:r>
      <w:r w:rsidRPr="00632AD4">
        <w:rPr>
          <w:rFonts w:ascii="Palatino Linotype" w:hAnsi="Palatino Linotype" w:cs="P’¬'BBò"/>
          <w:color w:val="000000"/>
          <w:lang w:val="ro-RO"/>
        </w:rPr>
        <w:t>: penalități zilnice de întârziere de 0,01% din preț sunt datorate (i) de operatorul de rețea pentru întârzierile în efectuarea lucrărilor de întărire și (ii) de investitori pentru întârzierile în punerea în funcțiune a proiectelor.</w:t>
      </w:r>
    </w:p>
    <w:p w14:paraId="20FB346D" w14:textId="03697A3A" w:rsidR="007C3C39" w:rsidRDefault="007C3C39" w:rsidP="00632AD4">
      <w:pPr>
        <w:spacing w:after="200" w:line="320" w:lineRule="exact"/>
        <w:jc w:val="center"/>
        <w:rPr>
          <w:rFonts w:ascii="Palatino Linotype" w:hAnsi="Palatino Linotype" w:cstheme="minorHAnsi"/>
          <w:bCs/>
          <w:sz w:val="22"/>
          <w:szCs w:val="22"/>
        </w:rPr>
      </w:pPr>
      <w:r>
        <w:rPr>
          <w:rFonts w:ascii="Palatino Linotype" w:hAnsi="Palatino Linotype" w:cstheme="minorHAnsi"/>
          <w:bCs/>
          <w:sz w:val="22"/>
          <w:szCs w:val="22"/>
        </w:rPr>
        <w:t>***</w:t>
      </w:r>
    </w:p>
    <w:p w14:paraId="7899FA81" w14:textId="1BCAAB5A" w:rsidR="00DE4CA0" w:rsidRPr="00DE4CA0" w:rsidRDefault="00DE4CA0" w:rsidP="00DE4CA0">
      <w:pPr>
        <w:spacing w:after="200" w:line="320" w:lineRule="exact"/>
        <w:jc w:val="both"/>
        <w:rPr>
          <w:rFonts w:ascii="Palatino Linotype" w:hAnsi="Palatino Linotype" w:cstheme="minorHAnsi"/>
          <w:bCs/>
          <w:sz w:val="22"/>
          <w:szCs w:val="22"/>
        </w:rPr>
      </w:pPr>
      <w:proofErr w:type="spellStart"/>
      <w:r w:rsidRPr="006412D9">
        <w:rPr>
          <w:rFonts w:ascii="Palatino Linotype" w:hAnsi="Palatino Linotype" w:cstheme="minorHAnsi"/>
          <w:bCs/>
          <w:sz w:val="22"/>
          <w:szCs w:val="22"/>
        </w:rPr>
        <w:t>Artic</w:t>
      </w:r>
      <w:r w:rsidR="006C6B8C">
        <w:rPr>
          <w:rFonts w:ascii="Palatino Linotype" w:hAnsi="Palatino Linotype" w:cstheme="minorHAnsi"/>
          <w:bCs/>
          <w:sz w:val="22"/>
          <w:szCs w:val="22"/>
        </w:rPr>
        <w:t>ol</w:t>
      </w:r>
      <w:proofErr w:type="spellEnd"/>
      <w:r w:rsidR="006C6B8C">
        <w:rPr>
          <w:rFonts w:ascii="Palatino Linotype" w:hAnsi="Palatino Linotype" w:cstheme="minorHAnsi"/>
          <w:bCs/>
          <w:sz w:val="22"/>
          <w:szCs w:val="22"/>
        </w:rPr>
        <w:t xml:space="preserve"> </w:t>
      </w:r>
      <w:proofErr w:type="spellStart"/>
      <w:r w:rsidR="006C6B8C">
        <w:rPr>
          <w:rFonts w:ascii="Palatino Linotype" w:hAnsi="Palatino Linotype" w:cstheme="minorHAnsi"/>
          <w:bCs/>
          <w:sz w:val="22"/>
          <w:szCs w:val="22"/>
        </w:rPr>
        <w:t>redactat</w:t>
      </w:r>
      <w:proofErr w:type="spellEnd"/>
      <w:r w:rsidR="006C6B8C">
        <w:rPr>
          <w:rFonts w:ascii="Palatino Linotype" w:hAnsi="Palatino Linotype" w:cstheme="minorHAnsi"/>
          <w:bCs/>
          <w:sz w:val="22"/>
          <w:szCs w:val="22"/>
        </w:rPr>
        <w:t xml:space="preserve"> de </w:t>
      </w:r>
      <w:r w:rsidRPr="00DE4CA0">
        <w:rPr>
          <w:rFonts w:ascii="Palatino Linotype" w:hAnsi="Palatino Linotype" w:cstheme="minorHAnsi"/>
          <w:bCs/>
          <w:sz w:val="22"/>
          <w:szCs w:val="22"/>
        </w:rPr>
        <w:t xml:space="preserve">Mihaela Nyerges, Managing Partner </w:t>
      </w:r>
      <w:proofErr w:type="spellStart"/>
      <w:r w:rsidR="006C6B8C">
        <w:rPr>
          <w:rFonts w:ascii="Palatino Linotype" w:hAnsi="Palatino Linotype" w:cstheme="minorHAnsi"/>
          <w:bCs/>
          <w:sz w:val="22"/>
          <w:szCs w:val="22"/>
        </w:rPr>
        <w:t>și</w:t>
      </w:r>
      <w:proofErr w:type="spellEnd"/>
      <w:r w:rsidR="008359E7" w:rsidRPr="006412D9">
        <w:rPr>
          <w:rFonts w:ascii="Palatino Linotype" w:hAnsi="Palatino Linotype" w:cstheme="minorHAnsi"/>
          <w:bCs/>
          <w:sz w:val="22"/>
          <w:szCs w:val="22"/>
        </w:rPr>
        <w:t xml:space="preserve"> Diana </w:t>
      </w:r>
      <w:proofErr w:type="spellStart"/>
      <w:r w:rsidR="008359E7" w:rsidRPr="006412D9">
        <w:rPr>
          <w:rFonts w:ascii="Palatino Linotype" w:hAnsi="Palatino Linotype" w:cstheme="minorHAnsi"/>
          <w:bCs/>
          <w:sz w:val="22"/>
          <w:szCs w:val="22"/>
        </w:rPr>
        <w:t>Dulamă</w:t>
      </w:r>
      <w:proofErr w:type="spellEnd"/>
      <w:r w:rsidR="006412D9">
        <w:rPr>
          <w:rFonts w:ascii="Palatino Linotype" w:hAnsi="Palatino Linotype" w:cstheme="minorHAnsi"/>
          <w:bCs/>
          <w:sz w:val="22"/>
          <w:szCs w:val="22"/>
        </w:rPr>
        <w:t>, Associate</w:t>
      </w:r>
      <w:r w:rsidR="008359E7" w:rsidRPr="006412D9">
        <w:rPr>
          <w:rFonts w:ascii="Palatino Linotype" w:hAnsi="Palatino Linotype" w:cstheme="minorHAnsi"/>
          <w:bCs/>
          <w:sz w:val="22"/>
          <w:szCs w:val="22"/>
        </w:rPr>
        <w:t xml:space="preserve"> </w:t>
      </w:r>
      <w:proofErr w:type="spellStart"/>
      <w:r w:rsidR="006C6B8C">
        <w:rPr>
          <w:rFonts w:ascii="Palatino Linotype" w:hAnsi="Palatino Linotype" w:cstheme="minorHAnsi"/>
          <w:bCs/>
          <w:sz w:val="22"/>
          <w:szCs w:val="22"/>
        </w:rPr>
        <w:t>în</w:t>
      </w:r>
      <w:proofErr w:type="spellEnd"/>
      <w:r w:rsidR="006C6B8C">
        <w:rPr>
          <w:rFonts w:ascii="Palatino Linotype" w:hAnsi="Palatino Linotype" w:cstheme="minorHAnsi"/>
          <w:bCs/>
          <w:sz w:val="22"/>
          <w:szCs w:val="22"/>
        </w:rPr>
        <w:t xml:space="preserve"> </w:t>
      </w:r>
      <w:proofErr w:type="spellStart"/>
      <w:r w:rsidR="006C6B8C">
        <w:rPr>
          <w:rFonts w:ascii="Palatino Linotype" w:hAnsi="Palatino Linotype" w:cstheme="minorHAnsi"/>
          <w:bCs/>
          <w:sz w:val="22"/>
          <w:szCs w:val="22"/>
        </w:rPr>
        <w:t>cadrul</w:t>
      </w:r>
      <w:proofErr w:type="spellEnd"/>
      <w:r w:rsidRPr="00DE4CA0">
        <w:rPr>
          <w:rFonts w:ascii="Palatino Linotype" w:hAnsi="Palatino Linotype" w:cstheme="minorHAnsi"/>
          <w:bCs/>
          <w:sz w:val="22"/>
          <w:szCs w:val="22"/>
        </w:rPr>
        <w:t xml:space="preserve"> Nyerges &amp; </w:t>
      </w:r>
      <w:r w:rsidR="005C4B2F" w:rsidRPr="006412D9">
        <w:rPr>
          <w:rFonts w:ascii="Palatino Linotype" w:hAnsi="Palatino Linotype" w:cstheme="minorHAnsi"/>
          <w:bCs/>
          <w:sz w:val="22"/>
          <w:szCs w:val="22"/>
        </w:rPr>
        <w:t>Partners</w:t>
      </w:r>
      <w:r w:rsidR="00B409A4">
        <w:rPr>
          <w:rFonts w:ascii="Palatino Linotype" w:hAnsi="Palatino Linotype" w:cstheme="minorHAnsi"/>
          <w:bCs/>
          <w:sz w:val="22"/>
          <w:szCs w:val="22"/>
        </w:rPr>
        <w:t>.</w:t>
      </w:r>
    </w:p>
    <w:p w14:paraId="4825D55B" w14:textId="4AF2C523" w:rsidR="001A6F5F" w:rsidRPr="001A6F5F" w:rsidRDefault="00721B2C" w:rsidP="001A6F5F">
      <w:pPr>
        <w:spacing w:after="120" w:line="320" w:lineRule="exact"/>
        <w:jc w:val="both"/>
        <w:rPr>
          <w:rFonts w:ascii="Palatino Linotype" w:hAnsi="Palatino Linotype" w:cstheme="minorHAnsi"/>
          <w:bCs/>
          <w:i/>
          <w:iCs/>
          <w:sz w:val="22"/>
          <w:szCs w:val="22"/>
        </w:rPr>
      </w:pPr>
      <w:r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Practica de energie a 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Nyerges &amp; Partners</w:t>
      </w:r>
      <w:r w:rsidR="00A251D0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oferă o gamă completă de servicii juridice companii</w:t>
      </w:r>
      <w:r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lor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internaționale și locale care operează în sectorul energ</w:t>
      </w:r>
      <w:r w:rsidR="004C4412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iei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din România, inclusiv producători independenți de energie, dezvoltatori, contractori EPC, </w:t>
      </w:r>
      <w:r w:rsidR="007030F4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prestatori</w:t>
      </w:r>
      <w:r w:rsidR="00EB08D7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de servicii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O&amp;M. </w:t>
      </w:r>
      <w:r w:rsidR="002E2116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Cu o experiență de 20 de ani în sectorul energiei, a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vocații noștri au o e</w:t>
      </w:r>
      <w:r w:rsidR="004C4412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xpertiză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vastă în </w:t>
      </w:r>
      <w:r w:rsidR="00AB2C9B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toate aspectele</w:t>
      </w:r>
      <w:r w:rsidR="004C46D8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</w:t>
      </w:r>
      <w:r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legate de </w:t>
      </w:r>
      <w:r w:rsidR="00A6282E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investițiile </w:t>
      </w:r>
      <w:r w:rsidR="00CD29BC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în acest sector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: fuziuni și achiziții</w:t>
      </w:r>
      <w:r w:rsidR="00234B93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, probleme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de reglementare, </w:t>
      </w:r>
      <w:r w:rsidR="00234B93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toată gama de 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autorizații</w:t>
      </w:r>
      <w:r w:rsidR="00234B93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și licențe specifice sectorului, </w:t>
      </w:r>
      <w:r w:rsidR="009A75DB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aspecte de drept imobiliar și 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urbanism, construcții, finanț</w:t>
      </w:r>
      <w:r w:rsidR="00A6282E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ări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bancar</w:t>
      </w:r>
      <w:r w:rsidR="00E30DCC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e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, scheme de sprijin</w:t>
      </w:r>
      <w:r w:rsidR="00E30DCC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nerambursabile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. </w:t>
      </w:r>
      <w:r w:rsidR="00E30DCC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Nyerges &amp; Partners</w:t>
      </w:r>
      <w:r w:rsidR="00E30DCC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</w:t>
      </w:r>
      <w:r w:rsidR="00E30DCC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îmbină standardele 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profesionale înalte și </w:t>
      </w:r>
      <w:r w:rsidR="00E30DCC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expertiza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dobândite în cadrul </w:t>
      </w:r>
      <w:r w:rsidR="00E30DCC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caselor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de avocatură românești și internaționale de prim rang, cu </w:t>
      </w:r>
      <w:r w:rsidR="00E30DCC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flexibilitatea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și </w:t>
      </w:r>
      <w:r w:rsidR="00E37FA1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responsivitatea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unei </w:t>
      </w:r>
      <w:r w:rsidR="00E37FA1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case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 de avocatură </w:t>
      </w:r>
      <w:r w:rsidR="00E37FA1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 xml:space="preserve">de </w:t>
      </w:r>
      <w:r w:rsidR="001A6F5F" w:rsidRPr="001A6F5F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tip boutique</w:t>
      </w:r>
      <w:r w:rsidR="00E37FA1">
        <w:rPr>
          <w:rFonts w:ascii="Palatino Linotype" w:hAnsi="Palatino Linotype" w:cstheme="minorHAnsi"/>
          <w:bCs/>
          <w:i/>
          <w:iCs/>
          <w:sz w:val="22"/>
          <w:szCs w:val="22"/>
          <w:lang w:val="ro-RO"/>
        </w:rPr>
        <w:t>.</w:t>
      </w:r>
    </w:p>
    <w:p w14:paraId="1D964798" w14:textId="1F28ABDA" w:rsidR="00C70B80" w:rsidRPr="006412D9" w:rsidRDefault="00C70B80" w:rsidP="00632AD4">
      <w:pPr>
        <w:spacing w:after="120" w:line="320" w:lineRule="exact"/>
        <w:jc w:val="both"/>
        <w:rPr>
          <w:rFonts w:ascii="Palatino Linotype" w:hAnsi="Palatino Linotype" w:cstheme="minorHAnsi"/>
          <w:bCs/>
          <w:i/>
          <w:iCs/>
          <w:sz w:val="22"/>
          <w:szCs w:val="22"/>
        </w:rPr>
      </w:pPr>
    </w:p>
    <w:sectPr w:rsidR="00C70B80" w:rsidRPr="006412D9" w:rsidSect="00E37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620" w:right="1010" w:bottom="1440" w:left="1260" w:header="1007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1FA3" w14:textId="77777777" w:rsidR="005F0C1C" w:rsidRDefault="005F0C1C" w:rsidP="00041161">
      <w:r>
        <w:separator/>
      </w:r>
    </w:p>
  </w:endnote>
  <w:endnote w:type="continuationSeparator" w:id="0">
    <w:p w14:paraId="63F56B35" w14:textId="77777777" w:rsidR="005F0C1C" w:rsidRDefault="005F0C1C" w:rsidP="00041161">
      <w:r>
        <w:continuationSeparator/>
      </w:r>
    </w:p>
  </w:endnote>
  <w:endnote w:type="continuationNotice" w:id="1">
    <w:p w14:paraId="09D1BC7D" w14:textId="77777777" w:rsidR="005F0C1C" w:rsidRDefault="005F0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’¬'BBò">
    <w:altName w:val="Calibri"/>
    <w:charset w:val="4D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cellus SC">
    <w:altName w:val="Calibri"/>
    <w:charset w:val="00"/>
    <w:family w:val="swiss"/>
    <w:pitch w:val="variable"/>
    <w:sig w:usb0="A00000AF" w:usb1="4000004A" w:usb2="00000000" w:usb3="00000000" w:csb0="00000093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72739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F124D8" w14:textId="4D4752FC" w:rsidR="008904C5" w:rsidRDefault="008904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46AB75" w14:textId="77777777" w:rsidR="008904C5" w:rsidRDefault="008904C5" w:rsidP="00890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18336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D6FAFF" w14:textId="71A9EEA8" w:rsidR="008904C5" w:rsidRDefault="008904C5">
        <w:pPr>
          <w:pStyle w:val="Footer"/>
          <w:framePr w:wrap="none" w:vAnchor="text" w:hAnchor="margin" w:xAlign="right" w:y="1"/>
          <w:rPr>
            <w:rStyle w:val="PageNumber"/>
          </w:rPr>
        </w:pPr>
        <w:r w:rsidRPr="002D60A0">
          <w:rPr>
            <w:rStyle w:val="PageNumber"/>
            <w:rFonts w:ascii="Marcellus SC" w:hAnsi="Marcellus SC"/>
            <w:sz w:val="16"/>
            <w:szCs w:val="16"/>
          </w:rPr>
          <w:fldChar w:fldCharType="begin"/>
        </w:r>
        <w:r w:rsidRPr="002D60A0">
          <w:rPr>
            <w:rStyle w:val="PageNumber"/>
            <w:rFonts w:ascii="Marcellus SC" w:hAnsi="Marcellus SC"/>
            <w:sz w:val="16"/>
            <w:szCs w:val="16"/>
          </w:rPr>
          <w:instrText xml:space="preserve"> PAGE </w:instrText>
        </w:r>
        <w:r w:rsidRPr="002D60A0">
          <w:rPr>
            <w:rStyle w:val="PageNumber"/>
            <w:rFonts w:ascii="Marcellus SC" w:hAnsi="Marcellus SC"/>
            <w:sz w:val="16"/>
            <w:szCs w:val="16"/>
          </w:rPr>
          <w:fldChar w:fldCharType="separate"/>
        </w:r>
        <w:r w:rsidRPr="002D60A0">
          <w:rPr>
            <w:rStyle w:val="PageNumber"/>
            <w:rFonts w:ascii="Marcellus SC" w:hAnsi="Marcellus SC"/>
            <w:noProof/>
            <w:sz w:val="16"/>
            <w:szCs w:val="16"/>
          </w:rPr>
          <w:t>1</w:t>
        </w:r>
        <w:r w:rsidRPr="002D60A0">
          <w:rPr>
            <w:rStyle w:val="PageNumber"/>
            <w:rFonts w:ascii="Marcellus SC" w:hAnsi="Marcellus SC"/>
            <w:sz w:val="16"/>
            <w:szCs w:val="16"/>
          </w:rPr>
          <w:fldChar w:fldCharType="end"/>
        </w:r>
      </w:p>
    </w:sdtContent>
  </w:sdt>
  <w:p w14:paraId="31B01F26" w14:textId="0DBB4EFB" w:rsidR="00817252" w:rsidRDefault="00851A84" w:rsidP="00817252">
    <w:pPr>
      <w:spacing w:line="276" w:lineRule="auto"/>
      <w:ind w:hanging="630"/>
      <w:rPr>
        <w:rFonts w:ascii="Raleway" w:hAnsi="Raleway"/>
        <w:color w:val="69A1B7"/>
        <w:sz w:val="16"/>
        <w:szCs w:val="16"/>
        <w:shd w:val="clear" w:color="auto" w:fill="FFFFFF"/>
      </w:rPr>
    </w:pPr>
    <w:r w:rsidRPr="000501CC">
      <w:rPr>
        <w:rFonts w:ascii="Palatino Linotype" w:hAnsi="Palatino Linotype"/>
        <w:noProof/>
        <w:color w:val="2F4968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3F4EB5E" wp14:editId="75215A4B">
              <wp:simplePos x="0" y="0"/>
              <wp:positionH relativeFrom="page">
                <wp:posOffset>556577</wp:posOffset>
              </wp:positionH>
              <wp:positionV relativeFrom="paragraph">
                <wp:posOffset>-133985</wp:posOffset>
              </wp:positionV>
              <wp:extent cx="6723530" cy="0"/>
              <wp:effectExtent l="57150" t="57150" r="58420" b="571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53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2F4968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054954" id="Straight Connector 3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3.8pt,-10.55pt" to="573.2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" strokecolor="#2f4968" strokeweight="2.5pt">
              <v:stroke joinstyle="miter"/>
              <w10:wrap anchorx="page"/>
            </v:line>
          </w:pict>
        </mc:Fallback>
      </mc:AlternateContent>
    </w:r>
    <w:r w:rsidR="00817252" w:rsidRPr="00817252">
      <w:rPr>
        <w:rFonts w:ascii="Raleway SemiBold" w:hAnsi="Raleway SemiBold"/>
        <w:color w:val="69A1B7"/>
        <w:sz w:val="16"/>
        <w:szCs w:val="16"/>
        <w:shd w:val="clear" w:color="auto" w:fill="FFFFFF"/>
      </w:rPr>
      <w:t xml:space="preserve"> </w:t>
    </w:r>
    <w:r w:rsidR="00817252">
      <w:rPr>
        <w:rFonts w:ascii="Raleway SemiBold" w:hAnsi="Raleway SemiBold"/>
        <w:color w:val="69A1B7"/>
        <w:sz w:val="16"/>
        <w:szCs w:val="16"/>
        <w:shd w:val="clear" w:color="auto" w:fill="FFFFFF"/>
      </w:rPr>
      <w:tab/>
    </w:r>
    <w:r w:rsidR="00817252" w:rsidRPr="007B66F5">
      <w:rPr>
        <w:rFonts w:ascii="Raleway SemiBold" w:hAnsi="Raleway SemiBold"/>
        <w:color w:val="69A1B7"/>
        <w:sz w:val="16"/>
        <w:szCs w:val="16"/>
        <w:shd w:val="clear" w:color="auto" w:fill="FFFFFF"/>
      </w:rPr>
      <w:t>Head Office</w:t>
    </w:r>
    <w:r w:rsidR="00817252" w:rsidRPr="007B66F5">
      <w:rPr>
        <w:rFonts w:ascii="Raleway SemiBold" w:hAnsi="Raleway SemiBold"/>
        <w:color w:val="69A1B7"/>
        <w:sz w:val="16"/>
        <w:szCs w:val="16"/>
        <w:shd w:val="clear" w:color="auto" w:fill="FFFFFF"/>
      </w:rPr>
      <w:tab/>
    </w:r>
    <w:r w:rsidR="00817252">
      <w:rPr>
        <w:rFonts w:ascii="Raleway SemiBold" w:hAnsi="Raleway SemiBold"/>
        <w:color w:val="69A1B7"/>
        <w:sz w:val="16"/>
        <w:szCs w:val="16"/>
        <w:shd w:val="clear" w:color="auto" w:fill="FFFFFF"/>
      </w:rPr>
      <w:tab/>
    </w:r>
    <w:proofErr w:type="spellStart"/>
    <w:r w:rsidR="00817252">
      <w:rPr>
        <w:rFonts w:ascii="Raleway" w:hAnsi="Raleway"/>
        <w:sz w:val="16"/>
        <w:szCs w:val="16"/>
      </w:rPr>
      <w:t>Floreasca</w:t>
    </w:r>
    <w:proofErr w:type="spellEnd"/>
    <w:r w:rsidR="00817252">
      <w:rPr>
        <w:rFonts w:ascii="Raleway" w:hAnsi="Raleway"/>
        <w:sz w:val="16"/>
        <w:szCs w:val="16"/>
      </w:rPr>
      <w:t xml:space="preserve"> Park, 43, Pipera Road, Building B, 2</w:t>
    </w:r>
    <w:r w:rsidR="00817252" w:rsidRPr="0038190C">
      <w:rPr>
        <w:rFonts w:ascii="Raleway" w:hAnsi="Raleway"/>
        <w:sz w:val="16"/>
        <w:szCs w:val="16"/>
        <w:vertAlign w:val="superscript"/>
      </w:rPr>
      <w:t>nd</w:t>
    </w:r>
    <w:r w:rsidR="00817252">
      <w:rPr>
        <w:rFonts w:ascii="Raleway" w:hAnsi="Raleway"/>
        <w:sz w:val="16"/>
        <w:szCs w:val="16"/>
      </w:rPr>
      <w:t xml:space="preserve"> district, 020308</w:t>
    </w:r>
    <w:r w:rsidR="00817252" w:rsidRPr="00D803D2">
      <w:rPr>
        <w:rFonts w:ascii="Raleway" w:hAnsi="Raleway"/>
        <w:sz w:val="16"/>
        <w:szCs w:val="16"/>
      </w:rPr>
      <w:t>, Bucharest, Romania</w:t>
    </w:r>
    <w:r w:rsidR="00817252" w:rsidRPr="00D803D2">
      <w:rPr>
        <w:rFonts w:ascii="Raleway" w:hAnsi="Raleway"/>
        <w:color w:val="69A1B7"/>
        <w:sz w:val="16"/>
        <w:szCs w:val="16"/>
        <w:shd w:val="clear" w:color="auto" w:fill="FFFFFF"/>
      </w:rPr>
      <w:t xml:space="preserve"> </w:t>
    </w:r>
  </w:p>
  <w:p w14:paraId="4CA7B278" w14:textId="77777777" w:rsidR="00817252" w:rsidRPr="00D803D2" w:rsidRDefault="00817252" w:rsidP="00817252">
    <w:pPr>
      <w:spacing w:line="276" w:lineRule="auto"/>
      <w:ind w:left="1440" w:firstLine="720"/>
      <w:rPr>
        <w:rFonts w:ascii="Raleway" w:hAnsi="Raleway"/>
        <w:sz w:val="16"/>
        <w:szCs w:val="16"/>
      </w:rPr>
    </w:pPr>
    <w:r w:rsidRPr="00D803D2">
      <w:rPr>
        <w:rFonts w:ascii="Raleway" w:hAnsi="Raleway"/>
        <w:color w:val="69A1B7"/>
        <w:sz w:val="16"/>
        <w:szCs w:val="16"/>
        <w:shd w:val="clear" w:color="auto" w:fill="FFFFFF"/>
      </w:rPr>
      <w:t>T</w:t>
    </w:r>
    <w:r w:rsidRPr="00D803D2">
      <w:rPr>
        <w:rFonts w:ascii="Raleway" w:hAnsi="Raleway"/>
        <w:sz w:val="16"/>
        <w:szCs w:val="16"/>
        <w:shd w:val="clear" w:color="auto" w:fill="FFFFFF"/>
      </w:rPr>
      <w:t xml:space="preserve"> </w:t>
    </w:r>
    <w:r w:rsidRPr="00780F41">
      <w:rPr>
        <w:rFonts w:ascii="Raleway" w:hAnsi="Raleway"/>
        <w:sz w:val="16"/>
        <w:szCs w:val="16"/>
        <w:shd w:val="clear" w:color="auto" w:fill="FFFFFF"/>
      </w:rPr>
      <w:t>+4</w:t>
    </w:r>
    <w:r w:rsidRPr="006C6D95">
      <w:rPr>
        <w:rFonts w:ascii="Raleway" w:hAnsi="Raleway"/>
        <w:sz w:val="16"/>
        <w:szCs w:val="16"/>
        <w:shd w:val="clear" w:color="auto" w:fill="FFFFFF"/>
      </w:rPr>
      <w:t xml:space="preserve"> </w:t>
    </w:r>
    <w:r w:rsidRPr="00780F41">
      <w:rPr>
        <w:rFonts w:ascii="Raleway" w:hAnsi="Raleway"/>
        <w:sz w:val="16"/>
        <w:szCs w:val="16"/>
        <w:shd w:val="clear" w:color="auto" w:fill="FFFFFF"/>
      </w:rPr>
      <w:t>0</w:t>
    </w:r>
    <w:r w:rsidRPr="006C6D95">
      <w:rPr>
        <w:rFonts w:ascii="Raleway" w:hAnsi="Raleway"/>
        <w:sz w:val="16"/>
        <w:szCs w:val="16"/>
        <w:shd w:val="clear" w:color="auto" w:fill="FFFFFF"/>
      </w:rPr>
      <w:t>31 860 2</w:t>
    </w:r>
    <w:r>
      <w:rPr>
        <w:rFonts w:ascii="Raleway" w:hAnsi="Raleway"/>
        <w:sz w:val="16"/>
        <w:szCs w:val="16"/>
        <w:shd w:val="clear" w:color="auto" w:fill="FFFFFF"/>
      </w:rPr>
      <w:t>2</w:t>
    </w:r>
    <w:r w:rsidRPr="006C6D95">
      <w:rPr>
        <w:rFonts w:ascii="Raleway" w:hAnsi="Raleway"/>
        <w:sz w:val="16"/>
        <w:szCs w:val="16"/>
        <w:shd w:val="clear" w:color="auto" w:fill="FFFFFF"/>
      </w:rPr>
      <w:t xml:space="preserve"> 17</w:t>
    </w:r>
    <w:r>
      <w:rPr>
        <w:rFonts w:ascii="Raleway" w:hAnsi="Raleway"/>
        <w:sz w:val="16"/>
        <w:szCs w:val="16"/>
        <w:shd w:val="clear" w:color="auto" w:fill="FFFFFF"/>
      </w:rPr>
      <w:t xml:space="preserve"> </w:t>
    </w:r>
    <w:r w:rsidRPr="00D803D2">
      <w:rPr>
        <w:rFonts w:ascii="Raleway" w:hAnsi="Raleway"/>
        <w:sz w:val="16"/>
        <w:szCs w:val="16"/>
        <w:shd w:val="clear" w:color="auto" w:fill="FFFFFF"/>
      </w:rPr>
      <w:t>|</w:t>
    </w:r>
    <w:r w:rsidRPr="00D803D2">
      <w:rPr>
        <w:rFonts w:ascii="Raleway" w:hAnsi="Raleway"/>
        <w:spacing w:val="-2"/>
        <w:sz w:val="16"/>
        <w:szCs w:val="16"/>
        <w:shd w:val="clear" w:color="auto" w:fill="FFFFFF"/>
      </w:rPr>
      <w:t> </w:t>
    </w:r>
    <w:r w:rsidRPr="00D803D2">
      <w:rPr>
        <w:rFonts w:ascii="Raleway" w:hAnsi="Raleway"/>
        <w:color w:val="69A1B7"/>
        <w:spacing w:val="-2"/>
        <w:sz w:val="16"/>
        <w:szCs w:val="16"/>
        <w:shd w:val="clear" w:color="auto" w:fill="FFFFFF"/>
      </w:rPr>
      <w:t xml:space="preserve">E </w:t>
    </w:r>
    <w:r w:rsidRPr="00D803D2">
      <w:rPr>
        <w:rFonts w:ascii="Raleway" w:hAnsi="Raleway" w:cs="Arial"/>
        <w:spacing w:val="-2"/>
        <w:sz w:val="16"/>
        <w:szCs w:val="16"/>
        <w:shd w:val="clear" w:color="auto" w:fill="FFFFFF"/>
      </w:rPr>
      <w:t xml:space="preserve">office@nrgpartners.ro </w:t>
    </w:r>
    <w:r w:rsidRPr="00D803D2">
      <w:rPr>
        <w:rFonts w:ascii="Raleway" w:hAnsi="Raleway"/>
        <w:sz w:val="16"/>
        <w:szCs w:val="16"/>
        <w:shd w:val="clear" w:color="auto" w:fill="FFFFFF"/>
      </w:rPr>
      <w:t>|</w:t>
    </w:r>
    <w:r w:rsidRPr="00D803D2">
      <w:rPr>
        <w:rFonts w:ascii="Raleway" w:hAnsi="Raleway"/>
        <w:spacing w:val="-2"/>
        <w:sz w:val="16"/>
        <w:szCs w:val="16"/>
        <w:shd w:val="clear" w:color="auto" w:fill="FFFFFF"/>
      </w:rPr>
      <w:t> </w:t>
    </w:r>
    <w:r w:rsidRPr="00D803D2">
      <w:rPr>
        <w:rFonts w:ascii="Raleway" w:hAnsi="Raleway"/>
        <w:sz w:val="16"/>
        <w:szCs w:val="16"/>
      </w:rPr>
      <w:t>www.nrgpartners.ro</w:t>
    </w:r>
  </w:p>
  <w:p w14:paraId="44475F54" w14:textId="77777777" w:rsidR="00A86151" w:rsidRPr="00B10A29" w:rsidRDefault="00A86151" w:rsidP="008904C5">
    <w:pPr>
      <w:pStyle w:val="Footer"/>
      <w:ind w:right="360"/>
      <w:rPr>
        <w:rFonts w:ascii="Raleway Medium" w:hAnsi="Raleway Medium"/>
        <w:color w:val="2F4968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CC3C" w14:textId="77777777" w:rsidR="001A1648" w:rsidRDefault="001A1648" w:rsidP="001A1648">
    <w:pPr>
      <w:spacing w:line="276" w:lineRule="auto"/>
      <w:ind w:hanging="630"/>
      <w:rPr>
        <w:rFonts w:ascii="Raleway" w:hAnsi="Raleway"/>
        <w:color w:val="69A1B7"/>
        <w:sz w:val="16"/>
        <w:szCs w:val="16"/>
        <w:shd w:val="clear" w:color="auto" w:fill="FFFFFF"/>
      </w:rPr>
    </w:pPr>
    <w:r w:rsidRPr="000501CC">
      <w:rPr>
        <w:rFonts w:ascii="Palatino Linotype" w:hAnsi="Palatino Linotype"/>
        <w:noProof/>
        <w:color w:val="2F4968"/>
        <w:sz w:val="16"/>
        <w:szCs w:val="16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8A8CE7A" wp14:editId="7F060D10">
              <wp:simplePos x="0" y="0"/>
              <wp:positionH relativeFrom="page">
                <wp:posOffset>556577</wp:posOffset>
              </wp:positionH>
              <wp:positionV relativeFrom="paragraph">
                <wp:posOffset>-133985</wp:posOffset>
              </wp:positionV>
              <wp:extent cx="6723530" cy="0"/>
              <wp:effectExtent l="57150" t="57150" r="58420" b="57150"/>
              <wp:wrapNone/>
              <wp:docPr id="767309188" name="Straight Connector 767309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353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2F4968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00A4E0" id="Straight Connector 767309188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3.8pt,-10.55pt" to="573.2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" strokecolor="#2f4968" strokeweight="2.5pt">
              <v:stroke joinstyle="miter"/>
              <w10:wrap anchorx="page"/>
            </v:line>
          </w:pict>
        </mc:Fallback>
      </mc:AlternateContent>
    </w:r>
    <w:r w:rsidRPr="00817252">
      <w:rPr>
        <w:rFonts w:ascii="Raleway SemiBold" w:hAnsi="Raleway SemiBold"/>
        <w:color w:val="69A1B7"/>
        <w:sz w:val="16"/>
        <w:szCs w:val="16"/>
        <w:shd w:val="clear" w:color="auto" w:fill="FFFFFF"/>
      </w:rPr>
      <w:t xml:space="preserve"> </w:t>
    </w:r>
    <w:r>
      <w:rPr>
        <w:rFonts w:ascii="Raleway SemiBold" w:hAnsi="Raleway SemiBold"/>
        <w:color w:val="69A1B7"/>
        <w:sz w:val="16"/>
        <w:szCs w:val="16"/>
        <w:shd w:val="clear" w:color="auto" w:fill="FFFFFF"/>
      </w:rPr>
      <w:tab/>
    </w:r>
    <w:r w:rsidRPr="007B66F5">
      <w:rPr>
        <w:rFonts w:ascii="Raleway SemiBold" w:hAnsi="Raleway SemiBold"/>
        <w:color w:val="69A1B7"/>
        <w:sz w:val="16"/>
        <w:szCs w:val="16"/>
        <w:shd w:val="clear" w:color="auto" w:fill="FFFFFF"/>
      </w:rPr>
      <w:t>Head Office</w:t>
    </w:r>
    <w:r w:rsidRPr="007B66F5">
      <w:rPr>
        <w:rFonts w:ascii="Raleway SemiBold" w:hAnsi="Raleway SemiBold"/>
        <w:color w:val="69A1B7"/>
        <w:sz w:val="16"/>
        <w:szCs w:val="16"/>
        <w:shd w:val="clear" w:color="auto" w:fill="FFFFFF"/>
      </w:rPr>
      <w:tab/>
    </w:r>
    <w:r>
      <w:rPr>
        <w:rFonts w:ascii="Raleway SemiBold" w:hAnsi="Raleway SemiBold"/>
        <w:color w:val="69A1B7"/>
        <w:sz w:val="16"/>
        <w:szCs w:val="16"/>
        <w:shd w:val="clear" w:color="auto" w:fill="FFFFFF"/>
      </w:rPr>
      <w:tab/>
    </w:r>
    <w:proofErr w:type="spellStart"/>
    <w:r>
      <w:rPr>
        <w:rFonts w:ascii="Raleway" w:hAnsi="Raleway"/>
        <w:sz w:val="16"/>
        <w:szCs w:val="16"/>
      </w:rPr>
      <w:t>Floreasca</w:t>
    </w:r>
    <w:proofErr w:type="spellEnd"/>
    <w:r>
      <w:rPr>
        <w:rFonts w:ascii="Raleway" w:hAnsi="Raleway"/>
        <w:sz w:val="16"/>
        <w:szCs w:val="16"/>
      </w:rPr>
      <w:t xml:space="preserve"> Park, 43, Pipera Road, Building B, 2</w:t>
    </w:r>
    <w:r w:rsidRPr="0038190C">
      <w:rPr>
        <w:rFonts w:ascii="Raleway" w:hAnsi="Raleway"/>
        <w:sz w:val="16"/>
        <w:szCs w:val="16"/>
        <w:vertAlign w:val="superscript"/>
      </w:rPr>
      <w:t>nd</w:t>
    </w:r>
    <w:r>
      <w:rPr>
        <w:rFonts w:ascii="Raleway" w:hAnsi="Raleway"/>
        <w:sz w:val="16"/>
        <w:szCs w:val="16"/>
      </w:rPr>
      <w:t xml:space="preserve"> district, 020308</w:t>
    </w:r>
    <w:r w:rsidRPr="00D803D2">
      <w:rPr>
        <w:rFonts w:ascii="Raleway" w:hAnsi="Raleway"/>
        <w:sz w:val="16"/>
        <w:szCs w:val="16"/>
      </w:rPr>
      <w:t>, Bucharest, Romania</w:t>
    </w:r>
    <w:r w:rsidRPr="00D803D2">
      <w:rPr>
        <w:rFonts w:ascii="Raleway" w:hAnsi="Raleway"/>
        <w:color w:val="69A1B7"/>
        <w:sz w:val="16"/>
        <w:szCs w:val="16"/>
        <w:shd w:val="clear" w:color="auto" w:fill="FFFFFF"/>
      </w:rPr>
      <w:t xml:space="preserve"> </w:t>
    </w:r>
  </w:p>
  <w:p w14:paraId="60460132" w14:textId="77777777" w:rsidR="001A1648" w:rsidRPr="00D803D2" w:rsidRDefault="001A1648" w:rsidP="001A1648">
    <w:pPr>
      <w:spacing w:line="276" w:lineRule="auto"/>
      <w:ind w:left="1440" w:firstLine="720"/>
      <w:rPr>
        <w:rFonts w:ascii="Raleway" w:hAnsi="Raleway"/>
        <w:sz w:val="16"/>
        <w:szCs w:val="16"/>
      </w:rPr>
    </w:pPr>
    <w:r w:rsidRPr="00D803D2">
      <w:rPr>
        <w:rFonts w:ascii="Raleway" w:hAnsi="Raleway"/>
        <w:color w:val="69A1B7"/>
        <w:sz w:val="16"/>
        <w:szCs w:val="16"/>
        <w:shd w:val="clear" w:color="auto" w:fill="FFFFFF"/>
      </w:rPr>
      <w:t>T</w:t>
    </w:r>
    <w:r w:rsidRPr="00D803D2">
      <w:rPr>
        <w:rFonts w:ascii="Raleway" w:hAnsi="Raleway"/>
        <w:sz w:val="16"/>
        <w:szCs w:val="16"/>
        <w:shd w:val="clear" w:color="auto" w:fill="FFFFFF"/>
      </w:rPr>
      <w:t xml:space="preserve"> </w:t>
    </w:r>
    <w:r w:rsidRPr="00780F41">
      <w:rPr>
        <w:rFonts w:ascii="Raleway" w:hAnsi="Raleway"/>
        <w:sz w:val="16"/>
        <w:szCs w:val="16"/>
        <w:shd w:val="clear" w:color="auto" w:fill="FFFFFF"/>
      </w:rPr>
      <w:t>+4</w:t>
    </w:r>
    <w:r w:rsidRPr="006C6D95">
      <w:rPr>
        <w:rFonts w:ascii="Raleway" w:hAnsi="Raleway"/>
        <w:sz w:val="16"/>
        <w:szCs w:val="16"/>
        <w:shd w:val="clear" w:color="auto" w:fill="FFFFFF"/>
      </w:rPr>
      <w:t xml:space="preserve"> </w:t>
    </w:r>
    <w:r w:rsidRPr="00780F41">
      <w:rPr>
        <w:rFonts w:ascii="Raleway" w:hAnsi="Raleway"/>
        <w:sz w:val="16"/>
        <w:szCs w:val="16"/>
        <w:shd w:val="clear" w:color="auto" w:fill="FFFFFF"/>
      </w:rPr>
      <w:t>0</w:t>
    </w:r>
    <w:r w:rsidRPr="006C6D95">
      <w:rPr>
        <w:rFonts w:ascii="Raleway" w:hAnsi="Raleway"/>
        <w:sz w:val="16"/>
        <w:szCs w:val="16"/>
        <w:shd w:val="clear" w:color="auto" w:fill="FFFFFF"/>
      </w:rPr>
      <w:t>31 860 2</w:t>
    </w:r>
    <w:r>
      <w:rPr>
        <w:rFonts w:ascii="Raleway" w:hAnsi="Raleway"/>
        <w:sz w:val="16"/>
        <w:szCs w:val="16"/>
        <w:shd w:val="clear" w:color="auto" w:fill="FFFFFF"/>
      </w:rPr>
      <w:t>2</w:t>
    </w:r>
    <w:r w:rsidRPr="006C6D95">
      <w:rPr>
        <w:rFonts w:ascii="Raleway" w:hAnsi="Raleway"/>
        <w:sz w:val="16"/>
        <w:szCs w:val="16"/>
        <w:shd w:val="clear" w:color="auto" w:fill="FFFFFF"/>
      </w:rPr>
      <w:t xml:space="preserve"> 17</w:t>
    </w:r>
    <w:r>
      <w:rPr>
        <w:rFonts w:ascii="Raleway" w:hAnsi="Raleway"/>
        <w:sz w:val="16"/>
        <w:szCs w:val="16"/>
        <w:shd w:val="clear" w:color="auto" w:fill="FFFFFF"/>
      </w:rPr>
      <w:t xml:space="preserve"> </w:t>
    </w:r>
    <w:r w:rsidRPr="00D803D2">
      <w:rPr>
        <w:rFonts w:ascii="Raleway" w:hAnsi="Raleway"/>
        <w:sz w:val="16"/>
        <w:szCs w:val="16"/>
        <w:shd w:val="clear" w:color="auto" w:fill="FFFFFF"/>
      </w:rPr>
      <w:t>|</w:t>
    </w:r>
    <w:r w:rsidRPr="00D803D2">
      <w:rPr>
        <w:rFonts w:ascii="Raleway" w:hAnsi="Raleway"/>
        <w:spacing w:val="-2"/>
        <w:sz w:val="16"/>
        <w:szCs w:val="16"/>
        <w:shd w:val="clear" w:color="auto" w:fill="FFFFFF"/>
      </w:rPr>
      <w:t> </w:t>
    </w:r>
    <w:r w:rsidRPr="00D803D2">
      <w:rPr>
        <w:rFonts w:ascii="Raleway" w:hAnsi="Raleway"/>
        <w:color w:val="69A1B7"/>
        <w:spacing w:val="-2"/>
        <w:sz w:val="16"/>
        <w:szCs w:val="16"/>
        <w:shd w:val="clear" w:color="auto" w:fill="FFFFFF"/>
      </w:rPr>
      <w:t xml:space="preserve">E </w:t>
    </w:r>
    <w:r w:rsidRPr="00D803D2">
      <w:rPr>
        <w:rFonts w:ascii="Raleway" w:hAnsi="Raleway" w:cs="Arial"/>
        <w:spacing w:val="-2"/>
        <w:sz w:val="16"/>
        <w:szCs w:val="16"/>
        <w:shd w:val="clear" w:color="auto" w:fill="FFFFFF"/>
      </w:rPr>
      <w:t xml:space="preserve">office@nrgpartners.ro </w:t>
    </w:r>
    <w:r w:rsidRPr="00D803D2">
      <w:rPr>
        <w:rFonts w:ascii="Raleway" w:hAnsi="Raleway"/>
        <w:sz w:val="16"/>
        <w:szCs w:val="16"/>
        <w:shd w:val="clear" w:color="auto" w:fill="FFFFFF"/>
      </w:rPr>
      <w:t>|</w:t>
    </w:r>
    <w:r w:rsidRPr="00D803D2">
      <w:rPr>
        <w:rFonts w:ascii="Raleway" w:hAnsi="Raleway"/>
        <w:spacing w:val="-2"/>
        <w:sz w:val="16"/>
        <w:szCs w:val="16"/>
        <w:shd w:val="clear" w:color="auto" w:fill="FFFFFF"/>
      </w:rPr>
      <w:t> </w:t>
    </w:r>
    <w:r w:rsidRPr="00D803D2">
      <w:rPr>
        <w:rFonts w:ascii="Raleway" w:hAnsi="Raleway"/>
        <w:sz w:val="16"/>
        <w:szCs w:val="16"/>
      </w:rPr>
      <w:t>www.nrgpartners.ro</w:t>
    </w:r>
  </w:p>
  <w:p w14:paraId="3DAE1A61" w14:textId="77777777" w:rsidR="001A1648" w:rsidRDefault="001A1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EFA1" w14:textId="77777777" w:rsidR="005F0C1C" w:rsidRDefault="005F0C1C" w:rsidP="00041161">
      <w:r>
        <w:separator/>
      </w:r>
    </w:p>
  </w:footnote>
  <w:footnote w:type="continuationSeparator" w:id="0">
    <w:p w14:paraId="3CD35001" w14:textId="77777777" w:rsidR="005F0C1C" w:rsidRDefault="005F0C1C" w:rsidP="00041161">
      <w:r>
        <w:continuationSeparator/>
      </w:r>
    </w:p>
  </w:footnote>
  <w:footnote w:type="continuationNotice" w:id="1">
    <w:p w14:paraId="500F74D7" w14:textId="77777777" w:rsidR="005F0C1C" w:rsidRDefault="005F0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8BCE" w14:textId="202FD8A5" w:rsidR="00041161" w:rsidRDefault="00CD29BC">
    <w:pPr>
      <w:pStyle w:val="Header"/>
    </w:pPr>
    <w:r>
      <w:rPr>
        <w:noProof/>
      </w:rPr>
      <w:pict w14:anchorId="6696E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901766" o:spid="_x0000_s1027" type="#_x0000_t75" style="position:absolute;margin-left:0;margin-top:0;width:450.75pt;height:317.95pt;z-index:-251658238;mso-wrap-edited:f;mso-position-horizontal:center;mso-position-horizontal-relative:margin;mso-position-vertical:center;mso-position-vertical-relative:margin" o:allowincell="f">
          <v:imagedata r:id="rId1" o:title="Logo-Nyerges&amp;Partners-for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A3CC" w14:textId="5E2EF926" w:rsidR="00041161" w:rsidRDefault="00460E2D" w:rsidP="00C56880">
    <w:pPr>
      <w:pStyle w:val="Header"/>
      <w:ind w:left="-709" w:firstLine="709"/>
    </w:pPr>
    <w:r>
      <w:rPr>
        <w:noProof/>
      </w:rPr>
      <w:drawing>
        <wp:anchor distT="0" distB="0" distL="114300" distR="114300" simplePos="0" relativeHeight="251663872" behindDoc="0" locked="0" layoutInCell="1" allowOverlap="1" wp14:anchorId="7D9F68A0" wp14:editId="1FF7D6B2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480695" cy="457835"/>
          <wp:effectExtent l="0" t="0" r="0" b="0"/>
          <wp:wrapSquare wrapText="bothSides"/>
          <wp:docPr id="2114678077" name="Picture 2114678077" descr="O imagine care conține text, miniatură, grafice vectoriale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 descr="O imagine care conține text, miniatură, grafice vectoriale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9BC">
      <w:rPr>
        <w:noProof/>
      </w:rPr>
      <w:pict w14:anchorId="34AB8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901767" o:spid="_x0000_s1026" type="#_x0000_t75" style="position:absolute;left:0;text-align:left;margin-left:0;margin-top:0;width:450.75pt;height:317.95pt;z-index:-251658237;mso-wrap-edited:f;mso-position-horizontal:center;mso-position-horizontal-relative:margin;mso-position-vertical:center;mso-position-vertical-relative:margin" o:allowincell="f">
          <v:imagedata r:id="rId2" o:title="Logo-Nyerges&amp;Partners-for Watermark" gain="19661f" blacklevel="22938f"/>
          <w10:wrap anchorx="margin" anchory="margin"/>
        </v:shape>
      </w:pict>
    </w:r>
    <w:r w:rsidR="00213F2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1A6C70" wp14:editId="12ECBBF0">
              <wp:simplePos x="0" y="0"/>
              <wp:positionH relativeFrom="column">
                <wp:posOffset>-900318</wp:posOffset>
              </wp:positionH>
              <wp:positionV relativeFrom="paragraph">
                <wp:posOffset>-639445</wp:posOffset>
              </wp:positionV>
              <wp:extent cx="7530353" cy="242047"/>
              <wp:effectExtent l="0" t="0" r="127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0353" cy="242047"/>
                      </a:xfrm>
                      <a:prstGeom prst="rect">
                        <a:avLst/>
                      </a:prstGeom>
                      <a:solidFill>
                        <a:srgbClr val="2F49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9C7360" id="Rectangle 35" o:spid="_x0000_s1026" style="position:absolute;margin-left:-70.9pt;margin-top:-50.35pt;width:592.95pt;height:1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" fillcolor="#2f4968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0692" w14:textId="44D22791" w:rsidR="00041161" w:rsidRDefault="001A1648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4D44B5A0" wp14:editId="76331836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2169762" cy="284170"/>
          <wp:effectExtent l="0" t="0" r="2540" b="1905"/>
          <wp:wrapNone/>
          <wp:docPr id="541223700" name="Graphic 541223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62" cy="28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9BC">
      <w:rPr>
        <w:noProof/>
      </w:rPr>
      <w:pict w14:anchorId="6EB13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901765" o:spid="_x0000_s1025" type="#_x0000_t75" style="position:absolute;margin-left:0;margin-top:0;width:450.75pt;height:317.95pt;z-index:-251658239;mso-wrap-edited:f;mso-position-horizontal:center;mso-position-horizontal-relative:margin;mso-position-vertical:center;mso-position-vertical-relative:margin" o:allowincell="f">
          <v:imagedata r:id="rId3" o:title="Logo-Nyerges&amp;Partners-for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5F52"/>
    <w:multiLevelType w:val="hybridMultilevel"/>
    <w:tmpl w:val="E586EEC4"/>
    <w:lvl w:ilvl="0" w:tplc="875E9A3C">
      <w:start w:val="1"/>
      <w:numFmt w:val="lowerRoman"/>
      <w:lvlText w:val="(%1)"/>
      <w:lvlJc w:val="left"/>
      <w:pPr>
        <w:ind w:left="720" w:hanging="360"/>
      </w:pPr>
      <w:rPr>
        <w:rFonts w:ascii="Palatino Linotype" w:eastAsiaTheme="minorHAnsi" w:hAnsi="Palatino Linotype" w:cs="P’¬'BBò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F2E47"/>
    <w:multiLevelType w:val="hybridMultilevel"/>
    <w:tmpl w:val="F9061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67D9A"/>
    <w:multiLevelType w:val="hybridMultilevel"/>
    <w:tmpl w:val="C1C8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1E48"/>
    <w:multiLevelType w:val="hybridMultilevel"/>
    <w:tmpl w:val="7BA8705A"/>
    <w:lvl w:ilvl="0" w:tplc="A168B82E">
      <w:start w:val="1"/>
      <w:numFmt w:val="lowerRoman"/>
      <w:lvlText w:val="(%1)"/>
      <w:lvlJc w:val="left"/>
      <w:pPr>
        <w:ind w:left="720" w:hanging="360"/>
      </w:pPr>
      <w:rPr>
        <w:rFonts w:ascii="Palatino Linotype" w:eastAsiaTheme="minorHAnsi" w:hAnsi="Palatino Linotype" w:cs="P’¬'BBò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79829">
    <w:abstractNumId w:val="1"/>
  </w:num>
  <w:num w:numId="2" w16cid:durableId="938217535">
    <w:abstractNumId w:val="3"/>
  </w:num>
  <w:num w:numId="3" w16cid:durableId="1190920576">
    <w:abstractNumId w:val="0"/>
  </w:num>
  <w:num w:numId="4" w16cid:durableId="44716113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AC"/>
    <w:rsid w:val="00004E4B"/>
    <w:rsid w:val="00011CE9"/>
    <w:rsid w:val="00013D78"/>
    <w:rsid w:val="00014691"/>
    <w:rsid w:val="00017E3C"/>
    <w:rsid w:val="00020C34"/>
    <w:rsid w:val="00031DCA"/>
    <w:rsid w:val="0003255A"/>
    <w:rsid w:val="000356A5"/>
    <w:rsid w:val="00041161"/>
    <w:rsid w:val="00045820"/>
    <w:rsid w:val="000501CC"/>
    <w:rsid w:val="00063A0F"/>
    <w:rsid w:val="0006588C"/>
    <w:rsid w:val="00073186"/>
    <w:rsid w:val="000740F3"/>
    <w:rsid w:val="000747A8"/>
    <w:rsid w:val="00076687"/>
    <w:rsid w:val="00077981"/>
    <w:rsid w:val="00083478"/>
    <w:rsid w:val="00086B86"/>
    <w:rsid w:val="000B0E56"/>
    <w:rsid w:val="000C13F4"/>
    <w:rsid w:val="000D02DE"/>
    <w:rsid w:val="000D60B6"/>
    <w:rsid w:val="000E01E7"/>
    <w:rsid w:val="000E0A7F"/>
    <w:rsid w:val="000E0F2E"/>
    <w:rsid w:val="000E1AE4"/>
    <w:rsid w:val="000F1122"/>
    <w:rsid w:val="000F4570"/>
    <w:rsid w:val="001003B1"/>
    <w:rsid w:val="00117808"/>
    <w:rsid w:val="001211A9"/>
    <w:rsid w:val="0012163D"/>
    <w:rsid w:val="0013184B"/>
    <w:rsid w:val="00133043"/>
    <w:rsid w:val="00133D20"/>
    <w:rsid w:val="00137EEB"/>
    <w:rsid w:val="001419E9"/>
    <w:rsid w:val="00143CCF"/>
    <w:rsid w:val="00147EAE"/>
    <w:rsid w:val="0016244B"/>
    <w:rsid w:val="00163030"/>
    <w:rsid w:val="0016354C"/>
    <w:rsid w:val="0016558D"/>
    <w:rsid w:val="00165C42"/>
    <w:rsid w:val="00166BEA"/>
    <w:rsid w:val="00177A3F"/>
    <w:rsid w:val="00186C8C"/>
    <w:rsid w:val="00195AE0"/>
    <w:rsid w:val="001A1648"/>
    <w:rsid w:val="001A22F1"/>
    <w:rsid w:val="001A6F5F"/>
    <w:rsid w:val="001B0758"/>
    <w:rsid w:val="001C1E7B"/>
    <w:rsid w:val="001C509A"/>
    <w:rsid w:val="001C6082"/>
    <w:rsid w:val="001C7127"/>
    <w:rsid w:val="001D1548"/>
    <w:rsid w:val="001E4269"/>
    <w:rsid w:val="001E6D13"/>
    <w:rsid w:val="00213F21"/>
    <w:rsid w:val="00217EEA"/>
    <w:rsid w:val="00223EFD"/>
    <w:rsid w:val="00231EBD"/>
    <w:rsid w:val="00233090"/>
    <w:rsid w:val="002346B3"/>
    <w:rsid w:val="00234B93"/>
    <w:rsid w:val="0023719D"/>
    <w:rsid w:val="00244095"/>
    <w:rsid w:val="0024524C"/>
    <w:rsid w:val="00252099"/>
    <w:rsid w:val="002528AC"/>
    <w:rsid w:val="00266220"/>
    <w:rsid w:val="00274760"/>
    <w:rsid w:val="00284B29"/>
    <w:rsid w:val="0028579A"/>
    <w:rsid w:val="002860C2"/>
    <w:rsid w:val="002951E7"/>
    <w:rsid w:val="002A33D8"/>
    <w:rsid w:val="002A5966"/>
    <w:rsid w:val="002B0EB9"/>
    <w:rsid w:val="002B231D"/>
    <w:rsid w:val="002B3C4D"/>
    <w:rsid w:val="002C07E7"/>
    <w:rsid w:val="002C5727"/>
    <w:rsid w:val="002D39E6"/>
    <w:rsid w:val="002D60A0"/>
    <w:rsid w:val="002D7BFF"/>
    <w:rsid w:val="002E2116"/>
    <w:rsid w:val="002F1F19"/>
    <w:rsid w:val="002F217F"/>
    <w:rsid w:val="002F5984"/>
    <w:rsid w:val="002F7C3B"/>
    <w:rsid w:val="003039E8"/>
    <w:rsid w:val="003045A5"/>
    <w:rsid w:val="00306711"/>
    <w:rsid w:val="00307A87"/>
    <w:rsid w:val="00312E8B"/>
    <w:rsid w:val="00315F1A"/>
    <w:rsid w:val="00317086"/>
    <w:rsid w:val="0032031A"/>
    <w:rsid w:val="00321597"/>
    <w:rsid w:val="003220CA"/>
    <w:rsid w:val="00323429"/>
    <w:rsid w:val="003248AA"/>
    <w:rsid w:val="00325A87"/>
    <w:rsid w:val="00327B47"/>
    <w:rsid w:val="0033228B"/>
    <w:rsid w:val="00344266"/>
    <w:rsid w:val="00346216"/>
    <w:rsid w:val="00347194"/>
    <w:rsid w:val="00350ACC"/>
    <w:rsid w:val="00352F84"/>
    <w:rsid w:val="00356B89"/>
    <w:rsid w:val="003623B9"/>
    <w:rsid w:val="0036339B"/>
    <w:rsid w:val="00363D13"/>
    <w:rsid w:val="00374C2B"/>
    <w:rsid w:val="003817AD"/>
    <w:rsid w:val="00384383"/>
    <w:rsid w:val="00385528"/>
    <w:rsid w:val="0039607B"/>
    <w:rsid w:val="003B3933"/>
    <w:rsid w:val="003C1185"/>
    <w:rsid w:val="003C136F"/>
    <w:rsid w:val="003C4FD9"/>
    <w:rsid w:val="003C6D0A"/>
    <w:rsid w:val="003C7116"/>
    <w:rsid w:val="003D40C0"/>
    <w:rsid w:val="003E06D1"/>
    <w:rsid w:val="003E1A76"/>
    <w:rsid w:val="003F14B8"/>
    <w:rsid w:val="003F204D"/>
    <w:rsid w:val="003F58FD"/>
    <w:rsid w:val="004018DA"/>
    <w:rsid w:val="00403E12"/>
    <w:rsid w:val="0040467B"/>
    <w:rsid w:val="00405E9B"/>
    <w:rsid w:val="00414E69"/>
    <w:rsid w:val="00421D8E"/>
    <w:rsid w:val="00427895"/>
    <w:rsid w:val="00432DB0"/>
    <w:rsid w:val="00440C96"/>
    <w:rsid w:val="004428FA"/>
    <w:rsid w:val="00442C76"/>
    <w:rsid w:val="00446C69"/>
    <w:rsid w:val="00451628"/>
    <w:rsid w:val="004536C9"/>
    <w:rsid w:val="00460E2D"/>
    <w:rsid w:val="00464573"/>
    <w:rsid w:val="00465030"/>
    <w:rsid w:val="00466D98"/>
    <w:rsid w:val="00482145"/>
    <w:rsid w:val="00487272"/>
    <w:rsid w:val="00492ACD"/>
    <w:rsid w:val="004939E6"/>
    <w:rsid w:val="00493BEF"/>
    <w:rsid w:val="004A34BD"/>
    <w:rsid w:val="004A692C"/>
    <w:rsid w:val="004B2040"/>
    <w:rsid w:val="004C36B4"/>
    <w:rsid w:val="004C37D1"/>
    <w:rsid w:val="004C4412"/>
    <w:rsid w:val="004C46D8"/>
    <w:rsid w:val="004C6687"/>
    <w:rsid w:val="004D0E92"/>
    <w:rsid w:val="004D1E31"/>
    <w:rsid w:val="004D3269"/>
    <w:rsid w:val="004D3A7C"/>
    <w:rsid w:val="004D3D0B"/>
    <w:rsid w:val="004E44A2"/>
    <w:rsid w:val="004F269A"/>
    <w:rsid w:val="004F3E31"/>
    <w:rsid w:val="004F6E5F"/>
    <w:rsid w:val="00505828"/>
    <w:rsid w:val="00525E28"/>
    <w:rsid w:val="005271EF"/>
    <w:rsid w:val="005276BB"/>
    <w:rsid w:val="005346FC"/>
    <w:rsid w:val="005358C3"/>
    <w:rsid w:val="005464AF"/>
    <w:rsid w:val="00547E42"/>
    <w:rsid w:val="00552587"/>
    <w:rsid w:val="00556E1F"/>
    <w:rsid w:val="00563109"/>
    <w:rsid w:val="005661AF"/>
    <w:rsid w:val="0057464E"/>
    <w:rsid w:val="005755A1"/>
    <w:rsid w:val="005866FC"/>
    <w:rsid w:val="00586B0B"/>
    <w:rsid w:val="005974DB"/>
    <w:rsid w:val="00597C2D"/>
    <w:rsid w:val="005A3523"/>
    <w:rsid w:val="005A72AB"/>
    <w:rsid w:val="005B0560"/>
    <w:rsid w:val="005B4A7D"/>
    <w:rsid w:val="005C4B2F"/>
    <w:rsid w:val="005C51C3"/>
    <w:rsid w:val="005D28EE"/>
    <w:rsid w:val="005D5441"/>
    <w:rsid w:val="005F0C1C"/>
    <w:rsid w:val="005F1158"/>
    <w:rsid w:val="005F3F65"/>
    <w:rsid w:val="005F72BB"/>
    <w:rsid w:val="00610439"/>
    <w:rsid w:val="0061129E"/>
    <w:rsid w:val="00621EE7"/>
    <w:rsid w:val="0062593A"/>
    <w:rsid w:val="00625B1B"/>
    <w:rsid w:val="00625FA4"/>
    <w:rsid w:val="0062694A"/>
    <w:rsid w:val="00626E66"/>
    <w:rsid w:val="0063096C"/>
    <w:rsid w:val="00632AD4"/>
    <w:rsid w:val="00635E2A"/>
    <w:rsid w:val="0063678C"/>
    <w:rsid w:val="006412D9"/>
    <w:rsid w:val="006524F7"/>
    <w:rsid w:val="00653FBF"/>
    <w:rsid w:val="00667486"/>
    <w:rsid w:val="0067138E"/>
    <w:rsid w:val="006724B0"/>
    <w:rsid w:val="00675E12"/>
    <w:rsid w:val="0067632A"/>
    <w:rsid w:val="00692688"/>
    <w:rsid w:val="006B073E"/>
    <w:rsid w:val="006B0B33"/>
    <w:rsid w:val="006B207A"/>
    <w:rsid w:val="006B43ED"/>
    <w:rsid w:val="006C07D8"/>
    <w:rsid w:val="006C0DD4"/>
    <w:rsid w:val="006C32ED"/>
    <w:rsid w:val="006C6B8C"/>
    <w:rsid w:val="006D1905"/>
    <w:rsid w:val="006D64EE"/>
    <w:rsid w:val="006E1C24"/>
    <w:rsid w:val="006E364D"/>
    <w:rsid w:val="006F14EB"/>
    <w:rsid w:val="006F1FA8"/>
    <w:rsid w:val="006F489D"/>
    <w:rsid w:val="006F4ACA"/>
    <w:rsid w:val="007030F4"/>
    <w:rsid w:val="00710E87"/>
    <w:rsid w:val="00716EFD"/>
    <w:rsid w:val="00721B2C"/>
    <w:rsid w:val="007232C1"/>
    <w:rsid w:val="007241E8"/>
    <w:rsid w:val="00725EFA"/>
    <w:rsid w:val="00732CA8"/>
    <w:rsid w:val="0073426B"/>
    <w:rsid w:val="0073508A"/>
    <w:rsid w:val="007413E1"/>
    <w:rsid w:val="00743B92"/>
    <w:rsid w:val="007441D4"/>
    <w:rsid w:val="007531E3"/>
    <w:rsid w:val="00756D3B"/>
    <w:rsid w:val="007578B4"/>
    <w:rsid w:val="00765DB1"/>
    <w:rsid w:val="00766618"/>
    <w:rsid w:val="00767E0A"/>
    <w:rsid w:val="00771AEF"/>
    <w:rsid w:val="00772E0A"/>
    <w:rsid w:val="0079198F"/>
    <w:rsid w:val="00795138"/>
    <w:rsid w:val="00795CA4"/>
    <w:rsid w:val="00796DC5"/>
    <w:rsid w:val="007A2FE0"/>
    <w:rsid w:val="007A3810"/>
    <w:rsid w:val="007B7502"/>
    <w:rsid w:val="007C3C39"/>
    <w:rsid w:val="007C4572"/>
    <w:rsid w:val="007C7C1E"/>
    <w:rsid w:val="007E060E"/>
    <w:rsid w:val="007E0F54"/>
    <w:rsid w:val="007E1CC4"/>
    <w:rsid w:val="007E235A"/>
    <w:rsid w:val="007E5C27"/>
    <w:rsid w:val="007E6040"/>
    <w:rsid w:val="007F3E74"/>
    <w:rsid w:val="007F4812"/>
    <w:rsid w:val="007F6237"/>
    <w:rsid w:val="007F708D"/>
    <w:rsid w:val="0080442C"/>
    <w:rsid w:val="00805803"/>
    <w:rsid w:val="00817252"/>
    <w:rsid w:val="00820252"/>
    <w:rsid w:val="0082195D"/>
    <w:rsid w:val="00823C7D"/>
    <w:rsid w:val="0083355A"/>
    <w:rsid w:val="008337E4"/>
    <w:rsid w:val="00835072"/>
    <w:rsid w:val="008359E7"/>
    <w:rsid w:val="00843741"/>
    <w:rsid w:val="0084639D"/>
    <w:rsid w:val="0084674D"/>
    <w:rsid w:val="00851A84"/>
    <w:rsid w:val="00855585"/>
    <w:rsid w:val="00857519"/>
    <w:rsid w:val="0086025B"/>
    <w:rsid w:val="00860DF5"/>
    <w:rsid w:val="00862F3B"/>
    <w:rsid w:val="00867BC3"/>
    <w:rsid w:val="00871CBD"/>
    <w:rsid w:val="008867CB"/>
    <w:rsid w:val="008904C5"/>
    <w:rsid w:val="00890E19"/>
    <w:rsid w:val="00896811"/>
    <w:rsid w:val="008A376E"/>
    <w:rsid w:val="008A3E44"/>
    <w:rsid w:val="008A45DA"/>
    <w:rsid w:val="008A7956"/>
    <w:rsid w:val="008B0D1D"/>
    <w:rsid w:val="008B3B4E"/>
    <w:rsid w:val="008B4C80"/>
    <w:rsid w:val="008B5238"/>
    <w:rsid w:val="008C0C7E"/>
    <w:rsid w:val="008D3C3A"/>
    <w:rsid w:val="008F48B1"/>
    <w:rsid w:val="008F5B2D"/>
    <w:rsid w:val="008F5E60"/>
    <w:rsid w:val="00901C3C"/>
    <w:rsid w:val="00912AAA"/>
    <w:rsid w:val="00917906"/>
    <w:rsid w:val="00932B1A"/>
    <w:rsid w:val="00933705"/>
    <w:rsid w:val="009373E7"/>
    <w:rsid w:val="00944D23"/>
    <w:rsid w:val="0095192F"/>
    <w:rsid w:val="00956DAA"/>
    <w:rsid w:val="009575AA"/>
    <w:rsid w:val="00963530"/>
    <w:rsid w:val="009720A3"/>
    <w:rsid w:val="00977984"/>
    <w:rsid w:val="009803E1"/>
    <w:rsid w:val="00983EF9"/>
    <w:rsid w:val="00985343"/>
    <w:rsid w:val="00990AC6"/>
    <w:rsid w:val="009928ED"/>
    <w:rsid w:val="009A0EDC"/>
    <w:rsid w:val="009A195C"/>
    <w:rsid w:val="009A75DB"/>
    <w:rsid w:val="009A76B9"/>
    <w:rsid w:val="009B0C94"/>
    <w:rsid w:val="009B0EBC"/>
    <w:rsid w:val="009B50A5"/>
    <w:rsid w:val="009C187A"/>
    <w:rsid w:val="009D64F8"/>
    <w:rsid w:val="009D71C0"/>
    <w:rsid w:val="009E0148"/>
    <w:rsid w:val="009E5CBD"/>
    <w:rsid w:val="009E7960"/>
    <w:rsid w:val="009F365C"/>
    <w:rsid w:val="00A05FCC"/>
    <w:rsid w:val="00A116D3"/>
    <w:rsid w:val="00A11729"/>
    <w:rsid w:val="00A251D0"/>
    <w:rsid w:val="00A32386"/>
    <w:rsid w:val="00A341A8"/>
    <w:rsid w:val="00A36848"/>
    <w:rsid w:val="00A401E2"/>
    <w:rsid w:val="00A46B7F"/>
    <w:rsid w:val="00A6282E"/>
    <w:rsid w:val="00A66B2A"/>
    <w:rsid w:val="00A66EC9"/>
    <w:rsid w:val="00A7030C"/>
    <w:rsid w:val="00A731F9"/>
    <w:rsid w:val="00A73A5A"/>
    <w:rsid w:val="00A74119"/>
    <w:rsid w:val="00A747E8"/>
    <w:rsid w:val="00A811E2"/>
    <w:rsid w:val="00A86151"/>
    <w:rsid w:val="00A872C2"/>
    <w:rsid w:val="00A91191"/>
    <w:rsid w:val="00A92876"/>
    <w:rsid w:val="00A93316"/>
    <w:rsid w:val="00A948F2"/>
    <w:rsid w:val="00AA2414"/>
    <w:rsid w:val="00AA64B7"/>
    <w:rsid w:val="00AA68F3"/>
    <w:rsid w:val="00AB0ED5"/>
    <w:rsid w:val="00AB2C9B"/>
    <w:rsid w:val="00AC17BA"/>
    <w:rsid w:val="00AC301E"/>
    <w:rsid w:val="00AC3F97"/>
    <w:rsid w:val="00AC533C"/>
    <w:rsid w:val="00AD1ED6"/>
    <w:rsid w:val="00AD66F4"/>
    <w:rsid w:val="00AD7E24"/>
    <w:rsid w:val="00AE2B40"/>
    <w:rsid w:val="00AE47F2"/>
    <w:rsid w:val="00AF4CA2"/>
    <w:rsid w:val="00AF533C"/>
    <w:rsid w:val="00AF7D84"/>
    <w:rsid w:val="00B0621C"/>
    <w:rsid w:val="00B1062A"/>
    <w:rsid w:val="00B10A29"/>
    <w:rsid w:val="00B33E7C"/>
    <w:rsid w:val="00B409A4"/>
    <w:rsid w:val="00B50282"/>
    <w:rsid w:val="00B504C4"/>
    <w:rsid w:val="00B533EF"/>
    <w:rsid w:val="00B560C9"/>
    <w:rsid w:val="00B62B78"/>
    <w:rsid w:val="00B62EA2"/>
    <w:rsid w:val="00B6684D"/>
    <w:rsid w:val="00B74E08"/>
    <w:rsid w:val="00B76A9E"/>
    <w:rsid w:val="00B80E50"/>
    <w:rsid w:val="00B85710"/>
    <w:rsid w:val="00B85830"/>
    <w:rsid w:val="00B879C7"/>
    <w:rsid w:val="00B91D19"/>
    <w:rsid w:val="00B95466"/>
    <w:rsid w:val="00B96990"/>
    <w:rsid w:val="00BB1ECF"/>
    <w:rsid w:val="00BB2468"/>
    <w:rsid w:val="00BB29FE"/>
    <w:rsid w:val="00BB53F3"/>
    <w:rsid w:val="00BC7544"/>
    <w:rsid w:val="00BD24DB"/>
    <w:rsid w:val="00BD2761"/>
    <w:rsid w:val="00BE003B"/>
    <w:rsid w:val="00BF04A5"/>
    <w:rsid w:val="00BF6743"/>
    <w:rsid w:val="00C0044E"/>
    <w:rsid w:val="00C00626"/>
    <w:rsid w:val="00C12AE4"/>
    <w:rsid w:val="00C153CC"/>
    <w:rsid w:val="00C1577B"/>
    <w:rsid w:val="00C16D1E"/>
    <w:rsid w:val="00C23684"/>
    <w:rsid w:val="00C2510F"/>
    <w:rsid w:val="00C31B0A"/>
    <w:rsid w:val="00C33F1C"/>
    <w:rsid w:val="00C448D1"/>
    <w:rsid w:val="00C450F8"/>
    <w:rsid w:val="00C54AB7"/>
    <w:rsid w:val="00C56880"/>
    <w:rsid w:val="00C70B80"/>
    <w:rsid w:val="00C73297"/>
    <w:rsid w:val="00C75FD5"/>
    <w:rsid w:val="00C77084"/>
    <w:rsid w:val="00C813DB"/>
    <w:rsid w:val="00C866CF"/>
    <w:rsid w:val="00CA31FF"/>
    <w:rsid w:val="00CB3393"/>
    <w:rsid w:val="00CB68DB"/>
    <w:rsid w:val="00CB6D0B"/>
    <w:rsid w:val="00CC2934"/>
    <w:rsid w:val="00CD29BC"/>
    <w:rsid w:val="00CD4F55"/>
    <w:rsid w:val="00CD58B6"/>
    <w:rsid w:val="00CD7C76"/>
    <w:rsid w:val="00CF205A"/>
    <w:rsid w:val="00D032CD"/>
    <w:rsid w:val="00D052A9"/>
    <w:rsid w:val="00D108F1"/>
    <w:rsid w:val="00D13ED1"/>
    <w:rsid w:val="00D13EE2"/>
    <w:rsid w:val="00D142A3"/>
    <w:rsid w:val="00D16A79"/>
    <w:rsid w:val="00D206F4"/>
    <w:rsid w:val="00D25178"/>
    <w:rsid w:val="00D262D8"/>
    <w:rsid w:val="00D2698B"/>
    <w:rsid w:val="00D26A47"/>
    <w:rsid w:val="00D3679B"/>
    <w:rsid w:val="00D412ED"/>
    <w:rsid w:val="00D50C00"/>
    <w:rsid w:val="00D526EC"/>
    <w:rsid w:val="00D5285F"/>
    <w:rsid w:val="00D54276"/>
    <w:rsid w:val="00D60355"/>
    <w:rsid w:val="00D63BC3"/>
    <w:rsid w:val="00D71A99"/>
    <w:rsid w:val="00D85C81"/>
    <w:rsid w:val="00D871BD"/>
    <w:rsid w:val="00D91105"/>
    <w:rsid w:val="00D9216C"/>
    <w:rsid w:val="00D9399B"/>
    <w:rsid w:val="00DA13D1"/>
    <w:rsid w:val="00DA1B6E"/>
    <w:rsid w:val="00DB4708"/>
    <w:rsid w:val="00DC19FA"/>
    <w:rsid w:val="00DC2349"/>
    <w:rsid w:val="00DC2688"/>
    <w:rsid w:val="00DC33C1"/>
    <w:rsid w:val="00DD55D3"/>
    <w:rsid w:val="00DE4CA0"/>
    <w:rsid w:val="00DF1EF8"/>
    <w:rsid w:val="00DF427F"/>
    <w:rsid w:val="00E0425C"/>
    <w:rsid w:val="00E044DE"/>
    <w:rsid w:val="00E045EB"/>
    <w:rsid w:val="00E06631"/>
    <w:rsid w:val="00E10510"/>
    <w:rsid w:val="00E21005"/>
    <w:rsid w:val="00E273AD"/>
    <w:rsid w:val="00E30CC5"/>
    <w:rsid w:val="00E30DCC"/>
    <w:rsid w:val="00E3409B"/>
    <w:rsid w:val="00E35391"/>
    <w:rsid w:val="00E37FA1"/>
    <w:rsid w:val="00E40328"/>
    <w:rsid w:val="00E42AB8"/>
    <w:rsid w:val="00E46C89"/>
    <w:rsid w:val="00E46CB6"/>
    <w:rsid w:val="00E46CEA"/>
    <w:rsid w:val="00E50E64"/>
    <w:rsid w:val="00E518CA"/>
    <w:rsid w:val="00E65768"/>
    <w:rsid w:val="00E679F4"/>
    <w:rsid w:val="00E83D1C"/>
    <w:rsid w:val="00E86033"/>
    <w:rsid w:val="00E91193"/>
    <w:rsid w:val="00E91FA1"/>
    <w:rsid w:val="00E944B9"/>
    <w:rsid w:val="00E95EB8"/>
    <w:rsid w:val="00EB08D7"/>
    <w:rsid w:val="00EB0B73"/>
    <w:rsid w:val="00EB0FC8"/>
    <w:rsid w:val="00EB6F27"/>
    <w:rsid w:val="00EB7CDF"/>
    <w:rsid w:val="00EC2C6A"/>
    <w:rsid w:val="00EC3978"/>
    <w:rsid w:val="00ED463C"/>
    <w:rsid w:val="00ED4819"/>
    <w:rsid w:val="00ED5415"/>
    <w:rsid w:val="00ED76EF"/>
    <w:rsid w:val="00EF504A"/>
    <w:rsid w:val="00EF5134"/>
    <w:rsid w:val="00EF5804"/>
    <w:rsid w:val="00EF6492"/>
    <w:rsid w:val="00EF73A8"/>
    <w:rsid w:val="00F02CA1"/>
    <w:rsid w:val="00F11C86"/>
    <w:rsid w:val="00F14B90"/>
    <w:rsid w:val="00F17796"/>
    <w:rsid w:val="00F21136"/>
    <w:rsid w:val="00F23D84"/>
    <w:rsid w:val="00F2714E"/>
    <w:rsid w:val="00F365AF"/>
    <w:rsid w:val="00F41866"/>
    <w:rsid w:val="00F43C41"/>
    <w:rsid w:val="00F43D6C"/>
    <w:rsid w:val="00F46001"/>
    <w:rsid w:val="00F46E0C"/>
    <w:rsid w:val="00F54300"/>
    <w:rsid w:val="00F550ED"/>
    <w:rsid w:val="00F60F22"/>
    <w:rsid w:val="00F71C8E"/>
    <w:rsid w:val="00F76F69"/>
    <w:rsid w:val="00F84EC2"/>
    <w:rsid w:val="00F92250"/>
    <w:rsid w:val="00F948E5"/>
    <w:rsid w:val="00F94998"/>
    <w:rsid w:val="00F94E3E"/>
    <w:rsid w:val="00FA4F56"/>
    <w:rsid w:val="00FB63D2"/>
    <w:rsid w:val="00FC4852"/>
    <w:rsid w:val="00FD515D"/>
    <w:rsid w:val="00FD5DB1"/>
    <w:rsid w:val="00FD7B6E"/>
    <w:rsid w:val="00FE0182"/>
    <w:rsid w:val="00FE5711"/>
    <w:rsid w:val="00FF022C"/>
    <w:rsid w:val="00FF1DA9"/>
    <w:rsid w:val="00FF3CCE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C5BDE9A"/>
  <w15:chartTrackingRefBased/>
  <w15:docId w15:val="{C6AAA5A9-5DB8-4A85-BAB7-1534F708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A84"/>
    <w:pPr>
      <w:widowControl w:val="0"/>
      <w:autoSpaceDE w:val="0"/>
      <w:autoSpaceDN w:val="0"/>
      <w:ind w:left="651" w:hanging="541"/>
      <w:outlineLvl w:val="0"/>
    </w:pPr>
    <w:rPr>
      <w:rFonts w:ascii="Palatino" w:eastAsia="Palatino" w:hAnsi="Palatino" w:cs="Palatino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161"/>
  </w:style>
  <w:style w:type="paragraph" w:styleId="Footer">
    <w:name w:val="footer"/>
    <w:basedOn w:val="Normal"/>
    <w:link w:val="FooterChar"/>
    <w:uiPriority w:val="99"/>
    <w:unhideWhenUsed/>
    <w:rsid w:val="00041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161"/>
  </w:style>
  <w:style w:type="character" w:styleId="PageNumber">
    <w:name w:val="page number"/>
    <w:basedOn w:val="DefaultParagraphFont"/>
    <w:uiPriority w:val="99"/>
    <w:semiHidden/>
    <w:unhideWhenUsed/>
    <w:rsid w:val="008904C5"/>
  </w:style>
  <w:style w:type="character" w:styleId="Hyperlink">
    <w:name w:val="Hyperlink"/>
    <w:basedOn w:val="DefaultParagraphFont"/>
    <w:uiPriority w:val="99"/>
    <w:unhideWhenUsed/>
    <w:rsid w:val="00177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A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1A84"/>
    <w:rPr>
      <w:rFonts w:ascii="Palatino" w:eastAsia="Palatino" w:hAnsi="Palatino" w:cs="Palatino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51A84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51A84"/>
    <w:rPr>
      <w:rFonts w:ascii="Palatino" w:eastAsia="Palatino" w:hAnsi="Palatino" w:cs="Palatino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851A84"/>
    <w:pPr>
      <w:widowControl w:val="0"/>
      <w:autoSpaceDE w:val="0"/>
      <w:autoSpaceDN w:val="0"/>
      <w:ind w:left="111"/>
    </w:pPr>
    <w:rPr>
      <w:rFonts w:ascii="Palatino" w:eastAsia="Palatino" w:hAnsi="Palatino" w:cs="Palatin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1A84"/>
    <w:rPr>
      <w:rFonts w:ascii="Palatino" w:eastAsia="Palatino" w:hAnsi="Palatino" w:cs="Palatino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51A84"/>
    <w:pPr>
      <w:widowControl w:val="0"/>
      <w:autoSpaceDE w:val="0"/>
      <w:autoSpaceDN w:val="0"/>
      <w:ind w:left="651" w:hanging="541"/>
    </w:pPr>
    <w:rPr>
      <w:rFonts w:ascii="Palatino" w:eastAsia="Palatino" w:hAnsi="Palatino" w:cs="Palatino"/>
      <w:sz w:val="22"/>
      <w:szCs w:val="22"/>
    </w:rPr>
  </w:style>
  <w:style w:type="paragraph" w:styleId="NormalWeb">
    <w:name w:val="Normal (Web)"/>
    <w:basedOn w:val="Normal"/>
    <w:uiPriority w:val="99"/>
    <w:unhideWhenUsed/>
    <w:rsid w:val="00851A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6259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593A"/>
    <w:rPr>
      <w:sz w:val="16"/>
      <w:szCs w:val="16"/>
    </w:rPr>
  </w:style>
  <w:style w:type="paragraph" w:customStyle="1" w:styleId="Default">
    <w:name w:val="Default"/>
    <w:rsid w:val="00DA13D1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customStyle="1" w:styleId="CoverDocument">
    <w:name w:val="Cover Document"/>
    <w:basedOn w:val="Normal"/>
    <w:next w:val="CoverTitle"/>
    <w:semiHidden/>
    <w:qFormat/>
    <w:rsid w:val="005D5441"/>
    <w:pPr>
      <w:spacing w:after="800" w:line="320" w:lineRule="exact"/>
    </w:pPr>
    <w:rPr>
      <w:rFonts w:ascii="Trebuchet MS" w:eastAsia="Cambria" w:hAnsi="Trebuchet MS" w:cs="Times New Roman"/>
      <w:i/>
      <w:color w:val="7F7F7F"/>
      <w:sz w:val="18"/>
      <w:szCs w:val="20"/>
      <w:lang w:val="en-GB" w:eastAsia="ro-RO"/>
    </w:rPr>
  </w:style>
  <w:style w:type="paragraph" w:customStyle="1" w:styleId="CoverTitle">
    <w:name w:val="Cover Title"/>
    <w:basedOn w:val="Title"/>
    <w:next w:val="CoverSubtitle"/>
    <w:rsid w:val="005D5441"/>
    <w:pPr>
      <w:keepNext/>
      <w:widowControl/>
      <w:autoSpaceDE/>
      <w:autoSpaceDN/>
      <w:spacing w:before="880" w:after="240" w:line="880" w:lineRule="exact"/>
      <w:ind w:left="0" w:right="1134"/>
      <w:contextualSpacing/>
    </w:pPr>
    <w:rPr>
      <w:rFonts w:ascii="Trebuchet MS" w:eastAsia="Cambria" w:hAnsi="Trebuchet MS" w:cs="Times New Roman"/>
      <w:bCs w:val="0"/>
      <w:caps/>
      <w:color w:val="E3001B"/>
      <w:sz w:val="72"/>
      <w:szCs w:val="28"/>
      <w:lang w:val="en-GB" w:eastAsia="ro-RO"/>
    </w:rPr>
  </w:style>
  <w:style w:type="paragraph" w:customStyle="1" w:styleId="CoverSubtitle">
    <w:name w:val="Cover Subtitle"/>
    <w:basedOn w:val="Subtitle"/>
    <w:next w:val="Normal"/>
    <w:rsid w:val="005D5441"/>
    <w:pPr>
      <w:keepNext/>
      <w:numPr>
        <w:ilvl w:val="0"/>
      </w:numPr>
      <w:spacing w:before="480" w:after="320" w:line="360" w:lineRule="auto"/>
      <w:ind w:right="2835"/>
    </w:pPr>
    <w:rPr>
      <w:rFonts w:ascii="Trebuchet MS" w:eastAsia="Cambria" w:hAnsi="Trebuchet MS" w:cs="Times New Roman"/>
      <w:b/>
      <w:color w:val="auto"/>
      <w:spacing w:val="0"/>
      <w:sz w:val="32"/>
      <w:szCs w:val="24"/>
      <w:lang w:val="en-GB" w:eastAsia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44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5441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4CBAE71F8F84D945398C5FF4BDEFD" ma:contentTypeVersion="13" ma:contentTypeDescription="Create a new document." ma:contentTypeScope="" ma:versionID="a8f1200a8f18c98c3989e0782d4dcffd">
  <xsd:schema xmlns:xsd="http://www.w3.org/2001/XMLSchema" xmlns:xs="http://www.w3.org/2001/XMLSchema" xmlns:p="http://schemas.microsoft.com/office/2006/metadata/properties" xmlns:ns2="38ab8e9f-32e5-4826-bea3-40c81feb40b9" xmlns:ns3="9cd4e6bd-95e6-4d37-9afc-e5617321fd04" targetNamespace="http://schemas.microsoft.com/office/2006/metadata/properties" ma:root="true" ma:fieldsID="3b34e09266f43f3ba1d8607ee1ed70af" ns2:_="" ns3:_="">
    <xsd:import namespace="38ab8e9f-32e5-4826-bea3-40c81feb40b9"/>
    <xsd:import namespace="9cd4e6bd-95e6-4d37-9afc-e5617321f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b8e9f-32e5-4826-bea3-40c81feb4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554d1d-8483-4628-af05-241805b6a4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4e6bd-95e6-4d37-9afc-e5617321fd0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3b35541-22bc-49a4-a442-487ec41f8eb7}" ma:internalName="TaxCatchAll" ma:showField="CatchAllData" ma:web="9cd4e6bd-95e6-4d37-9afc-e5617321fd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d4e6bd-95e6-4d37-9afc-e5617321fd04" xsi:nil="true"/>
    <lcf76f155ced4ddcb4097134ff3c332f xmlns="38ab8e9f-32e5-4826-bea3-40c81feb40b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21C0-5A60-4B8B-AA05-A2BC1130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b8e9f-32e5-4826-bea3-40c81feb40b9"/>
    <ds:schemaRef ds:uri="9cd4e6bd-95e6-4d37-9afc-e5617321f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001AA-A67F-4AD3-9F49-4B47756BD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9D88D-90BD-4FA7-B7D6-8C28340AC250}">
  <ds:schemaRefs>
    <ds:schemaRef ds:uri="http://schemas.microsoft.com/office/2006/metadata/properties"/>
    <ds:schemaRef ds:uri="http://schemas.microsoft.com/office/infopath/2007/PartnerControls"/>
    <ds:schemaRef ds:uri="9cd4e6bd-95e6-4d37-9afc-e5617321fd04"/>
    <ds:schemaRef ds:uri="38ab8e9f-32e5-4826-bea3-40c81feb40b9"/>
  </ds:schemaRefs>
</ds:datastoreItem>
</file>

<file path=customXml/itemProps4.xml><?xml version="1.0" encoding="utf-8"?>
<ds:datastoreItem xmlns:ds="http://schemas.openxmlformats.org/officeDocument/2006/customXml" ds:itemID="{B893712C-C3B8-4E1D-B6C9-68BAF540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1710</Words>
  <Characters>9752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 Nyerges</dc:creator>
  <cp:keywords/>
  <dc:description/>
  <cp:lastModifiedBy>Nyerges&amp;Partners</cp:lastModifiedBy>
  <cp:revision>35</cp:revision>
  <cp:lastPrinted>2023-03-07T02:30:00Z</cp:lastPrinted>
  <dcterms:created xsi:type="dcterms:W3CDTF">2024-02-12T00:30:00Z</dcterms:created>
  <dcterms:modified xsi:type="dcterms:W3CDTF">2024-02-12T01:17:00Z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0x0101008454CBAE71F8F84D945398C5FF4BDEFD</vt:lpwstr>
  </property>
  <property fmtid="{D5CDD505-2E9C-101B-9397-08002B2CF9AE}" pid="3" name="_dlc_DocIdItemGuid">
    <vt:lpwstr>aaa472a0-94d4-4c9f-bef4-d386b50b86ea</vt:lpwstr>
  </property>
  <property fmtid="{D5CDD505-2E9C-101B-9397-08002B2CF9AE}" pid="4" name="MediaServiceImageTags">
    <vt:lpwstr/>
  </property>
</Properties>
</file>