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E96A" w14:textId="10C1C96C" w:rsidR="007E5765" w:rsidRPr="00011A8C" w:rsidRDefault="00F07F48" w:rsidP="003A6FFF">
      <w:pPr>
        <w:suppressAutoHyphens/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011A8C">
        <w:rPr>
          <w:rFonts w:cstheme="minorHAnsi"/>
          <w:b/>
          <w:bCs/>
          <w:sz w:val="24"/>
          <w:szCs w:val="24"/>
        </w:rPr>
        <w:t>Masuri fiscale importante adoptate pentru reducerea deficitului bugetar</w:t>
      </w:r>
    </w:p>
    <w:p w14:paraId="60CAE5EE" w14:textId="77777777" w:rsidR="007E5765" w:rsidRPr="00011A8C" w:rsidRDefault="007E5765" w:rsidP="003A6FFF">
      <w:pPr>
        <w:suppressAutoHyphens/>
        <w:spacing w:before="120" w:after="120" w:line="360" w:lineRule="auto"/>
        <w:rPr>
          <w:rFonts w:cstheme="minorHAnsi"/>
          <w:b/>
          <w:bCs/>
        </w:rPr>
      </w:pPr>
    </w:p>
    <w:p w14:paraId="4169FAAC" w14:textId="36410966" w:rsidR="00F07F48" w:rsidRPr="00011A8C" w:rsidRDefault="00F07F48" w:rsidP="003A6FFF">
      <w:pPr>
        <w:suppressAutoHyphens/>
        <w:spacing w:before="120" w:after="120" w:line="360" w:lineRule="auto"/>
        <w:jc w:val="both"/>
        <w:rPr>
          <w:rFonts w:cstheme="minorHAnsi"/>
        </w:rPr>
      </w:pPr>
      <w:r w:rsidRPr="00011A8C">
        <w:rPr>
          <w:rFonts w:cstheme="minorHAnsi"/>
        </w:rPr>
        <w:t xml:space="preserve">In data de </w:t>
      </w:r>
      <w:r w:rsidRPr="00DD7DCB">
        <w:rPr>
          <w:rFonts w:cstheme="minorHAnsi"/>
        </w:rPr>
        <w:t>26</w:t>
      </w:r>
      <w:r w:rsidRPr="00011A8C">
        <w:rPr>
          <w:rFonts w:cstheme="minorHAnsi"/>
        </w:rPr>
        <w:t xml:space="preserve"> septembrie, Guvernul </w:t>
      </w:r>
      <w:r w:rsidR="0075797D" w:rsidRPr="00011A8C">
        <w:rPr>
          <w:rFonts w:cstheme="minorHAnsi"/>
        </w:rPr>
        <w:t>României</w:t>
      </w:r>
      <w:r w:rsidRPr="00011A8C">
        <w:rPr>
          <w:rFonts w:cstheme="minorHAnsi"/>
        </w:rPr>
        <w:t xml:space="preserve"> a aprobat Legea nr.</w:t>
      </w:r>
      <w:r w:rsidR="00A029E7" w:rsidRPr="00011A8C">
        <w:rPr>
          <w:rFonts w:cstheme="minorHAnsi"/>
        </w:rPr>
        <w:t xml:space="preserve"> </w:t>
      </w:r>
      <w:r w:rsidR="00DD7DCB">
        <w:rPr>
          <w:rFonts w:cstheme="minorHAnsi"/>
        </w:rPr>
        <w:t>296</w:t>
      </w:r>
      <w:r w:rsidR="00A029E7" w:rsidRPr="00011A8C">
        <w:rPr>
          <w:rFonts w:cstheme="minorHAnsi"/>
        </w:rPr>
        <w:t xml:space="preserve">/2023 </w:t>
      </w:r>
      <w:r w:rsidR="002248D3">
        <w:rPr>
          <w:rFonts w:cstheme="minorHAnsi"/>
        </w:rPr>
        <w:t xml:space="preserve">(„Legea”) </w:t>
      </w:r>
      <w:r w:rsidRPr="00011A8C">
        <w:rPr>
          <w:rFonts w:cstheme="minorHAnsi"/>
        </w:rPr>
        <w:t xml:space="preserve">prin care se aduc importante </w:t>
      </w:r>
      <w:r w:rsidR="0075797D" w:rsidRPr="00011A8C">
        <w:rPr>
          <w:rFonts w:cstheme="minorHAnsi"/>
        </w:rPr>
        <w:t>schimbări</w:t>
      </w:r>
      <w:r w:rsidRPr="00011A8C">
        <w:rPr>
          <w:rFonts w:cstheme="minorHAnsi"/>
        </w:rPr>
        <w:t xml:space="preserve"> fiscale pentru reducerea deficitului bugetar si asigurarea </w:t>
      </w:r>
      <w:r w:rsidR="0075797D" w:rsidRPr="00011A8C">
        <w:rPr>
          <w:rFonts w:cstheme="minorHAnsi"/>
        </w:rPr>
        <w:t>sustenabilității</w:t>
      </w:r>
      <w:r w:rsidRPr="00011A8C">
        <w:rPr>
          <w:rFonts w:cstheme="minorHAnsi"/>
        </w:rPr>
        <w:t xml:space="preserve"> </w:t>
      </w:r>
      <w:r w:rsidR="00971294" w:rsidRPr="00011A8C">
        <w:rPr>
          <w:rFonts w:cstheme="minorHAnsi"/>
        </w:rPr>
        <w:t>financiare</w:t>
      </w:r>
      <w:r w:rsidRPr="00011A8C">
        <w:rPr>
          <w:rFonts w:cstheme="minorHAnsi"/>
        </w:rPr>
        <w:t xml:space="preserve"> a </w:t>
      </w:r>
      <w:r w:rsidR="0075797D" w:rsidRPr="00011A8C">
        <w:rPr>
          <w:rFonts w:cstheme="minorHAnsi"/>
        </w:rPr>
        <w:t>României</w:t>
      </w:r>
      <w:r w:rsidRPr="00011A8C">
        <w:rPr>
          <w:rFonts w:cstheme="minorHAnsi"/>
        </w:rPr>
        <w:t xml:space="preserve"> pe termen lung.</w:t>
      </w:r>
      <w:r w:rsidR="002248D3">
        <w:rPr>
          <w:rFonts w:cstheme="minorHAnsi"/>
        </w:rPr>
        <w:t xml:space="preserve">  După multiple dezbateri, Legea a fost publicată în Monitorul Oficial nr. </w:t>
      </w:r>
      <w:r w:rsidR="00DD7DCB">
        <w:rPr>
          <w:rFonts w:cstheme="minorHAnsi"/>
        </w:rPr>
        <w:t xml:space="preserve">977 </w:t>
      </w:r>
      <w:r w:rsidR="002248D3">
        <w:rPr>
          <w:rFonts w:cstheme="minorHAnsi"/>
        </w:rPr>
        <w:t xml:space="preserve">din data de </w:t>
      </w:r>
      <w:r w:rsidR="00DD7DCB">
        <w:rPr>
          <w:rFonts w:cstheme="minorHAnsi"/>
        </w:rPr>
        <w:t>27 octombrie 2023</w:t>
      </w:r>
      <w:r w:rsidR="002248D3">
        <w:rPr>
          <w:rFonts w:cstheme="minorHAnsi"/>
        </w:rPr>
        <w:t>.</w:t>
      </w:r>
    </w:p>
    <w:p w14:paraId="5319D6FB" w14:textId="1B0842AB" w:rsidR="003A6FFF" w:rsidRPr="00011A8C" w:rsidRDefault="00F07F48" w:rsidP="003A6FFF">
      <w:pPr>
        <w:suppressAutoHyphens/>
        <w:spacing w:before="120" w:after="120" w:line="360" w:lineRule="auto"/>
        <w:jc w:val="both"/>
        <w:rPr>
          <w:rFonts w:cstheme="minorHAnsi"/>
        </w:rPr>
      </w:pPr>
      <w:r w:rsidRPr="00011A8C">
        <w:rPr>
          <w:rFonts w:cstheme="minorHAnsi"/>
        </w:rPr>
        <w:t>Prezent</w:t>
      </w:r>
      <w:r w:rsidR="00EA1B3A" w:rsidRPr="00011A8C">
        <w:rPr>
          <w:rFonts w:cstheme="minorHAnsi"/>
        </w:rPr>
        <w:t>ă</w:t>
      </w:r>
      <w:r w:rsidRPr="00011A8C">
        <w:rPr>
          <w:rFonts w:cstheme="minorHAnsi"/>
        </w:rPr>
        <w:t xml:space="preserve">m </w:t>
      </w:r>
      <w:r w:rsidR="00EA1B3A" w:rsidRPr="00011A8C">
        <w:rPr>
          <w:rFonts w:cstheme="minorHAnsi"/>
        </w:rPr>
        <w:t>î</w:t>
      </w:r>
      <w:r w:rsidRPr="00011A8C">
        <w:rPr>
          <w:rFonts w:cstheme="minorHAnsi"/>
        </w:rPr>
        <w:t xml:space="preserve">n </w:t>
      </w:r>
      <w:r w:rsidR="0075797D" w:rsidRPr="00011A8C">
        <w:rPr>
          <w:rFonts w:cstheme="minorHAnsi"/>
        </w:rPr>
        <w:t>următoarele</w:t>
      </w:r>
      <w:r w:rsidRPr="00011A8C">
        <w:rPr>
          <w:rFonts w:cstheme="minorHAnsi"/>
        </w:rPr>
        <w:t xml:space="preserve"> </w:t>
      </w:r>
      <w:r w:rsidR="0075797D" w:rsidRPr="00011A8C">
        <w:rPr>
          <w:rFonts w:cstheme="minorHAnsi"/>
        </w:rPr>
        <w:t>rânduri</w:t>
      </w:r>
      <w:r w:rsidRPr="00011A8C">
        <w:rPr>
          <w:rFonts w:cstheme="minorHAnsi"/>
        </w:rPr>
        <w:t xml:space="preserve"> cele mai importante masuri fiscale de care </w:t>
      </w:r>
      <w:r w:rsidR="0075797D" w:rsidRPr="00011A8C">
        <w:rPr>
          <w:rFonts w:cstheme="minorHAnsi"/>
        </w:rPr>
        <w:t>atât</w:t>
      </w:r>
      <w:r w:rsidRPr="00011A8C">
        <w:rPr>
          <w:rFonts w:cstheme="minorHAnsi"/>
        </w:rPr>
        <w:t xml:space="preserve"> companiile c</w:t>
      </w:r>
      <w:r w:rsidR="00EA1B3A" w:rsidRPr="00011A8C">
        <w:rPr>
          <w:rFonts w:cstheme="minorHAnsi"/>
        </w:rPr>
        <w:t>â</w:t>
      </w:r>
      <w:r w:rsidRPr="00011A8C">
        <w:rPr>
          <w:rFonts w:cstheme="minorHAnsi"/>
        </w:rPr>
        <w:t xml:space="preserve">t </w:t>
      </w:r>
      <w:r w:rsidR="00EA1B3A" w:rsidRPr="00011A8C">
        <w:rPr>
          <w:rFonts w:cstheme="minorHAnsi"/>
        </w:rPr>
        <w:t>ș</w:t>
      </w:r>
      <w:r w:rsidRPr="00011A8C">
        <w:rPr>
          <w:rFonts w:cstheme="minorHAnsi"/>
        </w:rPr>
        <w:t>i persoanele fizice trebuie s</w:t>
      </w:r>
      <w:r w:rsidR="00EA1B3A" w:rsidRPr="00011A8C">
        <w:rPr>
          <w:rFonts w:cstheme="minorHAnsi"/>
        </w:rPr>
        <w:t>ă</w:t>
      </w:r>
      <w:r w:rsidRPr="00011A8C">
        <w:rPr>
          <w:rFonts w:cstheme="minorHAnsi"/>
        </w:rPr>
        <w:t xml:space="preserve"> </w:t>
      </w:r>
      <w:r w:rsidR="00EA1B3A" w:rsidRPr="00011A8C">
        <w:rPr>
          <w:rFonts w:cstheme="minorHAnsi"/>
        </w:rPr>
        <w:t>ț</w:t>
      </w:r>
      <w:r w:rsidRPr="00011A8C">
        <w:rPr>
          <w:rFonts w:cstheme="minorHAnsi"/>
        </w:rPr>
        <w:t>in</w:t>
      </w:r>
      <w:r w:rsidR="00EA1B3A" w:rsidRPr="00011A8C">
        <w:rPr>
          <w:rFonts w:cstheme="minorHAnsi"/>
        </w:rPr>
        <w:t>ă</w:t>
      </w:r>
      <w:r w:rsidRPr="00011A8C">
        <w:rPr>
          <w:rFonts w:cstheme="minorHAnsi"/>
        </w:rPr>
        <w:t xml:space="preserve"> cont </w:t>
      </w:r>
      <w:r w:rsidR="0075797D" w:rsidRPr="00011A8C">
        <w:rPr>
          <w:rFonts w:cstheme="minorHAnsi"/>
        </w:rPr>
        <w:t>începând</w:t>
      </w:r>
      <w:r w:rsidRPr="00011A8C">
        <w:rPr>
          <w:rFonts w:cstheme="minorHAnsi"/>
        </w:rPr>
        <w:t xml:space="preserve"> cu data de 1 ianuarie 2024</w:t>
      </w:r>
      <w:r w:rsidR="003A6FFF" w:rsidRPr="00011A8C">
        <w:rPr>
          <w:rFonts w:cstheme="minorHAnsi"/>
        </w:rPr>
        <w:t>.</w:t>
      </w:r>
      <w:r w:rsidRPr="00011A8C">
        <w:rPr>
          <w:rFonts w:cstheme="minorHAnsi"/>
        </w:rPr>
        <w:t xml:space="preserve">  Majoritatea m</w:t>
      </w:r>
      <w:r w:rsidR="00EA1B3A" w:rsidRPr="00011A8C">
        <w:rPr>
          <w:rFonts w:cstheme="minorHAnsi"/>
        </w:rPr>
        <w:t>ă</w:t>
      </w:r>
      <w:r w:rsidRPr="00011A8C">
        <w:rPr>
          <w:rFonts w:cstheme="minorHAnsi"/>
        </w:rPr>
        <w:t>surilor fiscale intr</w:t>
      </w:r>
      <w:r w:rsidR="00EA1B3A" w:rsidRPr="00011A8C">
        <w:rPr>
          <w:rFonts w:cstheme="minorHAnsi"/>
        </w:rPr>
        <w:t>ă</w:t>
      </w:r>
      <w:r w:rsidRPr="00011A8C">
        <w:rPr>
          <w:rFonts w:cstheme="minorHAnsi"/>
        </w:rPr>
        <w:t xml:space="preserve"> </w:t>
      </w:r>
      <w:r w:rsidR="00EA1B3A" w:rsidRPr="00011A8C">
        <w:rPr>
          <w:rFonts w:cstheme="minorHAnsi"/>
        </w:rPr>
        <w:t>î</w:t>
      </w:r>
      <w:r w:rsidRPr="00011A8C">
        <w:rPr>
          <w:rFonts w:cstheme="minorHAnsi"/>
        </w:rPr>
        <w:t xml:space="preserve">n vigoare </w:t>
      </w:r>
      <w:r w:rsidR="0075797D" w:rsidRPr="00011A8C">
        <w:rPr>
          <w:rFonts w:cstheme="minorHAnsi"/>
        </w:rPr>
        <w:t>începând</w:t>
      </w:r>
      <w:r w:rsidRPr="00011A8C">
        <w:rPr>
          <w:rFonts w:cstheme="minorHAnsi"/>
        </w:rPr>
        <w:t xml:space="preserve"> cu data de 1 ianuarie 2024, dar sunt </w:t>
      </w:r>
      <w:r w:rsidR="00971294" w:rsidRPr="00011A8C">
        <w:rPr>
          <w:rFonts w:cstheme="minorHAnsi"/>
        </w:rPr>
        <w:t xml:space="preserve">anumite </w:t>
      </w:r>
      <w:r w:rsidR="0075797D" w:rsidRPr="00011A8C">
        <w:rPr>
          <w:rFonts w:cstheme="minorHAnsi"/>
        </w:rPr>
        <w:t>excepții</w:t>
      </w:r>
      <w:r w:rsidRPr="00011A8C">
        <w:rPr>
          <w:rFonts w:cstheme="minorHAnsi"/>
        </w:rPr>
        <w:t xml:space="preserve"> </w:t>
      </w:r>
      <w:r w:rsidR="00971294" w:rsidRPr="00011A8C">
        <w:rPr>
          <w:rFonts w:cstheme="minorHAnsi"/>
        </w:rPr>
        <w:t xml:space="preserve">conform celor </w:t>
      </w:r>
      <w:r w:rsidR="0075797D" w:rsidRPr="00011A8C">
        <w:rPr>
          <w:rFonts w:cstheme="minorHAnsi"/>
        </w:rPr>
        <w:t>menționate</w:t>
      </w:r>
      <w:r w:rsidRPr="00011A8C">
        <w:rPr>
          <w:rFonts w:cstheme="minorHAnsi"/>
        </w:rPr>
        <w:t xml:space="preserve"> mai jos.</w:t>
      </w:r>
    </w:p>
    <w:p w14:paraId="161A1D6A" w14:textId="22968E01" w:rsidR="003C6A0A" w:rsidRPr="00011A8C" w:rsidRDefault="00971294" w:rsidP="00A029E7">
      <w:pPr>
        <w:suppressAutoHyphens/>
        <w:spacing w:before="120" w:after="120" w:line="360" w:lineRule="auto"/>
        <w:rPr>
          <w:rFonts w:cstheme="minorHAnsi"/>
          <w:b/>
          <w:bCs/>
        </w:rPr>
      </w:pPr>
      <w:bookmarkStart w:id="0" w:name="_Hlk146471636"/>
      <w:r w:rsidRPr="00011A8C">
        <w:rPr>
          <w:rFonts w:cstheme="minorHAnsi"/>
          <w:b/>
          <w:bCs/>
        </w:rPr>
        <w:t>1. Impozit pe profit</w:t>
      </w:r>
    </w:p>
    <w:p w14:paraId="2CF0F40B" w14:textId="6A998964" w:rsidR="0075797D" w:rsidRPr="00011A8C" w:rsidRDefault="00E51614" w:rsidP="0075797D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bookmarkStart w:id="1" w:name="_Hlk149546691"/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Companiile care </w:t>
      </w:r>
      <w:r w:rsidR="0075797D" w:rsidRPr="00011A8C">
        <w:rPr>
          <w:rFonts w:asciiTheme="minorHAnsi" w:hAnsiTheme="minorHAnsi" w:cstheme="minorHAnsi"/>
          <w:sz w:val="20"/>
          <w:szCs w:val="20"/>
          <w:lang w:val="ro-RO"/>
        </w:rPr>
        <w:t>înregistrează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21752E" w:rsidRPr="00011A8C">
        <w:rPr>
          <w:rFonts w:asciiTheme="minorHAnsi" w:hAnsiTheme="minorHAnsi" w:cstheme="minorHAnsi"/>
          <w:sz w:val="20"/>
          <w:szCs w:val="20"/>
          <w:lang w:val="ro-RO"/>
        </w:rPr>
        <w:t>î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n anul precedent o cifr</w:t>
      </w:r>
      <w:r w:rsidR="0021752E" w:rsidRPr="00011A8C">
        <w:rPr>
          <w:rFonts w:asciiTheme="minorHAnsi" w:hAnsiTheme="minorHAnsi" w:cstheme="minorHAnsi"/>
          <w:sz w:val="20"/>
          <w:szCs w:val="20"/>
          <w:lang w:val="ro-RO"/>
        </w:rPr>
        <w:t>ă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de afaceri mai mare de 50 mil. euro, </w:t>
      </w:r>
      <w:r w:rsidR="00224D60" w:rsidRPr="00011A8C">
        <w:rPr>
          <w:rFonts w:asciiTheme="minorHAnsi" w:hAnsiTheme="minorHAnsi" w:cstheme="minorHAnsi"/>
          <w:sz w:val="20"/>
          <w:szCs w:val="20"/>
          <w:lang w:val="ro-RO"/>
        </w:rPr>
        <w:t>datorează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un impozit </w:t>
      </w:r>
      <w:r w:rsidR="0075797D" w:rsidRPr="00011A8C">
        <w:rPr>
          <w:rFonts w:asciiTheme="minorHAnsi" w:hAnsiTheme="minorHAnsi" w:cstheme="minorHAnsi"/>
          <w:sz w:val="20"/>
          <w:szCs w:val="20"/>
          <w:lang w:val="ro-RO"/>
        </w:rPr>
        <w:t>minim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75797D" w:rsidRPr="00011A8C">
        <w:rPr>
          <w:rFonts w:asciiTheme="minorHAnsi" w:hAnsiTheme="minorHAnsi" w:cstheme="minorHAnsi"/>
          <w:sz w:val="20"/>
          <w:szCs w:val="20"/>
          <w:lang w:val="ro-RO"/>
        </w:rPr>
        <w:t>în anul curent</w:t>
      </w:r>
      <w:r w:rsidR="00224D60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dacă acesta din urmă este mai mare decât impozitul pe profit calculat de companie conform regulilor generale aplicabile sau dacă compania </w:t>
      </w:r>
      <w:r w:rsidR="002E522C" w:rsidRPr="00011A8C">
        <w:rPr>
          <w:rFonts w:asciiTheme="minorHAnsi" w:hAnsiTheme="minorHAnsi" w:cstheme="minorHAnsi"/>
          <w:sz w:val="20"/>
          <w:szCs w:val="20"/>
          <w:lang w:val="ro-RO"/>
        </w:rPr>
        <w:t>înregistrează pierdere fiscală;</w:t>
      </w:r>
    </w:p>
    <w:bookmarkEnd w:id="1"/>
    <w:p w14:paraId="49D1E3CB" w14:textId="21922E81" w:rsidR="0075797D" w:rsidRPr="00011A8C" w:rsidRDefault="0075797D" w:rsidP="0075797D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Cifra de afaceri se calculează conform formulei CA = VT – Vs, iar impozitul minim se calculează conform formulei IMCA = 1% x (VT - Vs - I - A), unde indicatorii au următoarea semnificație:</w:t>
      </w:r>
    </w:p>
    <w:p w14:paraId="2EF8D33B" w14:textId="000EBECB" w:rsidR="0075797D" w:rsidRPr="00011A8C" w:rsidRDefault="0075797D" w:rsidP="0075797D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VT = venituri totale;</w:t>
      </w:r>
    </w:p>
    <w:p w14:paraId="73A714AE" w14:textId="04B6BA67" w:rsidR="0075797D" w:rsidRPr="00011A8C" w:rsidRDefault="0075797D" w:rsidP="0075797D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Vs = venituri care se scad din veniturile totale: (i) venituri neimpozabile; (ii) venituri aferente costurilor stocurilor de produse; (iii) venituri aferente costurilor serviciilor în curs de execuţie; (iv) venituri din producţia de imobilizări corporale şi necorporale, care nu sunt cuprinse în indicatorul I; (v) venituri din subvenţii; (vi) veniturile realizate din despăgubiri  de la societăţile de asigurare/reasigurare, pentru pagubele produse bunurilor de natura stocurilor sau a activelor corporale proprii;</w:t>
      </w:r>
      <w:r w:rsidR="00037936" w:rsidRPr="00DD7DCB">
        <w:rPr>
          <w:lang w:val="en-GB"/>
        </w:rPr>
        <w:t xml:space="preserve"> </w:t>
      </w:r>
      <w:r w:rsidR="00037936" w:rsidRPr="00037936">
        <w:rPr>
          <w:rFonts w:asciiTheme="minorHAnsi" w:hAnsiTheme="minorHAnsi" w:cstheme="minorHAnsi"/>
          <w:sz w:val="20"/>
          <w:szCs w:val="20"/>
          <w:lang w:val="ro-RO"/>
        </w:rPr>
        <w:t>(vii) veniturile reprezentând accizele care au fost reflectate concomitent în conturile de cheltuieli</w:t>
      </w:r>
      <w:r w:rsidR="00037936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14:paraId="5A1323AB" w14:textId="537CB37F" w:rsidR="0075797D" w:rsidRPr="00011A8C" w:rsidRDefault="0075797D" w:rsidP="0075797D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I = valoarea </w:t>
      </w:r>
      <w:r w:rsidR="00037936" w:rsidRPr="00037936">
        <w:rPr>
          <w:rFonts w:asciiTheme="minorHAnsi" w:hAnsiTheme="minorHAnsi" w:cstheme="minorHAnsi"/>
          <w:sz w:val="20"/>
          <w:szCs w:val="20"/>
          <w:lang w:val="ro-RO"/>
        </w:rPr>
        <w:t>imobilizărilor în curs de execuție ocazionate de achiziția/producția de active, înregistrate în evidența contabilă începând cu data de 1 ianuarie 2024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0A771C8F" w14:textId="61EE1B46" w:rsidR="0075797D" w:rsidRPr="00011A8C" w:rsidRDefault="0075797D" w:rsidP="0075797D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A = </w:t>
      </w:r>
      <w:r w:rsidR="00F93B0E">
        <w:rPr>
          <w:rFonts w:asciiTheme="minorHAnsi" w:hAnsiTheme="minorHAnsi" w:cstheme="minorHAnsi"/>
          <w:sz w:val="20"/>
          <w:szCs w:val="20"/>
          <w:lang w:val="ro-RO"/>
        </w:rPr>
        <w:t xml:space="preserve">amortizarea contabila </w:t>
      </w:r>
      <w:r w:rsidR="00037936" w:rsidRPr="00037936">
        <w:rPr>
          <w:rFonts w:asciiTheme="minorHAnsi" w:hAnsiTheme="minorHAnsi" w:cstheme="minorHAnsi"/>
          <w:sz w:val="20"/>
          <w:szCs w:val="20"/>
          <w:lang w:val="ro-RO"/>
        </w:rPr>
        <w:t>la nivelul costului istoric aferentă activelor achiziționate/produse începând cu data de 1 ianuarie 2024</w:t>
      </w:r>
      <w:r w:rsidR="00037936">
        <w:rPr>
          <w:rFonts w:asciiTheme="minorHAnsi" w:hAnsiTheme="minorHAnsi" w:cstheme="minorHAnsi"/>
          <w:sz w:val="20"/>
          <w:szCs w:val="20"/>
          <w:lang w:val="ro-RO"/>
        </w:rPr>
        <w:t>.</w:t>
      </w:r>
      <w:r w:rsidR="00037936" w:rsidRPr="00F93B0E">
        <w:rPr>
          <w:lang w:val="en-GB"/>
        </w:rPr>
        <w:t xml:space="preserve"> </w:t>
      </w:r>
      <w:r w:rsidR="00037936" w:rsidRPr="00037936">
        <w:rPr>
          <w:rFonts w:asciiTheme="minorHAnsi" w:hAnsiTheme="minorHAnsi" w:cstheme="minorHAnsi"/>
          <w:sz w:val="20"/>
          <w:szCs w:val="20"/>
          <w:lang w:val="ro-RO"/>
        </w:rPr>
        <w:t>Nu se cuprinde în acest indicator amortizarea contabilă a activelor incluse în valoarea indicatorului I</w:t>
      </w:r>
      <w:r w:rsidR="00037936">
        <w:rPr>
          <w:rFonts w:asciiTheme="minorHAnsi" w:hAnsiTheme="minorHAnsi" w:cstheme="minorHAnsi"/>
          <w:sz w:val="20"/>
          <w:szCs w:val="20"/>
          <w:lang w:val="ro-RO"/>
        </w:rPr>
        <w:t xml:space="preserve">.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14:paraId="282DCC7D" w14:textId="678A5F69" w:rsidR="0075797D" w:rsidRDefault="002E522C" w:rsidP="0075797D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Impozitul minim pe cifra de afaceri se determină înainte de recuperarea pierderii fiscale din anii precedenți;</w:t>
      </w:r>
    </w:p>
    <w:p w14:paraId="35119775" w14:textId="6608F86F" w:rsidR="00037936" w:rsidRPr="00011A8C" w:rsidRDefault="00037936" w:rsidP="0075797D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Din impozitul minim se pot scădea sumele aferente sponsorizărilor/actelor de mecenat, în limita de deducere prevăzută de lege;</w:t>
      </w:r>
    </w:p>
    <w:p w14:paraId="710FE494" w14:textId="77777777" w:rsidR="00037936" w:rsidRDefault="002E522C" w:rsidP="0075797D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lastRenderedPageBreak/>
        <w:t>Se introduc reglementări pentru plata impozitului minim pe cifra de afaceri și în cazul grupurilor fiscale</w:t>
      </w:r>
      <w:r w:rsidR="00037936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5D5A7406" w14:textId="6553D4D9" w:rsidR="00DD7DCB" w:rsidRDefault="00037936" w:rsidP="0075797D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bookmarkStart w:id="2" w:name="_Hlk149546732"/>
      <w:r>
        <w:rPr>
          <w:rFonts w:asciiTheme="minorHAnsi" w:hAnsiTheme="minorHAnsi" w:cstheme="minorHAnsi"/>
          <w:sz w:val="20"/>
          <w:szCs w:val="20"/>
          <w:lang w:val="ro-RO"/>
        </w:rPr>
        <w:t>Pentru p</w:t>
      </w:r>
      <w:r w:rsidRPr="00037936">
        <w:rPr>
          <w:rFonts w:asciiTheme="minorHAnsi" w:hAnsiTheme="minorHAnsi" w:cstheme="minorHAnsi"/>
          <w:sz w:val="20"/>
          <w:szCs w:val="20"/>
          <w:lang w:val="ro-RO"/>
        </w:rPr>
        <w:t>ersoanele juridice care desfășoară activități în sectoarele petrol și gaze naturale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se stabilește </w:t>
      </w:r>
      <w:r w:rsidR="00DD7DCB">
        <w:rPr>
          <w:rFonts w:asciiTheme="minorHAnsi" w:hAnsiTheme="minorHAnsi" w:cstheme="minorHAnsi"/>
          <w:sz w:val="20"/>
          <w:szCs w:val="20"/>
          <w:lang w:val="ro-RO"/>
        </w:rPr>
        <w:t xml:space="preserve">un impozit suplimentar pe cifra de afaceri </w:t>
      </w:r>
      <w:r>
        <w:rPr>
          <w:rFonts w:asciiTheme="minorHAnsi" w:hAnsiTheme="minorHAnsi" w:cstheme="minorHAnsi"/>
          <w:sz w:val="20"/>
          <w:szCs w:val="20"/>
          <w:lang w:val="ro-RO"/>
        </w:rPr>
        <w:t>de 0,5%</w:t>
      </w:r>
      <w:r w:rsidR="00DD7DCB">
        <w:rPr>
          <w:rFonts w:asciiTheme="minorHAnsi" w:hAnsiTheme="minorHAnsi" w:cstheme="minorHAnsi"/>
          <w:sz w:val="20"/>
          <w:szCs w:val="20"/>
          <w:lang w:val="ro-RO"/>
        </w:rPr>
        <w:t xml:space="preserve"> pentru perioada 2024-2025</w:t>
      </w:r>
      <w:r w:rsidR="00F665C4">
        <w:rPr>
          <w:rFonts w:asciiTheme="minorHAnsi" w:hAnsiTheme="minorHAnsi" w:cstheme="minorHAnsi"/>
          <w:sz w:val="20"/>
          <w:szCs w:val="20"/>
          <w:lang w:val="ro-RO"/>
        </w:rPr>
        <w:t>. Impozitul se calculează conform formulei de mai sus</w:t>
      </w:r>
      <w:r w:rsidR="00DD7DCB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09F590A4" w14:textId="6D91B081" w:rsidR="002E522C" w:rsidRPr="00011A8C" w:rsidRDefault="00DD7DCB" w:rsidP="0075797D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I</w:t>
      </w:r>
      <w:r w:rsidRPr="00DD7DCB">
        <w:rPr>
          <w:rFonts w:asciiTheme="minorHAnsi" w:hAnsiTheme="minorHAnsi" w:cstheme="minorHAnsi"/>
          <w:sz w:val="20"/>
          <w:szCs w:val="20"/>
          <w:lang w:val="ro-RO"/>
        </w:rPr>
        <w:t>nstituțiile de credit - persoane juridice române şi sucursalele din România ale instituțiilor de credit - persoane juridice străine</w:t>
      </w:r>
      <w:r>
        <w:rPr>
          <w:rFonts w:asciiTheme="minorHAnsi" w:hAnsiTheme="minorHAnsi" w:cstheme="minorHAnsi"/>
          <w:sz w:val="20"/>
          <w:szCs w:val="20"/>
          <w:lang w:val="ro-RO"/>
        </w:rPr>
        <w:t>, vor plăti un impozit suplimentar pe cifra de afaceri de 2% pentru perioada 2024-2025 si de 1% începând cu 2026.</w:t>
      </w:r>
      <w:r w:rsidR="00F665C4">
        <w:rPr>
          <w:rFonts w:asciiTheme="minorHAnsi" w:hAnsiTheme="minorHAnsi" w:cstheme="minorHAnsi"/>
          <w:sz w:val="20"/>
          <w:szCs w:val="20"/>
          <w:lang w:val="ro-RO"/>
        </w:rPr>
        <w:t xml:space="preserve">  Pentru aceste companii, se vor aplica regula speciale de calcul.</w:t>
      </w:r>
    </w:p>
    <w:bookmarkEnd w:id="2"/>
    <w:p w14:paraId="0719A39D" w14:textId="5E5FABF8" w:rsidR="002E522C" w:rsidRPr="00011A8C" w:rsidRDefault="002E522C" w:rsidP="002E522C">
      <w:pPr>
        <w:suppressAutoHyphens/>
        <w:spacing w:before="120" w:after="120" w:line="360" w:lineRule="auto"/>
        <w:rPr>
          <w:rFonts w:cstheme="minorHAnsi"/>
          <w:b/>
          <w:bCs/>
        </w:rPr>
      </w:pPr>
      <w:r w:rsidRPr="00011A8C">
        <w:rPr>
          <w:rFonts w:cstheme="minorHAnsi"/>
          <w:b/>
          <w:bCs/>
        </w:rPr>
        <w:t>2. Impozit pe veniturile microîntreprinderilor</w:t>
      </w:r>
    </w:p>
    <w:p w14:paraId="76DEAA70" w14:textId="522333FF" w:rsidR="002E522C" w:rsidRPr="00011A8C" w:rsidRDefault="002E522C" w:rsidP="002E522C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bookmarkStart w:id="3" w:name="_Hlk149546063"/>
      <w:r w:rsidRPr="00011A8C">
        <w:rPr>
          <w:rFonts w:asciiTheme="minorHAnsi" w:hAnsiTheme="minorHAnsi" w:cstheme="minorHAnsi"/>
          <w:sz w:val="20"/>
          <w:szCs w:val="20"/>
          <w:lang w:val="ro-RO"/>
        </w:rPr>
        <w:t>Se introduc noi cote de impozitare, astfel:</w:t>
      </w:r>
    </w:p>
    <w:p w14:paraId="1951365D" w14:textId="24C31CE4" w:rsidR="002E522C" w:rsidRPr="00011A8C" w:rsidRDefault="002E522C" w:rsidP="005B5D16">
      <w:pPr>
        <w:pStyle w:val="ListParagraph"/>
        <w:numPr>
          <w:ilvl w:val="0"/>
          <w:numId w:val="6"/>
        </w:numPr>
        <w:suppressAutoHyphens/>
        <w:spacing w:before="120" w:after="120" w:line="36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1%, pentru microîntreprinderile care realizează venituri care nu depășesc 60.000 euro inclusiv și care nu desfășoară activitățile prevăzute mai jos;</w:t>
      </w:r>
    </w:p>
    <w:p w14:paraId="49BF6BF2" w14:textId="650567E7" w:rsidR="002E522C" w:rsidRPr="00011A8C" w:rsidRDefault="002E522C" w:rsidP="00E45FAB">
      <w:pPr>
        <w:pStyle w:val="ListParagraph"/>
        <w:numPr>
          <w:ilvl w:val="0"/>
          <w:numId w:val="6"/>
        </w:numPr>
        <w:suppressAutoHyphens/>
        <w:spacing w:before="120" w:after="120" w:line="360" w:lineRule="auto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3%, pentru microîntreprinderile care: (i) realizează venituri peste 60.000 euro; sau (ii) desfășoară activități, principale sau secundare corespunzătoare activităților IT, </w:t>
      </w:r>
      <w:r w:rsidR="00DB2050" w:rsidRPr="00011A8C">
        <w:rPr>
          <w:rFonts w:asciiTheme="minorHAnsi" w:hAnsiTheme="minorHAnsi" w:cstheme="minorHAnsi"/>
          <w:sz w:val="20"/>
          <w:szCs w:val="20"/>
          <w:lang w:val="ro-RO"/>
        </w:rPr>
        <w:t>H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ORECA, juridice (numai pentru societățile profesionale cu personalitate</w:t>
      </w:r>
      <w:r w:rsidR="00037936">
        <w:rPr>
          <w:rFonts w:asciiTheme="minorHAnsi" w:hAnsiTheme="minorHAnsi" w:cstheme="minorHAnsi"/>
          <w:sz w:val="20"/>
          <w:szCs w:val="20"/>
          <w:lang w:val="ro-RO"/>
        </w:rPr>
        <w:t xml:space="preserve"> juridică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), asistență medicală generală, specializată, stomatologică, alte activități referitoare la sănătatea umană;</w:t>
      </w:r>
    </w:p>
    <w:bookmarkEnd w:id="3"/>
    <w:p w14:paraId="3C3D6D8D" w14:textId="74C8F5B1" w:rsidR="002E522C" w:rsidRPr="00011A8C" w:rsidRDefault="00DB2050" w:rsidP="002E522C">
      <w:pPr>
        <w:suppressAutoHyphens/>
        <w:spacing w:before="120" w:after="120" w:line="360" w:lineRule="auto"/>
        <w:rPr>
          <w:rFonts w:cstheme="minorHAnsi"/>
          <w:b/>
          <w:bCs/>
        </w:rPr>
      </w:pPr>
      <w:r w:rsidRPr="00011A8C">
        <w:rPr>
          <w:rFonts w:cstheme="minorHAnsi"/>
          <w:b/>
          <w:bCs/>
        </w:rPr>
        <w:t>3. Impozit pe veniturile din salarii și contribuții sociale aferente</w:t>
      </w:r>
    </w:p>
    <w:p w14:paraId="2D06D445" w14:textId="252FB582" w:rsidR="00DB2050" w:rsidRPr="00011A8C" w:rsidRDefault="003867AD" w:rsidP="00DB2050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Începând cu luna </w:t>
      </w:r>
      <w:r w:rsidR="00DD7DCB">
        <w:rPr>
          <w:rFonts w:asciiTheme="minorHAnsi" w:hAnsiTheme="minorHAnsi" w:cstheme="minorHAnsi"/>
          <w:sz w:val="20"/>
          <w:szCs w:val="20"/>
          <w:lang w:val="ro-RO"/>
        </w:rPr>
        <w:t>noiembrie</w:t>
      </w:r>
      <w:r w:rsidR="00DD7DCB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2023, veniturile brute lunare de peste 10.000 lei realizate de salariații din domeniul IT</w:t>
      </w:r>
      <w:r w:rsidR="00C14436" w:rsidRPr="00011A8C">
        <w:rPr>
          <w:rFonts w:asciiTheme="minorHAnsi" w:hAnsiTheme="minorHAnsi" w:cstheme="minorHAnsi"/>
          <w:sz w:val="20"/>
          <w:szCs w:val="20"/>
          <w:lang w:val="ro-RO"/>
        </w:rPr>
        <w:t>, construcții, agricultură, alimentar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sunt supuse impozitului pe venit</w:t>
      </w:r>
      <w:r w:rsidR="007C6E8A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4DB5BB7D" w14:textId="385A1DA9" w:rsidR="00DB2050" w:rsidRPr="00011A8C" w:rsidRDefault="00C14436" w:rsidP="002E522C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Începând cu luna </w:t>
      </w:r>
      <w:r w:rsidR="00DD7DCB">
        <w:rPr>
          <w:rFonts w:asciiTheme="minorHAnsi" w:hAnsiTheme="minorHAnsi" w:cstheme="minorHAnsi"/>
          <w:sz w:val="20"/>
          <w:szCs w:val="20"/>
          <w:lang w:val="ro-RO"/>
        </w:rPr>
        <w:t>noiembrie</w:t>
      </w:r>
      <w:r w:rsidR="00DD7DCB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2023, se elimină scutirea de plata contribuției de asigurări sociale de sănătate a veniturilor realizate de salariații din domeniul construcțiilor, agricultură și alimentar</w:t>
      </w:r>
      <w:r w:rsidR="007C6E8A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408E2F45" w14:textId="0811F447" w:rsidR="00C14436" w:rsidRPr="00011A8C" w:rsidRDefault="00C14436" w:rsidP="00C14436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Tichetele de masă </w:t>
      </w:r>
      <w:r w:rsidR="00C87FBA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și voucherele de vacanță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acordate salariaților vor fi impuse contribuției de asigurări sociale de sănătate</w:t>
      </w:r>
      <w:r w:rsidR="007C6E8A">
        <w:rPr>
          <w:rFonts w:asciiTheme="minorHAnsi" w:hAnsiTheme="minorHAnsi" w:cstheme="minorHAnsi"/>
          <w:sz w:val="20"/>
          <w:szCs w:val="20"/>
          <w:lang w:val="ro-RO"/>
        </w:rPr>
        <w:t xml:space="preserve"> de 10%;</w:t>
      </w:r>
    </w:p>
    <w:p w14:paraId="0A689950" w14:textId="4C03F448" w:rsidR="004A758B" w:rsidRPr="00011A8C" w:rsidRDefault="004A758B" w:rsidP="004A758B">
      <w:pPr>
        <w:suppressAutoHyphens/>
        <w:spacing w:before="120" w:after="120" w:line="360" w:lineRule="auto"/>
        <w:rPr>
          <w:rFonts w:cstheme="minorHAnsi"/>
          <w:b/>
          <w:bCs/>
        </w:rPr>
      </w:pPr>
      <w:r w:rsidRPr="00011A8C">
        <w:rPr>
          <w:rFonts w:cstheme="minorHAnsi"/>
          <w:b/>
          <w:bCs/>
        </w:rPr>
        <w:t>4. Impozit pe veniturile din activități independente și contribuții sociale aferente</w:t>
      </w:r>
    </w:p>
    <w:p w14:paraId="7EC5DBBE" w14:textId="5F99D076" w:rsidR="004A758B" w:rsidRPr="00011A8C" w:rsidRDefault="004A758B" w:rsidP="004A758B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Se introduce posibilitatea deducerii contribuției de asigurări sociale de sănătate din baza de impozitare pentru calculul impozitului pe venit</w:t>
      </w:r>
    </w:p>
    <w:p w14:paraId="6BEC7DF3" w14:textId="39FC2FDA" w:rsidR="004A758B" w:rsidRPr="00011A8C" w:rsidRDefault="004A758B" w:rsidP="004A758B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Se majorează plafonul maxim </w:t>
      </w:r>
      <w:r w:rsidR="00C87FBA" w:rsidRPr="00011A8C">
        <w:rPr>
          <w:rFonts w:asciiTheme="minorHAnsi" w:hAnsiTheme="minorHAnsi" w:cstheme="minorHAnsi"/>
          <w:sz w:val="20"/>
          <w:szCs w:val="20"/>
          <w:lang w:val="ro-RO"/>
        </w:rPr>
        <w:t>pentru plata contribuției de asigurări sociale de sănătate de la 24 salarii minime brute la 60 de salarii minime brute</w:t>
      </w:r>
    </w:p>
    <w:p w14:paraId="6F7C9A6C" w14:textId="75F19543" w:rsidR="004A758B" w:rsidRPr="00011A8C" w:rsidRDefault="00EF0035" w:rsidP="004A758B">
      <w:pPr>
        <w:suppressAutoHyphens/>
        <w:spacing w:before="120" w:after="120" w:line="360" w:lineRule="auto"/>
        <w:rPr>
          <w:rFonts w:cstheme="minorHAnsi"/>
          <w:b/>
          <w:bCs/>
        </w:rPr>
      </w:pPr>
      <w:r w:rsidRPr="00011A8C">
        <w:rPr>
          <w:rFonts w:cstheme="minorHAnsi"/>
          <w:b/>
          <w:bCs/>
        </w:rPr>
        <w:t>5. TVA</w:t>
      </w:r>
    </w:p>
    <w:p w14:paraId="5F1CBFBE" w14:textId="77777777" w:rsidR="008431D2" w:rsidRPr="00011A8C" w:rsidRDefault="008431D2" w:rsidP="00EF4A5C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Majorarea cotei de TVA de la 5% la 9% pentru:</w:t>
      </w:r>
    </w:p>
    <w:p w14:paraId="54DB4EBA" w14:textId="092D49A4" w:rsidR="00EF4A5C" w:rsidRPr="00011A8C" w:rsidRDefault="008431D2" w:rsidP="008431D2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v</w:t>
      </w:r>
      <w:r w:rsidR="00EF4A5C" w:rsidRPr="00011A8C">
        <w:rPr>
          <w:rFonts w:asciiTheme="minorHAnsi" w:hAnsiTheme="minorHAnsi" w:cstheme="minorHAnsi"/>
          <w:sz w:val="20"/>
          <w:szCs w:val="20"/>
          <w:lang w:val="ro-RO"/>
        </w:rPr>
        <w:t>ânzarea anumitor locuințe ca parte a politicii sociale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, introducându-se d</w:t>
      </w:r>
      <w:r w:rsidR="00EF4A5C" w:rsidRPr="00011A8C">
        <w:rPr>
          <w:rFonts w:asciiTheme="minorHAnsi" w:hAnsiTheme="minorHAnsi" w:cstheme="minorHAnsi"/>
          <w:sz w:val="20"/>
          <w:szCs w:val="20"/>
          <w:lang w:val="ro-RO"/>
        </w:rPr>
        <w:t>efiniții noi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pentru locuințele sociale</w:t>
      </w:r>
      <w:r w:rsidR="00F665C4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43E99C02" w14:textId="232B3ECD" w:rsidR="00EF4A5C" w:rsidRPr="00011A8C" w:rsidRDefault="00EF4A5C" w:rsidP="008431D2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lastRenderedPageBreak/>
        <w:t>livrarea de panouri fotovoltaice și livrarea/instalarea de componente pentru repararea și/sau extinderea acestora</w:t>
      </w:r>
    </w:p>
    <w:p w14:paraId="20E9F960" w14:textId="4B10947E" w:rsidR="00EF4A5C" w:rsidRPr="00011A8C" w:rsidRDefault="00EF4A5C" w:rsidP="008431D2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livrarea alimentelor de înaltă valoare calitativă, respectiv produse montane, eco, tradiţionale cu zahăr adăugat sub 10</w:t>
      </w:r>
      <w:r w:rsidR="008431D2" w:rsidRPr="00011A8C">
        <w:rPr>
          <w:rFonts w:asciiTheme="minorHAnsi" w:hAnsiTheme="minorHAnsi" w:cstheme="minorHAnsi"/>
          <w:sz w:val="20"/>
          <w:szCs w:val="20"/>
          <w:lang w:val="ro-RO"/>
        </w:rPr>
        <w:t>%.</w:t>
      </w:r>
    </w:p>
    <w:p w14:paraId="5450D237" w14:textId="77777777" w:rsidR="008431D2" w:rsidRPr="00011A8C" w:rsidRDefault="008431D2" w:rsidP="00EF4A5C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bookmarkStart w:id="4" w:name="_Hlk149546469"/>
      <w:r w:rsidRPr="00011A8C">
        <w:rPr>
          <w:rFonts w:asciiTheme="minorHAnsi" w:hAnsiTheme="minorHAnsi" w:cstheme="minorHAnsi"/>
          <w:sz w:val="20"/>
          <w:szCs w:val="20"/>
          <w:lang w:val="ro-RO"/>
        </w:rPr>
        <w:t>Impunerea cotei de TVA de 19% pentru:</w:t>
      </w:r>
    </w:p>
    <w:p w14:paraId="7C68188C" w14:textId="4A024654" w:rsidR="00EF4A5C" w:rsidRPr="00011A8C" w:rsidRDefault="008431D2" w:rsidP="008431D2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a</w:t>
      </w:r>
      <w:r w:rsidR="00EF4A5C" w:rsidRPr="00011A8C">
        <w:rPr>
          <w:rFonts w:asciiTheme="minorHAnsi" w:hAnsiTheme="minorHAnsi" w:cstheme="minorHAnsi"/>
          <w:sz w:val="20"/>
          <w:szCs w:val="20"/>
          <w:lang w:val="ro-RO"/>
        </w:rPr>
        <w:t>limente cu zahar adăugat peste 10%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, inclusiv pentru cele </w:t>
      </w:r>
      <w:r w:rsidR="00EF4A5C" w:rsidRPr="00011A8C">
        <w:rPr>
          <w:rFonts w:asciiTheme="minorHAnsi" w:hAnsiTheme="minorHAnsi" w:cstheme="minorHAnsi"/>
          <w:sz w:val="20"/>
          <w:szCs w:val="20"/>
          <w:lang w:val="ro-RO"/>
        </w:rPr>
        <w:t>de înaltă valoare calitativă, respectiv produse montane, eco, tradiţionale</w:t>
      </w:r>
    </w:p>
    <w:p w14:paraId="4082B10A" w14:textId="0262EF51" w:rsidR="00EF4A5C" w:rsidRPr="00011A8C" w:rsidRDefault="008431D2" w:rsidP="008431D2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b</w:t>
      </w:r>
      <w:r w:rsidR="00EF4A5C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ăuturi nealcoolice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de tipul ape, inclusiv ape minerale și ape gazeificate, care conțin zahăr sau alți îndulcitori sau aromatizate, bere fără alcool</w:t>
      </w:r>
    </w:p>
    <w:bookmarkEnd w:id="4"/>
    <w:p w14:paraId="4228C963" w14:textId="67BC433E" w:rsidR="00EF4A5C" w:rsidRPr="00011A8C" w:rsidRDefault="008431D2" w:rsidP="00EF4A5C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Majorarea cotei de TVA de la 5% la 19% pentru</w:t>
      </w:r>
      <w:r w:rsidR="00EF4A5C" w:rsidRPr="00011A8C">
        <w:rPr>
          <w:rFonts w:asciiTheme="minorHAnsi" w:hAnsiTheme="minorHAnsi" w:cstheme="minorHAnsi"/>
          <w:sz w:val="20"/>
          <w:szCs w:val="20"/>
          <w:lang w:val="ro-RO"/>
        </w:rPr>
        <w:t>:</w:t>
      </w:r>
    </w:p>
    <w:p w14:paraId="31C2C597" w14:textId="77777777" w:rsidR="00EF4A5C" w:rsidRPr="00011A8C" w:rsidRDefault="00EF4A5C" w:rsidP="008431D2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bookmarkStart w:id="5" w:name="_Hlk149546529"/>
      <w:r w:rsidRPr="00011A8C">
        <w:rPr>
          <w:rFonts w:asciiTheme="minorHAnsi" w:hAnsiTheme="minorHAnsi" w:cstheme="minorHAnsi"/>
          <w:sz w:val="20"/>
          <w:szCs w:val="20"/>
          <w:lang w:val="ro-RO"/>
        </w:rPr>
        <w:t>dreptul de utilizare a facilităţilor sportive în scopul practicării sportului şi educaţiei fizice</w:t>
      </w:r>
    </w:p>
    <w:bookmarkEnd w:id="5"/>
    <w:p w14:paraId="7CEAD96A" w14:textId="3AA9D177" w:rsidR="00EF0035" w:rsidRPr="00011A8C" w:rsidRDefault="00EF4A5C" w:rsidP="004A758B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transportul de persoane cu ambarcaţiuni folosite în scop turistic sau de agrement, transport pe cablu, cu trenurile sau vehiculele istorice cu tracţiune cu aburi</w:t>
      </w:r>
    </w:p>
    <w:p w14:paraId="62805CCF" w14:textId="35315C28" w:rsidR="008431D2" w:rsidRPr="00011A8C" w:rsidRDefault="008431D2" w:rsidP="008431D2">
      <w:pPr>
        <w:suppressAutoHyphens/>
        <w:spacing w:before="120" w:after="120" w:line="360" w:lineRule="auto"/>
        <w:rPr>
          <w:rFonts w:cstheme="minorHAnsi"/>
          <w:b/>
          <w:bCs/>
        </w:rPr>
      </w:pPr>
      <w:r w:rsidRPr="00011A8C">
        <w:rPr>
          <w:rFonts w:cstheme="minorHAnsi"/>
          <w:b/>
          <w:bCs/>
        </w:rPr>
        <w:t>6. Accize</w:t>
      </w:r>
    </w:p>
    <w:p w14:paraId="47F6EB4E" w14:textId="5FD28B29" w:rsidR="008431D2" w:rsidRPr="00011A8C" w:rsidRDefault="008431D2" w:rsidP="008431D2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Se majorează accizele pentru produse din tutun </w:t>
      </w:r>
      <w:r w:rsidR="0021752E" w:rsidRPr="00011A8C">
        <w:rPr>
          <w:rFonts w:asciiTheme="minorHAnsi" w:hAnsiTheme="minorHAnsi" w:cstheme="minorHAnsi"/>
          <w:sz w:val="20"/>
          <w:szCs w:val="20"/>
          <w:lang w:val="ro-RO"/>
        </w:rPr>
        <w:t>ș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i pentru produse alcoolice</w:t>
      </w:r>
    </w:p>
    <w:p w14:paraId="66ADF995" w14:textId="29E72AF7" w:rsidR="008431D2" w:rsidRPr="00011A8C" w:rsidRDefault="008431D2" w:rsidP="008431D2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Se introduc accize noi pentru băuturi cu zah</w:t>
      </w:r>
      <w:r w:rsidR="0021752E" w:rsidRPr="00011A8C">
        <w:rPr>
          <w:rFonts w:asciiTheme="minorHAnsi" w:hAnsiTheme="minorHAnsi" w:cstheme="minorHAnsi"/>
          <w:sz w:val="20"/>
          <w:szCs w:val="20"/>
          <w:lang w:val="ro-RO"/>
        </w:rPr>
        <w:t>ă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r adăugat:</w:t>
      </w:r>
    </w:p>
    <w:p w14:paraId="3B4CB8B3" w14:textId="44A4EE5B" w:rsidR="008431D2" w:rsidRPr="00011A8C" w:rsidRDefault="008431D2" w:rsidP="008431D2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Concentrație 5%-8% - 40 lei/hl</w:t>
      </w:r>
    </w:p>
    <w:p w14:paraId="09567044" w14:textId="0658F466" w:rsidR="008431D2" w:rsidRPr="00011A8C" w:rsidRDefault="008431D2" w:rsidP="008431D2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Concentrație &gt; 8% - 60 lei/hl</w:t>
      </w:r>
    </w:p>
    <w:p w14:paraId="14E78B3D" w14:textId="7C427ABA" w:rsidR="008431D2" w:rsidRPr="00011A8C" w:rsidRDefault="008431D2" w:rsidP="008431D2">
      <w:pPr>
        <w:suppressAutoHyphens/>
        <w:spacing w:before="120" w:after="120" w:line="360" w:lineRule="auto"/>
        <w:rPr>
          <w:rFonts w:cstheme="minorHAnsi"/>
          <w:b/>
          <w:bCs/>
        </w:rPr>
      </w:pPr>
      <w:r w:rsidRPr="00011A8C">
        <w:rPr>
          <w:rFonts w:cstheme="minorHAnsi"/>
          <w:b/>
          <w:bCs/>
        </w:rPr>
        <w:t xml:space="preserve">7. </w:t>
      </w:r>
      <w:bookmarkStart w:id="6" w:name="_Hlk149547225"/>
      <w:r w:rsidR="0021752E" w:rsidRPr="00011A8C">
        <w:rPr>
          <w:rFonts w:cstheme="minorHAnsi"/>
          <w:b/>
          <w:bCs/>
        </w:rPr>
        <w:t>Impozit special pe bunurile imobile și mobile de valoare mare</w:t>
      </w:r>
    </w:p>
    <w:p w14:paraId="70CCE611" w14:textId="1A5DD688" w:rsidR="002C06EF" w:rsidRPr="00011A8C" w:rsidRDefault="0021752E" w:rsidP="002C06EF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Persoanele fizice care au în proprietate/proprietate comună clădiri rezidențiale situate în România a căror valoare depășește 2.500.000 lei</w:t>
      </w:r>
      <w:r w:rsidR="002C06EF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datorează un impozit special de 0,3% asupra diferenței dintre valoarea impozabilă a clădirii și plafonul de 2.500.000 lei.  Impozitul se calculează, declară și plătește până la data de 30 aprilie inclusiv a anului pentru care se datorează impozitul;</w:t>
      </w:r>
    </w:p>
    <w:p w14:paraId="6D2B0070" w14:textId="0DDA4F1D" w:rsidR="002C06EF" w:rsidRPr="00011A8C" w:rsidRDefault="002C06EF" w:rsidP="006E2C75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>Persoanele fizice și juridice care au în proprietate autoturisme înmatriculate/înregistrate în România a căror valoare de achiziție individual depășește 375.000 lei datorează un impozit special de 0,3% asupra diferenței dintre valoarea de achiziție și plafonul de 375.000 lei. Impozitul se datorează pe o perioadă de 5 ani începând cu anul fiscal în care are loc predarea-primirea autoturismului sau pentru fracțiunea de ani rămasă până la împlinirea perioadei de 5 ani de la această dată pentru cele la care predarea-primirea autoturismului a avut loc anterior.  Impozitul se calculează, declară și plătește până la data de 31 decembrie inclusiv a anului pentru care se datorează impozitul</w:t>
      </w:r>
      <w:r w:rsidR="00F80FA4">
        <w:rPr>
          <w:rFonts w:asciiTheme="minorHAnsi" w:hAnsiTheme="minorHAnsi" w:cstheme="minorHAnsi"/>
          <w:sz w:val="20"/>
          <w:szCs w:val="20"/>
          <w:lang w:val="ro-RO"/>
        </w:rPr>
        <w:t>.</w:t>
      </w:r>
    </w:p>
    <w:bookmarkEnd w:id="6"/>
    <w:p w14:paraId="200491C4" w14:textId="0FFDECE8" w:rsidR="002C06EF" w:rsidRPr="00011A8C" w:rsidRDefault="002C06EF" w:rsidP="002C06EF">
      <w:pPr>
        <w:suppressAutoHyphens/>
        <w:spacing w:before="120" w:after="120" w:line="360" w:lineRule="auto"/>
        <w:rPr>
          <w:rFonts w:cstheme="minorHAnsi"/>
          <w:b/>
          <w:bCs/>
        </w:rPr>
      </w:pPr>
      <w:r w:rsidRPr="00011A8C">
        <w:rPr>
          <w:rFonts w:cstheme="minorHAnsi"/>
          <w:b/>
          <w:bCs/>
        </w:rPr>
        <w:t>8. Alte prevederi</w:t>
      </w:r>
    </w:p>
    <w:p w14:paraId="6F333D53" w14:textId="6157B896" w:rsidR="00F36EF6" w:rsidRPr="00011A8C" w:rsidRDefault="00345646" w:rsidP="00F36EF6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Veniturile realizate de persoanele fizice, a căror sursă nu a fost identificată </w:t>
      </w:r>
      <w:r w:rsidR="00F80FA4" w:rsidRPr="00011A8C">
        <w:rPr>
          <w:rFonts w:asciiTheme="minorHAnsi" w:hAnsiTheme="minorHAnsi" w:cstheme="minorHAnsi"/>
          <w:sz w:val="20"/>
          <w:szCs w:val="20"/>
          <w:lang w:val="ro-RO"/>
        </w:rPr>
        <w:t>de organele fiscale</w:t>
      </w:r>
      <w:r w:rsidR="00F80FA4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>se vor impune cu o cotă majorată de 70% (în loc de 16%);</w:t>
      </w:r>
    </w:p>
    <w:p w14:paraId="603505A6" w14:textId="6F6AC7E8" w:rsidR="00F36EF6" w:rsidRPr="00011A8C" w:rsidRDefault="00F36EF6" w:rsidP="00FC737B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lastRenderedPageBreak/>
        <w:t xml:space="preserve">În vederea asigurării respectării trasabilității transporturilor rutiere de bunuri pe teritoriul României se instituie sistemul național RO e-Sigiliu - sistem bazat pe utilizarea unor dispozitive electronice și a unei aplicații informatice care permite </w:t>
      </w:r>
      <w:r w:rsidR="00533F8A" w:rsidRPr="00011A8C">
        <w:rPr>
          <w:rFonts w:asciiTheme="minorHAnsi" w:hAnsiTheme="minorHAnsi" w:cstheme="minorHAnsi"/>
          <w:sz w:val="20"/>
          <w:szCs w:val="20"/>
          <w:lang w:val="ro-RO"/>
        </w:rPr>
        <w:t>autorităților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competente determinarea </w:t>
      </w:r>
      <w:r w:rsidR="00533F8A" w:rsidRPr="00011A8C">
        <w:rPr>
          <w:rFonts w:asciiTheme="minorHAnsi" w:hAnsiTheme="minorHAnsi" w:cstheme="minorHAnsi"/>
          <w:sz w:val="20"/>
          <w:szCs w:val="20"/>
          <w:lang w:val="ro-RO"/>
        </w:rPr>
        <w:t>potențialelor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puncte de deturnare a transporturilor rutiere de bunuri, indiferent dacă acestea sunt aflate în tranzit sau au ca destinație finală un operator economic de pe teritoriul național;</w:t>
      </w:r>
    </w:p>
    <w:p w14:paraId="5BDAA555" w14:textId="11CCB0E8" w:rsidR="00011A8C" w:rsidRPr="00011A8C" w:rsidRDefault="00F36EF6" w:rsidP="00011A8C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Dispare posibilitatea plății </w:t>
      </w:r>
      <w:r w:rsidR="00F665C4">
        <w:rPr>
          <w:rFonts w:asciiTheme="minorHAnsi" w:hAnsiTheme="minorHAnsi" w:cstheme="minorHAnsi"/>
          <w:sz w:val="20"/>
          <w:szCs w:val="20"/>
          <w:lang w:val="ro-RO"/>
        </w:rPr>
        <w:t xml:space="preserve">in termen de 15 zile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a jumătate din </w:t>
      </w:r>
      <w:r w:rsidR="00011A8C" w:rsidRPr="00011A8C">
        <w:rPr>
          <w:rFonts w:asciiTheme="minorHAnsi" w:hAnsiTheme="minorHAnsi" w:cstheme="minorHAnsi"/>
          <w:sz w:val="20"/>
          <w:szCs w:val="20"/>
          <w:lang w:val="ro-RO"/>
        </w:rPr>
        <w:t>minimul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amenzilor prevăzute </w:t>
      </w:r>
      <w:r w:rsidR="00011A8C" w:rsidRPr="00011A8C">
        <w:rPr>
          <w:rFonts w:asciiTheme="minorHAnsi" w:hAnsiTheme="minorHAnsi" w:cstheme="minorHAnsi"/>
          <w:sz w:val="20"/>
          <w:szCs w:val="20"/>
          <w:lang w:val="ro-RO"/>
        </w:rPr>
        <w:t>de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Codul fiscal, Codul de procedură fiscală, Legea contabilității, Ordonanța caselor de marcat și Legea privind operațiunile în numerar</w:t>
      </w:r>
      <w:r w:rsidR="00011A8C" w:rsidRPr="00011A8C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6B57027A" w14:textId="06CB8D04" w:rsidR="00011A8C" w:rsidRDefault="00011A8C" w:rsidP="00746038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Legea nr. 70/2015 pentru întărirea disciplinei financiare privind </w:t>
      </w:r>
      <w:r w:rsidR="00533F8A" w:rsidRPr="00011A8C">
        <w:rPr>
          <w:rFonts w:asciiTheme="minorHAnsi" w:hAnsiTheme="minorHAnsi" w:cstheme="minorHAnsi"/>
          <w:sz w:val="20"/>
          <w:szCs w:val="20"/>
          <w:lang w:val="ro-RO"/>
        </w:rPr>
        <w:t>operațiunile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de încasări </w:t>
      </w:r>
      <w:r w:rsidR="00533F8A" w:rsidRPr="00011A8C">
        <w:rPr>
          <w:rFonts w:asciiTheme="minorHAnsi" w:hAnsiTheme="minorHAnsi" w:cstheme="minorHAnsi"/>
          <w:sz w:val="20"/>
          <w:szCs w:val="20"/>
          <w:lang w:val="ro-RO"/>
        </w:rPr>
        <w:t>și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533F8A" w:rsidRPr="00011A8C">
        <w:rPr>
          <w:rFonts w:asciiTheme="minorHAnsi" w:hAnsiTheme="minorHAnsi" w:cstheme="minorHAnsi"/>
          <w:sz w:val="20"/>
          <w:szCs w:val="20"/>
          <w:lang w:val="ro-RO"/>
        </w:rPr>
        <w:t>plăți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în numerar este modificată prin reducerea drastică, cu aprox. 80%, a plafoanelor pentru tranzacțiile în numerar.  Nerespectarea noilor plafoane se va sancționa cu amendă de 25% din suma încasată/plătită, respectiv deținută în casierie, care depășește plafonul stabilit;</w:t>
      </w:r>
    </w:p>
    <w:p w14:paraId="775C9509" w14:textId="72FA31C6" w:rsidR="00A3329A" w:rsidRDefault="00345646" w:rsidP="00345646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asciiTheme="minorHAnsi" w:hAnsiTheme="minorHAnsi" w:cstheme="minorHAnsi"/>
          <w:sz w:val="20"/>
          <w:szCs w:val="20"/>
          <w:lang w:val="ro-RO"/>
        </w:rPr>
      </w:pPr>
      <w:bookmarkStart w:id="7" w:name="_Hlk149547360"/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Sistemul național </w:t>
      </w:r>
      <w:r w:rsidR="00A3329A">
        <w:rPr>
          <w:rFonts w:asciiTheme="minorHAnsi" w:hAnsiTheme="minorHAnsi" w:cstheme="minorHAnsi"/>
          <w:sz w:val="20"/>
          <w:szCs w:val="20"/>
          <w:lang w:val="ro-RO"/>
        </w:rPr>
        <w:t>privind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factura electronică </w:t>
      </w:r>
      <w:r w:rsidR="00A3329A">
        <w:rPr>
          <w:rFonts w:asciiTheme="minorHAnsi" w:hAnsiTheme="minorHAnsi" w:cstheme="minorHAnsi"/>
          <w:sz w:val="20"/>
          <w:szCs w:val="20"/>
          <w:lang w:val="ro-RO"/>
        </w:rPr>
        <w:t xml:space="preserve">RO e-Factura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va fi extins, din 2024, la toate </w:t>
      </w:r>
      <w:r w:rsidR="0056067B">
        <w:rPr>
          <w:rFonts w:asciiTheme="minorHAnsi" w:hAnsiTheme="minorHAnsi" w:cstheme="minorHAnsi"/>
          <w:sz w:val="20"/>
          <w:szCs w:val="20"/>
          <w:lang w:val="ro-RO"/>
        </w:rPr>
        <w:t xml:space="preserve">(i)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persoanele stabilite în România, indiferent dacă au cod de TVA sau nu, </w:t>
      </w:r>
      <w:r w:rsidR="00A3329A">
        <w:rPr>
          <w:rFonts w:asciiTheme="minorHAnsi" w:hAnsiTheme="minorHAnsi" w:cstheme="minorHAnsi"/>
          <w:sz w:val="20"/>
          <w:szCs w:val="20"/>
          <w:lang w:val="ro-RO"/>
        </w:rPr>
        <w:t xml:space="preserve">și </w:t>
      </w:r>
      <w:r w:rsidR="0056067B">
        <w:rPr>
          <w:rFonts w:asciiTheme="minorHAnsi" w:hAnsiTheme="minorHAnsi" w:cstheme="minorHAnsi"/>
          <w:sz w:val="20"/>
          <w:szCs w:val="20"/>
          <w:lang w:val="ro-RO"/>
        </w:rPr>
        <w:t xml:space="preserve">(ii) </w:t>
      </w:r>
      <w:r w:rsidR="00A3329A">
        <w:rPr>
          <w:rFonts w:asciiTheme="minorHAnsi" w:hAnsiTheme="minorHAnsi" w:cstheme="minorHAnsi"/>
          <w:sz w:val="20"/>
          <w:szCs w:val="20"/>
          <w:lang w:val="ro-RO"/>
        </w:rPr>
        <w:t xml:space="preserve">la </w:t>
      </w:r>
      <w:r w:rsidR="00A3329A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persoanele </w:t>
      </w:r>
      <w:r w:rsidR="00A3329A">
        <w:rPr>
          <w:rFonts w:asciiTheme="minorHAnsi" w:hAnsiTheme="minorHAnsi" w:cstheme="minorHAnsi"/>
          <w:sz w:val="20"/>
          <w:szCs w:val="20"/>
          <w:lang w:val="ro-RO"/>
        </w:rPr>
        <w:t>ne</w:t>
      </w:r>
      <w:r w:rsidR="00A3329A" w:rsidRPr="00011A8C">
        <w:rPr>
          <w:rFonts w:asciiTheme="minorHAnsi" w:hAnsiTheme="minorHAnsi" w:cstheme="minorHAnsi"/>
          <w:sz w:val="20"/>
          <w:szCs w:val="20"/>
          <w:lang w:val="ro-RO"/>
        </w:rPr>
        <w:t>stabilite în România</w:t>
      </w:r>
      <w:r w:rsidR="0056067B">
        <w:rPr>
          <w:rFonts w:asciiTheme="minorHAnsi" w:hAnsiTheme="minorHAnsi" w:cstheme="minorHAnsi"/>
          <w:sz w:val="20"/>
          <w:szCs w:val="20"/>
          <w:lang w:val="ro-RO"/>
        </w:rPr>
        <w:t xml:space="preserve">, dar înregistrate în scopuri de TVA în România, 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pentru toate operațiunile care au locul livrării sau prestării pe </w:t>
      </w:r>
      <w:r w:rsidR="00A3329A" w:rsidRPr="00011A8C">
        <w:rPr>
          <w:rFonts w:asciiTheme="minorHAnsi" w:hAnsiTheme="minorHAnsi" w:cstheme="minorHAnsi"/>
          <w:sz w:val="20"/>
          <w:szCs w:val="20"/>
          <w:lang w:val="ro-RO"/>
        </w:rPr>
        <w:t>teritoriul</w:t>
      </w:r>
      <w:r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naționa</w:t>
      </w:r>
      <w:r w:rsidR="00A3329A">
        <w:rPr>
          <w:rFonts w:asciiTheme="minorHAnsi" w:hAnsiTheme="minorHAnsi" w:cstheme="minorHAnsi"/>
          <w:sz w:val="20"/>
          <w:szCs w:val="20"/>
          <w:lang w:val="ro-RO"/>
        </w:rPr>
        <w:t>l:</w:t>
      </w:r>
    </w:p>
    <w:p w14:paraId="6B8BF369" w14:textId="02799E19" w:rsidR="00A3329A" w:rsidRDefault="00A3329A" w:rsidP="0056067B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56067B">
        <w:rPr>
          <w:rFonts w:asciiTheme="minorHAnsi" w:hAnsiTheme="minorHAnsi" w:cstheme="minorHAnsi"/>
          <w:sz w:val="20"/>
          <w:szCs w:val="20"/>
          <w:lang w:val="ro-RO"/>
        </w:rPr>
        <w:t>În perioada 1 ianuarie – 30 iunie 2024</w:t>
      </w:r>
      <w:r w:rsidR="0056067B" w:rsidRPr="0056067B">
        <w:rPr>
          <w:rFonts w:asciiTheme="minorHAnsi" w:hAnsiTheme="minorHAnsi" w:cstheme="minorHAnsi"/>
          <w:sz w:val="20"/>
          <w:szCs w:val="20"/>
          <w:lang w:val="ro-RO"/>
        </w:rPr>
        <w:t>, aceste persoane au obligația să transmită facturile emise</w:t>
      </w:r>
      <w:r w:rsidR="00AC4785">
        <w:rPr>
          <w:rFonts w:asciiTheme="minorHAnsi" w:hAnsiTheme="minorHAnsi" w:cstheme="minorHAnsi"/>
          <w:sz w:val="20"/>
          <w:szCs w:val="20"/>
          <w:lang w:val="ro-RO"/>
        </w:rPr>
        <w:t>,</w:t>
      </w:r>
      <w:r w:rsidR="0056067B" w:rsidRPr="0056067B">
        <w:rPr>
          <w:rFonts w:asciiTheme="minorHAnsi" w:hAnsiTheme="minorHAnsi" w:cstheme="minorHAnsi"/>
          <w:sz w:val="20"/>
          <w:szCs w:val="20"/>
          <w:lang w:val="ro-RO"/>
        </w:rPr>
        <w:t xml:space="preserve"> în sistemul </w:t>
      </w:r>
      <w:r w:rsidR="00F665C4" w:rsidRPr="0056067B">
        <w:rPr>
          <w:rFonts w:asciiTheme="minorHAnsi" w:hAnsiTheme="minorHAnsi" w:cstheme="minorHAnsi"/>
          <w:sz w:val="20"/>
          <w:szCs w:val="20"/>
          <w:lang w:val="ro-RO"/>
        </w:rPr>
        <w:t>național</w:t>
      </w:r>
      <w:r w:rsidR="0056067B" w:rsidRPr="0056067B">
        <w:rPr>
          <w:rFonts w:asciiTheme="minorHAnsi" w:hAnsiTheme="minorHAnsi" w:cstheme="minorHAnsi"/>
          <w:sz w:val="20"/>
          <w:szCs w:val="20"/>
          <w:lang w:val="ro-RO"/>
        </w:rPr>
        <w:t xml:space="preserve"> privind factura electronică RO e-Factura, indiferent dacă destinatarii sunt sau nu </w:t>
      </w:r>
      <w:r w:rsidR="00F665C4" w:rsidRPr="0056067B">
        <w:rPr>
          <w:rFonts w:asciiTheme="minorHAnsi" w:hAnsiTheme="minorHAnsi" w:cstheme="minorHAnsi"/>
          <w:sz w:val="20"/>
          <w:szCs w:val="20"/>
          <w:lang w:val="ro-RO"/>
        </w:rPr>
        <w:t>înregistrați</w:t>
      </w:r>
      <w:r w:rsidR="0056067B" w:rsidRPr="0056067B">
        <w:rPr>
          <w:rFonts w:asciiTheme="minorHAnsi" w:hAnsiTheme="minorHAnsi" w:cstheme="minorHAnsi"/>
          <w:sz w:val="20"/>
          <w:szCs w:val="20"/>
          <w:lang w:val="ro-RO"/>
        </w:rPr>
        <w:t xml:space="preserve"> în Registrul RO e-Factura</w:t>
      </w:r>
      <w:r w:rsidR="0056067B">
        <w:rPr>
          <w:rFonts w:asciiTheme="minorHAnsi" w:hAnsiTheme="minorHAnsi" w:cstheme="minorHAnsi"/>
          <w:sz w:val="20"/>
          <w:szCs w:val="20"/>
          <w:lang w:val="ro-RO"/>
        </w:rPr>
        <w:t>;</w:t>
      </w:r>
    </w:p>
    <w:p w14:paraId="2E886AF9" w14:textId="49EFC8A2" w:rsidR="0056067B" w:rsidRDefault="0056067B" w:rsidP="0056067B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Transmiterea facturilor prin sistem nu este obligatorie pentru exporturi și livrări intracomunitare de bunuri;</w:t>
      </w:r>
    </w:p>
    <w:p w14:paraId="2D01EB97" w14:textId="0063DE05" w:rsidR="0056067B" w:rsidRDefault="0056067B" w:rsidP="0056067B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 w:rsidRPr="0056067B">
        <w:rPr>
          <w:rFonts w:asciiTheme="minorHAnsi" w:hAnsiTheme="minorHAnsi" w:cstheme="minorHAnsi"/>
          <w:sz w:val="20"/>
          <w:szCs w:val="20"/>
          <w:lang w:val="ro-RO"/>
        </w:rPr>
        <w:t xml:space="preserve">Cu excepția situației în care atât furnizorul/prestatorul, cât și destinatarul sunt </w:t>
      </w:r>
      <w:r w:rsidR="00F665C4" w:rsidRPr="0056067B">
        <w:rPr>
          <w:rFonts w:asciiTheme="minorHAnsi" w:hAnsiTheme="minorHAnsi" w:cstheme="minorHAnsi"/>
          <w:sz w:val="20"/>
          <w:szCs w:val="20"/>
          <w:lang w:val="ro-RO"/>
        </w:rPr>
        <w:t>înregistrați</w:t>
      </w:r>
      <w:r w:rsidRPr="0056067B">
        <w:rPr>
          <w:rFonts w:asciiTheme="minorHAnsi" w:hAnsiTheme="minorHAnsi" w:cstheme="minorHAnsi"/>
          <w:sz w:val="20"/>
          <w:szCs w:val="20"/>
          <w:lang w:val="ro-RO"/>
        </w:rPr>
        <w:t xml:space="preserve"> în Registrul RO e-Factura, persoanele menționate mai sus sunt obliga</w:t>
      </w:r>
      <w:r>
        <w:rPr>
          <w:rFonts w:asciiTheme="minorHAnsi" w:hAnsiTheme="minorHAnsi" w:cstheme="minorHAnsi"/>
          <w:sz w:val="20"/>
          <w:szCs w:val="20"/>
          <w:lang w:val="ro-RO"/>
        </w:rPr>
        <w:t>te</w:t>
      </w:r>
      <w:r w:rsidRPr="0056067B">
        <w:rPr>
          <w:rFonts w:asciiTheme="minorHAnsi" w:hAnsiTheme="minorHAnsi" w:cstheme="minorHAnsi"/>
          <w:sz w:val="20"/>
          <w:szCs w:val="20"/>
          <w:lang w:val="ro-RO"/>
        </w:rPr>
        <w:t xml:space="preserve"> să transmită facturile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56067B">
        <w:rPr>
          <w:rFonts w:asciiTheme="minorHAnsi" w:hAnsiTheme="minorHAnsi" w:cstheme="minorHAnsi"/>
          <w:sz w:val="20"/>
          <w:szCs w:val="20"/>
          <w:lang w:val="ro-RO"/>
        </w:rPr>
        <w:t xml:space="preserve">emise către destinatari conform prevederilor </w:t>
      </w:r>
      <w:r>
        <w:rPr>
          <w:rFonts w:asciiTheme="minorHAnsi" w:hAnsiTheme="minorHAnsi" w:cstheme="minorHAnsi"/>
          <w:sz w:val="20"/>
          <w:szCs w:val="20"/>
          <w:lang w:val="ro-RO"/>
        </w:rPr>
        <w:t>Codului fiscal</w:t>
      </w:r>
      <w:r w:rsidRPr="0056067B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</w:p>
    <w:p w14:paraId="1B6E6B90" w14:textId="76213BB1" w:rsidR="0056067B" w:rsidRDefault="0056067B" w:rsidP="00A3329A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T</w:t>
      </w:r>
      <w:r w:rsidR="00345646" w:rsidRPr="00011A8C">
        <w:rPr>
          <w:rFonts w:asciiTheme="minorHAnsi" w:hAnsiTheme="minorHAnsi" w:cstheme="minorHAnsi"/>
          <w:sz w:val="20"/>
          <w:szCs w:val="20"/>
          <w:lang w:val="ro-RO"/>
        </w:rPr>
        <w:t>ermen</w:t>
      </w:r>
      <w:r>
        <w:rPr>
          <w:rFonts w:asciiTheme="minorHAnsi" w:hAnsiTheme="minorHAnsi" w:cstheme="minorHAnsi"/>
          <w:sz w:val="20"/>
          <w:szCs w:val="20"/>
          <w:lang w:val="ro-RO"/>
        </w:rPr>
        <w:t>ul limită pentru transmiterea facturilor</w:t>
      </w:r>
      <w:r w:rsidR="00345646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56067B">
        <w:rPr>
          <w:rFonts w:asciiTheme="minorHAnsi" w:hAnsiTheme="minorHAnsi" w:cstheme="minorHAnsi"/>
          <w:sz w:val="20"/>
          <w:szCs w:val="20"/>
          <w:lang w:val="ro-RO"/>
        </w:rPr>
        <w:t xml:space="preserve">în sistemul național 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este </w:t>
      </w:r>
      <w:r w:rsidR="00345646" w:rsidRPr="00011A8C">
        <w:rPr>
          <w:rFonts w:asciiTheme="minorHAnsi" w:hAnsiTheme="minorHAnsi" w:cstheme="minorHAnsi"/>
          <w:sz w:val="20"/>
          <w:szCs w:val="20"/>
          <w:lang w:val="ro-RO"/>
        </w:rPr>
        <w:t>de 5 zile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lucrătoare de la data emiterii facturii;</w:t>
      </w:r>
    </w:p>
    <w:p w14:paraId="02ED38FB" w14:textId="32879A15" w:rsidR="00AC4785" w:rsidRDefault="0056067B" w:rsidP="00A3329A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N</w:t>
      </w:r>
      <w:r w:rsidR="00345646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erespectarea 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prevederilor de mai sus se sancționează cu amendă între 1.000 lei – 10.000 lei, dar în perioada 1 ianuarie – 31 martie 2024 </w:t>
      </w:r>
      <w:r w:rsidR="00AC4785">
        <w:rPr>
          <w:rFonts w:asciiTheme="minorHAnsi" w:hAnsiTheme="minorHAnsi" w:cstheme="minorHAnsi"/>
          <w:sz w:val="20"/>
          <w:szCs w:val="20"/>
          <w:lang w:val="ro-RO"/>
        </w:rPr>
        <w:t>sancționarea este</w:t>
      </w:r>
      <w:r w:rsidR="00345646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suspendat</w:t>
      </w:r>
      <w:r w:rsidR="00AC4785">
        <w:rPr>
          <w:rFonts w:asciiTheme="minorHAnsi" w:hAnsiTheme="minorHAnsi" w:cstheme="minorHAnsi"/>
          <w:sz w:val="20"/>
          <w:szCs w:val="20"/>
          <w:lang w:val="ro-RO"/>
        </w:rPr>
        <w:t>ă;</w:t>
      </w:r>
    </w:p>
    <w:p w14:paraId="16FDC052" w14:textId="47448C49" w:rsidR="00345646" w:rsidRPr="008A40E6" w:rsidRDefault="00AC4785" w:rsidP="008A40E6">
      <w:pPr>
        <w:pStyle w:val="ListParagraph"/>
        <w:numPr>
          <w:ilvl w:val="0"/>
          <w:numId w:val="5"/>
        </w:numPr>
        <w:suppressAutoHyphens/>
        <w:spacing w:before="120" w:after="120" w:line="360" w:lineRule="auto"/>
        <w:ind w:left="993" w:hanging="426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Începând cu data de</w:t>
      </w:r>
      <w:r w:rsidR="00345646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 1 iulie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2024</w:t>
      </w:r>
      <w:r w:rsidR="00345646" w:rsidRPr="00011A8C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ro-RO"/>
        </w:rPr>
        <w:t>se introducere obligativitatea facturării electronice și transmiterea facturilor prin sistemul RO e-Factura pentru toate persoanele menționate mai sus.  Nerespectarea acestor prevederi se sa</w:t>
      </w:r>
      <w:r w:rsidR="008A40E6">
        <w:rPr>
          <w:rFonts w:asciiTheme="minorHAnsi" w:hAnsiTheme="minorHAnsi" w:cstheme="minorHAnsi"/>
          <w:sz w:val="20"/>
          <w:szCs w:val="20"/>
          <w:lang w:val="ro-RO"/>
        </w:rPr>
        <w:t>n</w:t>
      </w:r>
      <w:r>
        <w:rPr>
          <w:rFonts w:asciiTheme="minorHAnsi" w:hAnsiTheme="minorHAnsi" w:cstheme="minorHAnsi"/>
          <w:sz w:val="20"/>
          <w:szCs w:val="20"/>
          <w:lang w:val="ro-RO"/>
        </w:rPr>
        <w:t>cționează</w:t>
      </w:r>
      <w:r w:rsidR="008A40E6">
        <w:rPr>
          <w:rFonts w:asciiTheme="minorHAnsi" w:hAnsiTheme="minorHAnsi" w:cstheme="minorHAnsi"/>
          <w:sz w:val="20"/>
          <w:szCs w:val="20"/>
          <w:lang w:val="ro-RO"/>
        </w:rPr>
        <w:t>,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="008A40E6">
        <w:rPr>
          <w:rFonts w:asciiTheme="minorHAnsi" w:hAnsiTheme="minorHAnsi" w:cstheme="minorHAnsi"/>
          <w:sz w:val="20"/>
          <w:szCs w:val="20"/>
          <w:lang w:val="ro-RO"/>
        </w:rPr>
        <w:t xml:space="preserve">la cumpărător, </w:t>
      </w:r>
      <w:r w:rsidR="008A40E6" w:rsidRPr="008A40E6">
        <w:rPr>
          <w:rFonts w:asciiTheme="minorHAnsi" w:hAnsiTheme="minorHAnsi" w:cstheme="minorHAnsi"/>
          <w:sz w:val="20"/>
          <w:szCs w:val="20"/>
          <w:lang w:val="ro-RO"/>
        </w:rPr>
        <w:t>cu o amendă egală cu cuantumul TVA înscrisă în respectiva factură primită</w:t>
      </w:r>
      <w:r w:rsidR="008A40E6">
        <w:rPr>
          <w:rFonts w:asciiTheme="minorHAnsi" w:hAnsiTheme="minorHAnsi" w:cstheme="minorHAnsi"/>
          <w:sz w:val="20"/>
          <w:szCs w:val="20"/>
          <w:lang w:val="ro-RO"/>
        </w:rPr>
        <w:t xml:space="preserve"> în cazul tranzacțiilor B2B, iar în cazul tranzacțiilor B2G, cu neplata facturii.</w:t>
      </w:r>
    </w:p>
    <w:bookmarkEnd w:id="7"/>
    <w:p w14:paraId="03F72ED1" w14:textId="3EB42291" w:rsidR="002C06EF" w:rsidRPr="00F665C4" w:rsidRDefault="008A40E6" w:rsidP="00760F8C">
      <w:pPr>
        <w:pStyle w:val="ListParagraph"/>
        <w:numPr>
          <w:ilvl w:val="0"/>
          <w:numId w:val="4"/>
        </w:numPr>
        <w:suppressAutoHyphens/>
        <w:spacing w:before="120" w:after="120" w:line="360" w:lineRule="auto"/>
        <w:ind w:left="567" w:hanging="567"/>
        <w:rPr>
          <w:rFonts w:cstheme="minorHAnsi"/>
        </w:rPr>
      </w:pPr>
      <w:r w:rsidRPr="00F665C4">
        <w:rPr>
          <w:rFonts w:asciiTheme="minorHAnsi" w:hAnsiTheme="minorHAnsi" w:cstheme="minorHAnsi"/>
          <w:sz w:val="20"/>
          <w:szCs w:val="20"/>
          <w:lang w:val="ro-RO"/>
        </w:rPr>
        <w:t>S</w:t>
      </w:r>
      <w:r w:rsidR="002C06EF" w:rsidRPr="00F665C4">
        <w:rPr>
          <w:rFonts w:asciiTheme="minorHAnsi" w:hAnsiTheme="minorHAnsi" w:cstheme="minorHAnsi"/>
          <w:sz w:val="20"/>
          <w:szCs w:val="20"/>
          <w:lang w:val="ro-RO"/>
        </w:rPr>
        <w:t xml:space="preserve">unt </w:t>
      </w:r>
      <w:r w:rsidRPr="00F665C4">
        <w:rPr>
          <w:rFonts w:asciiTheme="minorHAnsi" w:hAnsiTheme="minorHAnsi" w:cstheme="minorHAnsi"/>
          <w:sz w:val="20"/>
          <w:szCs w:val="20"/>
          <w:lang w:val="ro-RO"/>
        </w:rPr>
        <w:t xml:space="preserve">introduse noi măsuri pentru combaterea evaziunii fiscale - </w:t>
      </w:r>
      <w:r w:rsidR="002C06EF" w:rsidRPr="00F665C4">
        <w:rPr>
          <w:rFonts w:asciiTheme="minorHAnsi" w:hAnsiTheme="minorHAnsi" w:cstheme="minorHAnsi"/>
          <w:sz w:val="20"/>
          <w:szCs w:val="20"/>
          <w:lang w:val="ro-RO"/>
        </w:rPr>
        <w:t>amenzi și confiscarea bunurilor pentru persoanele fizice și juridice care desfășoară activități economice fără înregistrare fiscală sau fără documente de proveniență pentru bunurile deținute sau transportate</w:t>
      </w:r>
      <w:r w:rsidRPr="00F665C4">
        <w:rPr>
          <w:rFonts w:asciiTheme="minorHAnsi" w:hAnsiTheme="minorHAnsi" w:cstheme="minorHAnsi"/>
          <w:sz w:val="20"/>
          <w:szCs w:val="20"/>
          <w:lang w:val="ro-RO"/>
        </w:rPr>
        <w:t xml:space="preserve"> și suspendarea activității în cazul abaterilor subsecvente într-un interval de maximum 12 luni.</w:t>
      </w:r>
      <w:bookmarkEnd w:id="0"/>
    </w:p>
    <w:sectPr w:rsidR="002C06EF" w:rsidRPr="00F6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FF11" w14:textId="77777777" w:rsidR="00FE0C1F" w:rsidRDefault="00FE0C1F" w:rsidP="00DD7DCB">
      <w:pPr>
        <w:spacing w:before="0" w:after="0" w:line="240" w:lineRule="auto"/>
      </w:pPr>
      <w:r>
        <w:separator/>
      </w:r>
    </w:p>
  </w:endnote>
  <w:endnote w:type="continuationSeparator" w:id="0">
    <w:p w14:paraId="2421AE0A" w14:textId="77777777" w:rsidR="00FE0C1F" w:rsidRDefault="00FE0C1F" w:rsidP="00DD7D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1F27" w14:textId="77777777" w:rsidR="00FE0C1F" w:rsidRDefault="00FE0C1F" w:rsidP="00DD7DCB">
      <w:pPr>
        <w:spacing w:before="0" w:after="0" w:line="240" w:lineRule="auto"/>
      </w:pPr>
      <w:r>
        <w:separator/>
      </w:r>
    </w:p>
  </w:footnote>
  <w:footnote w:type="continuationSeparator" w:id="0">
    <w:p w14:paraId="18188B16" w14:textId="77777777" w:rsidR="00FE0C1F" w:rsidRDefault="00FE0C1F" w:rsidP="00DD7D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33DE"/>
    <w:multiLevelType w:val="hybridMultilevel"/>
    <w:tmpl w:val="FF8E7F5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00B2"/>
    <w:multiLevelType w:val="singleLevel"/>
    <w:tmpl w:val="13DE6F4E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40E12E95"/>
    <w:multiLevelType w:val="hybridMultilevel"/>
    <w:tmpl w:val="B2444F9C"/>
    <w:lvl w:ilvl="0" w:tplc="9D2E80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CE89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2519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852A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6C61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2142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E690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C915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C30D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153542"/>
    <w:multiLevelType w:val="hybridMultilevel"/>
    <w:tmpl w:val="F8A8FA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7F61"/>
    <w:multiLevelType w:val="hybridMultilevel"/>
    <w:tmpl w:val="0C9E67D0"/>
    <w:lvl w:ilvl="0" w:tplc="F1027B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67018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D1262A0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6D4F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90B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8F46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2DC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925B7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470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E85D2C"/>
    <w:multiLevelType w:val="hybridMultilevel"/>
    <w:tmpl w:val="7B8654B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6767"/>
    <w:multiLevelType w:val="hybridMultilevel"/>
    <w:tmpl w:val="684A42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043935">
    <w:abstractNumId w:val="1"/>
  </w:num>
  <w:num w:numId="2" w16cid:durableId="1803231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953182">
    <w:abstractNumId w:val="0"/>
  </w:num>
  <w:num w:numId="4" w16cid:durableId="934939721">
    <w:abstractNumId w:val="5"/>
  </w:num>
  <w:num w:numId="5" w16cid:durableId="1767536367">
    <w:abstractNumId w:val="3"/>
  </w:num>
  <w:num w:numId="6" w16cid:durableId="866599464">
    <w:abstractNumId w:val="6"/>
  </w:num>
  <w:num w:numId="7" w16cid:durableId="1188449866">
    <w:abstractNumId w:val="4"/>
  </w:num>
  <w:num w:numId="8" w16cid:durableId="49630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0"/>
    <w:rsid w:val="00011A8C"/>
    <w:rsid w:val="00037936"/>
    <w:rsid w:val="00051DB8"/>
    <w:rsid w:val="0021752E"/>
    <w:rsid w:val="00222CB5"/>
    <w:rsid w:val="002248D3"/>
    <w:rsid w:val="00224D60"/>
    <w:rsid w:val="002B66C0"/>
    <w:rsid w:val="002C06EF"/>
    <w:rsid w:val="002E522C"/>
    <w:rsid w:val="00330E27"/>
    <w:rsid w:val="00345646"/>
    <w:rsid w:val="003867AD"/>
    <w:rsid w:val="003A6FFF"/>
    <w:rsid w:val="003C6A0A"/>
    <w:rsid w:val="004A758B"/>
    <w:rsid w:val="004B773C"/>
    <w:rsid w:val="00533F8A"/>
    <w:rsid w:val="0056067B"/>
    <w:rsid w:val="005C1033"/>
    <w:rsid w:val="00681E2F"/>
    <w:rsid w:val="006C1C21"/>
    <w:rsid w:val="006C40BF"/>
    <w:rsid w:val="0075797D"/>
    <w:rsid w:val="007712FF"/>
    <w:rsid w:val="007C6E8A"/>
    <w:rsid w:val="007E5765"/>
    <w:rsid w:val="008431D2"/>
    <w:rsid w:val="008A40E6"/>
    <w:rsid w:val="00971294"/>
    <w:rsid w:val="00A029E7"/>
    <w:rsid w:val="00A3329A"/>
    <w:rsid w:val="00A44C35"/>
    <w:rsid w:val="00AC4785"/>
    <w:rsid w:val="00AF1BFD"/>
    <w:rsid w:val="00B01B11"/>
    <w:rsid w:val="00B8136C"/>
    <w:rsid w:val="00C14436"/>
    <w:rsid w:val="00C41950"/>
    <w:rsid w:val="00C87FBA"/>
    <w:rsid w:val="00D00B88"/>
    <w:rsid w:val="00DB2050"/>
    <w:rsid w:val="00DD7DCB"/>
    <w:rsid w:val="00E51614"/>
    <w:rsid w:val="00EA1B3A"/>
    <w:rsid w:val="00EB3DA0"/>
    <w:rsid w:val="00EF0035"/>
    <w:rsid w:val="00EF4A5C"/>
    <w:rsid w:val="00F07F48"/>
    <w:rsid w:val="00F36EF6"/>
    <w:rsid w:val="00F665C4"/>
    <w:rsid w:val="00F80FA4"/>
    <w:rsid w:val="00F93B0E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66754"/>
  <w15:chartTrackingRefBased/>
  <w15:docId w15:val="{C86B8B05-CCB5-4B5A-8E6E-DB37891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en-US" w:bidi="gu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65"/>
  </w:style>
  <w:style w:type="paragraph" w:styleId="Heading1">
    <w:name w:val="heading 1"/>
    <w:basedOn w:val="Normal"/>
    <w:next w:val="Normal"/>
    <w:link w:val="Heading1Char"/>
    <w:uiPriority w:val="9"/>
    <w:qFormat/>
    <w:rsid w:val="007E5765"/>
    <w:pPr>
      <w:pBdr>
        <w:top w:val="single" w:sz="24" w:space="0" w:color="5539EB" w:themeColor="accent1"/>
        <w:left w:val="single" w:sz="24" w:space="0" w:color="5539EB" w:themeColor="accent1"/>
        <w:bottom w:val="single" w:sz="24" w:space="0" w:color="5539EB" w:themeColor="accent1"/>
        <w:right w:val="single" w:sz="24" w:space="0" w:color="5539EB" w:themeColor="accent1"/>
      </w:pBdr>
      <w:shd w:val="clear" w:color="auto" w:fill="5539E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765"/>
    <w:pPr>
      <w:pBdr>
        <w:top w:val="single" w:sz="24" w:space="0" w:color="DCD7FB" w:themeColor="accent1" w:themeTint="33"/>
        <w:left w:val="single" w:sz="24" w:space="0" w:color="DCD7FB" w:themeColor="accent1" w:themeTint="33"/>
        <w:bottom w:val="single" w:sz="24" w:space="0" w:color="DCD7FB" w:themeColor="accent1" w:themeTint="33"/>
        <w:right w:val="single" w:sz="24" w:space="0" w:color="DCD7FB" w:themeColor="accent1" w:themeTint="33"/>
      </w:pBdr>
      <w:shd w:val="clear" w:color="auto" w:fill="DCD7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765"/>
    <w:pPr>
      <w:pBdr>
        <w:top w:val="single" w:sz="6" w:space="2" w:color="5539EB" w:themeColor="accent1"/>
      </w:pBdr>
      <w:spacing w:before="300" w:after="0"/>
      <w:outlineLvl w:val="2"/>
    </w:pPr>
    <w:rPr>
      <w:caps/>
      <w:color w:val="200D8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765"/>
    <w:pPr>
      <w:pBdr>
        <w:top w:val="dotted" w:sz="6" w:space="2" w:color="5539EB" w:themeColor="accent1"/>
      </w:pBdr>
      <w:spacing w:before="200" w:after="0"/>
      <w:outlineLvl w:val="3"/>
    </w:pPr>
    <w:rPr>
      <w:caps/>
      <w:color w:val="3014C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765"/>
    <w:pPr>
      <w:pBdr>
        <w:bottom w:val="single" w:sz="6" w:space="1" w:color="5539EB" w:themeColor="accent1"/>
      </w:pBdr>
      <w:spacing w:before="200" w:after="0"/>
      <w:outlineLvl w:val="4"/>
    </w:pPr>
    <w:rPr>
      <w:caps/>
      <w:color w:val="3014C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765"/>
    <w:pPr>
      <w:pBdr>
        <w:bottom w:val="dotted" w:sz="6" w:space="1" w:color="5539EB" w:themeColor="accent1"/>
      </w:pBdr>
      <w:spacing w:before="200" w:after="0"/>
      <w:outlineLvl w:val="5"/>
    </w:pPr>
    <w:rPr>
      <w:caps/>
      <w:color w:val="3014C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765"/>
    <w:pPr>
      <w:spacing w:before="200" w:after="0"/>
      <w:outlineLvl w:val="6"/>
    </w:pPr>
    <w:rPr>
      <w:caps/>
      <w:color w:val="3014C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7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7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Head1">
    <w:name w:val="SecHead1"/>
    <w:basedOn w:val="Normal"/>
    <w:link w:val="SecHead1Char"/>
    <w:rsid w:val="007E5765"/>
  </w:style>
  <w:style w:type="character" w:customStyle="1" w:styleId="SecHead1Char">
    <w:name w:val="SecHead1 Char"/>
    <w:basedOn w:val="DefaultParagraphFont"/>
    <w:link w:val="SecHead1"/>
    <w:rsid w:val="007E5765"/>
    <w:rPr>
      <w:rFonts w:cs="Latha"/>
    </w:rPr>
  </w:style>
  <w:style w:type="paragraph" w:customStyle="1" w:styleId="SecHead2">
    <w:name w:val="SecHead2"/>
    <w:basedOn w:val="Normal"/>
    <w:link w:val="SecHead2Char"/>
    <w:rsid w:val="007E5765"/>
  </w:style>
  <w:style w:type="character" w:customStyle="1" w:styleId="SecHead2Char">
    <w:name w:val="SecHead2 Char"/>
    <w:basedOn w:val="DefaultParagraphFont"/>
    <w:link w:val="SecHead2"/>
    <w:rsid w:val="007E5765"/>
    <w:rPr>
      <w:rFonts w:cs="Latha"/>
    </w:rPr>
  </w:style>
  <w:style w:type="paragraph" w:customStyle="1" w:styleId="SecHead3">
    <w:name w:val="SecHead3"/>
    <w:basedOn w:val="Normal"/>
    <w:link w:val="SecHead3Char"/>
    <w:rsid w:val="007E5765"/>
  </w:style>
  <w:style w:type="character" w:customStyle="1" w:styleId="SecHead3Char">
    <w:name w:val="SecHead3 Char"/>
    <w:basedOn w:val="DefaultParagraphFont"/>
    <w:link w:val="SecHead3"/>
    <w:rsid w:val="007E5765"/>
    <w:rPr>
      <w:rFonts w:cs="Latha"/>
    </w:rPr>
  </w:style>
  <w:style w:type="paragraph" w:customStyle="1" w:styleId="SecHead4">
    <w:name w:val="SecHead4"/>
    <w:basedOn w:val="Normal"/>
    <w:link w:val="SecHead4Char"/>
    <w:rsid w:val="007E5765"/>
  </w:style>
  <w:style w:type="character" w:customStyle="1" w:styleId="SecHead4Char">
    <w:name w:val="SecHead4 Char"/>
    <w:basedOn w:val="DefaultParagraphFont"/>
    <w:link w:val="SecHead4"/>
    <w:rsid w:val="007E5765"/>
    <w:rPr>
      <w:rFonts w:cs="Latha"/>
    </w:rPr>
  </w:style>
  <w:style w:type="paragraph" w:customStyle="1" w:styleId="SecHead5">
    <w:name w:val="SecHead5"/>
    <w:basedOn w:val="Normal"/>
    <w:link w:val="SecHead5Char"/>
    <w:rsid w:val="007E5765"/>
  </w:style>
  <w:style w:type="character" w:customStyle="1" w:styleId="SecHead5Char">
    <w:name w:val="SecHead5 Char"/>
    <w:basedOn w:val="DefaultParagraphFont"/>
    <w:link w:val="SecHead5"/>
    <w:rsid w:val="007E5765"/>
    <w:rPr>
      <w:rFonts w:cs="Latha"/>
    </w:rPr>
  </w:style>
  <w:style w:type="paragraph" w:customStyle="1" w:styleId="SecHead6">
    <w:name w:val="SecHead6"/>
    <w:basedOn w:val="Normal"/>
    <w:link w:val="SecHead6Char"/>
    <w:rsid w:val="007E5765"/>
  </w:style>
  <w:style w:type="character" w:customStyle="1" w:styleId="SecHead6Char">
    <w:name w:val="SecHead6 Char"/>
    <w:basedOn w:val="DefaultParagraphFont"/>
    <w:link w:val="SecHead6"/>
    <w:rsid w:val="007E5765"/>
    <w:rPr>
      <w:rFonts w:cs="Latha"/>
    </w:rPr>
  </w:style>
  <w:style w:type="paragraph" w:customStyle="1" w:styleId="SecHead7">
    <w:name w:val="SecHead7"/>
    <w:basedOn w:val="Normal"/>
    <w:link w:val="SecHead7Char"/>
    <w:rsid w:val="007E5765"/>
  </w:style>
  <w:style w:type="character" w:customStyle="1" w:styleId="SecHead7Char">
    <w:name w:val="SecHead7 Char"/>
    <w:basedOn w:val="DefaultParagraphFont"/>
    <w:link w:val="SecHead7"/>
    <w:rsid w:val="007E5765"/>
    <w:rPr>
      <w:rFonts w:cs="Latha"/>
    </w:rPr>
  </w:style>
  <w:style w:type="paragraph" w:customStyle="1" w:styleId="SecHead8">
    <w:name w:val="SecHead8"/>
    <w:basedOn w:val="Normal"/>
    <w:link w:val="SecHead8Char"/>
    <w:rsid w:val="007E5765"/>
  </w:style>
  <w:style w:type="character" w:customStyle="1" w:styleId="SecHead8Char">
    <w:name w:val="SecHead8 Char"/>
    <w:basedOn w:val="DefaultParagraphFont"/>
    <w:link w:val="SecHead8"/>
    <w:rsid w:val="007E5765"/>
    <w:rPr>
      <w:rFonts w:cs="Latha"/>
    </w:rPr>
  </w:style>
  <w:style w:type="paragraph" w:customStyle="1" w:styleId="SecHead9">
    <w:name w:val="SecHead9"/>
    <w:basedOn w:val="Normal"/>
    <w:link w:val="SecHead9Char"/>
    <w:rsid w:val="007E5765"/>
  </w:style>
  <w:style w:type="character" w:customStyle="1" w:styleId="SecHead9Char">
    <w:name w:val="SecHead9 Char"/>
    <w:basedOn w:val="DefaultParagraphFont"/>
    <w:link w:val="SecHead9"/>
    <w:rsid w:val="007E5765"/>
    <w:rPr>
      <w:rFonts w:cs="Latha"/>
    </w:rPr>
  </w:style>
  <w:style w:type="character" w:customStyle="1" w:styleId="Heading1Char">
    <w:name w:val="Heading 1 Char"/>
    <w:basedOn w:val="DefaultParagraphFont"/>
    <w:link w:val="Heading1"/>
    <w:uiPriority w:val="9"/>
    <w:rsid w:val="007E5765"/>
    <w:rPr>
      <w:caps/>
      <w:color w:val="FFFFFF" w:themeColor="background1"/>
      <w:spacing w:val="15"/>
      <w:sz w:val="22"/>
      <w:szCs w:val="22"/>
      <w:shd w:val="clear" w:color="auto" w:fill="5539E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765"/>
    <w:rPr>
      <w:caps/>
      <w:spacing w:val="15"/>
      <w:shd w:val="clear" w:color="auto" w:fill="DCD7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765"/>
    <w:rPr>
      <w:caps/>
      <w:color w:val="200D8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765"/>
    <w:rPr>
      <w:caps/>
      <w:color w:val="3014C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765"/>
    <w:rPr>
      <w:caps/>
      <w:color w:val="3014C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765"/>
    <w:rPr>
      <w:caps/>
      <w:color w:val="3014C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765"/>
    <w:rPr>
      <w:caps/>
      <w:color w:val="3014C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7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76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5765"/>
    <w:rPr>
      <w:b/>
      <w:bCs/>
      <w:color w:val="3014C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5765"/>
    <w:pPr>
      <w:spacing w:before="0" w:after="0"/>
    </w:pPr>
    <w:rPr>
      <w:rFonts w:asciiTheme="majorHAnsi" w:eastAsiaTheme="majorEastAsia" w:hAnsiTheme="majorHAnsi" w:cstheme="majorBidi"/>
      <w:caps/>
      <w:color w:val="5539E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765"/>
    <w:rPr>
      <w:rFonts w:asciiTheme="majorHAnsi" w:eastAsiaTheme="majorEastAsia" w:hAnsiTheme="majorHAnsi" w:cstheme="majorBidi"/>
      <w:caps/>
      <w:color w:val="5539E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7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576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5765"/>
    <w:rPr>
      <w:b/>
      <w:bCs/>
    </w:rPr>
  </w:style>
  <w:style w:type="character" w:styleId="Emphasis">
    <w:name w:val="Emphasis"/>
    <w:uiPriority w:val="20"/>
    <w:qFormat/>
    <w:rsid w:val="007E5765"/>
    <w:rPr>
      <w:caps/>
      <w:color w:val="200D83" w:themeColor="accent1" w:themeShade="7F"/>
      <w:spacing w:val="5"/>
    </w:rPr>
  </w:style>
  <w:style w:type="paragraph" w:styleId="NoSpacing">
    <w:name w:val="No Spacing"/>
    <w:uiPriority w:val="1"/>
    <w:qFormat/>
    <w:rsid w:val="007E57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576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576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765"/>
    <w:pPr>
      <w:spacing w:before="240" w:after="240" w:line="240" w:lineRule="auto"/>
      <w:ind w:left="1080" w:right="1080"/>
      <w:jc w:val="center"/>
    </w:pPr>
    <w:rPr>
      <w:color w:val="5539E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765"/>
    <w:rPr>
      <w:color w:val="5539EB" w:themeColor="accent1"/>
      <w:sz w:val="24"/>
      <w:szCs w:val="24"/>
    </w:rPr>
  </w:style>
  <w:style w:type="character" w:styleId="SubtleEmphasis">
    <w:name w:val="Subtle Emphasis"/>
    <w:uiPriority w:val="19"/>
    <w:qFormat/>
    <w:rsid w:val="007E5765"/>
    <w:rPr>
      <w:i/>
      <w:iCs/>
      <w:color w:val="200D83" w:themeColor="accent1" w:themeShade="7F"/>
    </w:rPr>
  </w:style>
  <w:style w:type="character" w:styleId="IntenseEmphasis">
    <w:name w:val="Intense Emphasis"/>
    <w:uiPriority w:val="21"/>
    <w:qFormat/>
    <w:rsid w:val="007E5765"/>
    <w:rPr>
      <w:b/>
      <w:bCs/>
      <w:caps/>
      <w:color w:val="200D83" w:themeColor="accent1" w:themeShade="7F"/>
      <w:spacing w:val="10"/>
    </w:rPr>
  </w:style>
  <w:style w:type="character" w:styleId="SubtleReference">
    <w:name w:val="Subtle Reference"/>
    <w:uiPriority w:val="31"/>
    <w:qFormat/>
    <w:rsid w:val="007E5765"/>
    <w:rPr>
      <w:b/>
      <w:bCs/>
      <w:color w:val="5539EB" w:themeColor="accent1"/>
    </w:rPr>
  </w:style>
  <w:style w:type="character" w:styleId="IntenseReference">
    <w:name w:val="Intense Reference"/>
    <w:uiPriority w:val="32"/>
    <w:qFormat/>
    <w:rsid w:val="007E5765"/>
    <w:rPr>
      <w:b/>
      <w:bCs/>
      <w:i/>
      <w:iCs/>
      <w:caps/>
      <w:color w:val="5539EB" w:themeColor="accent1"/>
    </w:rPr>
  </w:style>
  <w:style w:type="character" w:styleId="BookTitle">
    <w:name w:val="Book Title"/>
    <w:uiPriority w:val="33"/>
    <w:qFormat/>
    <w:rsid w:val="007E576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765"/>
    <w:pPr>
      <w:outlineLvl w:val="9"/>
    </w:pPr>
  </w:style>
  <w:style w:type="paragraph" w:styleId="ListParagraph">
    <w:name w:val="List Paragraph"/>
    <w:aliases w:val="#Listenabsatz"/>
    <w:basedOn w:val="Normal"/>
    <w:uiPriority w:val="34"/>
    <w:qFormat/>
    <w:rsid w:val="007E5765"/>
    <w:pPr>
      <w:spacing w:before="0" w:after="240" w:line="280" w:lineRule="atLeast"/>
      <w:ind w:left="720"/>
      <w:jc w:val="both"/>
    </w:pPr>
    <w:rPr>
      <w:rFonts w:ascii="Calibri" w:eastAsia="Times New Roman" w:hAnsi="Calibri" w:cs="Times New Roman"/>
      <w:sz w:val="24"/>
      <w:szCs w:val="24"/>
      <w:lang w:val="de-DE" w:eastAsia="de-DE" w:bidi="ar-SA"/>
    </w:rPr>
  </w:style>
  <w:style w:type="paragraph" w:styleId="Revision">
    <w:name w:val="Revision"/>
    <w:hidden/>
    <w:uiPriority w:val="99"/>
    <w:semiHidden/>
    <w:rsid w:val="006C40BF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7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7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B77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7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7D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CB"/>
  </w:style>
  <w:style w:type="paragraph" w:styleId="Footer">
    <w:name w:val="footer"/>
    <w:basedOn w:val="Normal"/>
    <w:link w:val="FooterChar"/>
    <w:uiPriority w:val="99"/>
    <w:unhideWhenUsed/>
    <w:rsid w:val="00DD7D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22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1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78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78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46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216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077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263">
          <w:marLeft w:val="105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err">
  <a:themeElements>
    <a:clrScheme name="Noerr">
      <a:dk1>
        <a:sysClr val="windowText" lastClr="000000"/>
      </a:dk1>
      <a:lt1>
        <a:sysClr val="window" lastClr="FFFFFF"/>
      </a:lt1>
      <a:dk2>
        <a:srgbClr val="898989"/>
      </a:dk2>
      <a:lt2>
        <a:srgbClr val="F45352"/>
      </a:lt2>
      <a:accent1>
        <a:srgbClr val="5539EB"/>
      </a:accent1>
      <a:accent2>
        <a:srgbClr val="7761EF"/>
      </a:accent2>
      <a:accent3>
        <a:srgbClr val="9988F3"/>
      </a:accent3>
      <a:accent4>
        <a:srgbClr val="BBB0F7"/>
      </a:accent4>
      <a:accent5>
        <a:srgbClr val="DDD7FB"/>
      </a:accent5>
      <a:accent6>
        <a:srgbClr val="EEEBFD"/>
      </a:accent6>
      <a:hlink>
        <a:srgbClr val="5539EB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>
        <a:defPPr algn="ctr">
          <a:defRPr sz="140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651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1400" smtClean="0"/>
        </a:defPPr>
      </a:lstStyle>
    </a:txDef>
  </a:objectDefaults>
  <a:extraClrSchemeLst/>
  <a:custClrLst>
    <a:custClr name="Noerr Purple 100%">
      <a:srgbClr val="5539EB"/>
    </a:custClr>
    <a:custClr name="Noerr Purple 80%">
      <a:srgbClr val="7761EF"/>
    </a:custClr>
    <a:custClr name="Noerr Purple 60%">
      <a:srgbClr val="9988F3"/>
    </a:custClr>
    <a:custClr name="Noerr Purple 40%">
      <a:srgbClr val="BBB0F7"/>
    </a:custClr>
    <a:custClr name="Noerr Purple 20%">
      <a:srgbClr val="DDD7FB"/>
    </a:custClr>
    <a:custClr name="Noerr Purple 10%">
      <a:srgbClr val="EEEBFD"/>
    </a:custClr>
    <a:custClr name="--">
      <a:srgbClr val="FFFFFF"/>
    </a:custClr>
    <a:custClr name="--">
      <a:srgbClr val="FFFFFF"/>
    </a:custClr>
    <a:custClr name="--">
      <a:srgbClr val="FFFFFF"/>
    </a:custClr>
    <a:custClr name="--">
      <a:srgbClr val="FFFFFF"/>
    </a:custClr>
    <a:custClr name="Noerr Black 100%">
      <a:srgbClr val="000000"/>
    </a:custClr>
    <a:custClr name="Noerr Black 80%">
      <a:srgbClr val="333333"/>
    </a:custClr>
    <a:custClr name="Noerr Black 60%">
      <a:srgbClr val="666666"/>
    </a:custClr>
    <a:custClr name="Noerr Black 40%">
      <a:srgbClr val="999999"/>
    </a:custClr>
    <a:custClr name="Noerr Black 20%">
      <a:srgbClr val="CCCCCC"/>
    </a:custClr>
    <a:custClr name="Noerr Black 10%">
      <a:srgbClr val="E6E6E6"/>
    </a:custClr>
    <a:custClr name="--">
      <a:srgbClr val="FFFFFF"/>
    </a:custClr>
    <a:custClr name="--">
      <a:srgbClr val="FFFFFF"/>
    </a:custClr>
    <a:custClr name="--">
      <a:srgbClr val="FFFFFF"/>
    </a:custClr>
    <a:custClr name="--">
      <a:srgbClr val="FFFFFF"/>
    </a:custClr>
    <a:custClr name="Noerr Flamingo 100%">
      <a:srgbClr val="F45352"/>
    </a:custClr>
    <a:custClr name="Noerr Flamingo 80%">
      <a:srgbClr val="F67575"/>
    </a:custClr>
    <a:custClr name="Noerr Flamingo 60%">
      <a:srgbClr val="F89897"/>
    </a:custClr>
    <a:custClr name="Noerr Flamingo 40%">
      <a:srgbClr val="FBBABA"/>
    </a:custClr>
    <a:custClr name="Noerr Flamingo 20%">
      <a:srgbClr val="FDDDDC"/>
    </a:custClr>
    <a:custClr name="Noerr Flamingo 10%">
      <a:srgbClr val="FEEEEE"/>
    </a:custClr>
    <a:custClr name="--">
      <a:srgbClr val="FFFFFF"/>
    </a:custClr>
    <a:custClr name="--">
      <a:srgbClr val="FFFFFF"/>
    </a:custClr>
    <a:custClr name="--">
      <a:srgbClr val="FFFFFF"/>
    </a:custClr>
    <a:custClr name="--">
      <a:srgbClr val="FFFFFF"/>
    </a:custClr>
    <a:custClr name="Signalrot">
      <a:srgbClr val="A1262D"/>
    </a:custClr>
    <a:custClr name="Signalgelb">
      <a:srgbClr val="E8BF28"/>
    </a:custClr>
    <a:custClr name="Signalgrün">
      <a:srgbClr val="008E5E"/>
    </a:custClr>
    <a:custClr name="--">
      <a:srgbClr val="FFFFFF"/>
    </a:custClr>
    <a:custClr name="--">
      <a:srgbClr val="FFFFFF"/>
    </a:custClr>
    <a:custClr name="--">
      <a:srgbClr val="FFFFFF"/>
    </a:custClr>
    <a:custClr name="--">
      <a:srgbClr val="FFFFFF"/>
    </a:custClr>
    <a:custClr name="--">
      <a:srgbClr val="FFFFFF"/>
    </a:custClr>
    <a:custClr name="--">
      <a:srgbClr val="FFFFFF"/>
    </a:custClr>
    <a:custClr name="--">
      <a:srgbClr val="FFFFFF"/>
    </a:custClr>
  </a:custClrLst>
  <a:extLst>
    <a:ext uri="{05A4C25C-085E-4340-85A3-A5531E510DB2}">
      <thm15:themeFamily xmlns:thm15="http://schemas.microsoft.com/office/thememl/2012/main" name="Noerr" id="{419C8023-27BB-442D-851A-9D6E2BF7E580}" vid="{6461DDD7-1D03-4DD0-A186-CADBF4E3472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Mazilu, Carmen</dc:creator>
  <cp:keywords/>
  <dc:description/>
  <cp:lastModifiedBy>Irina Melecciu Vitelaru</cp:lastModifiedBy>
  <cp:revision>2</cp:revision>
  <dcterms:created xsi:type="dcterms:W3CDTF">2023-11-03T07:32:00Z</dcterms:created>
  <dcterms:modified xsi:type="dcterms:W3CDTF">2023-11-03T07:32:00Z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ro</vt:lpwstr>
  </property>
</Properties>
</file>