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C759" w14:textId="77777777" w:rsidR="001F517B" w:rsidRDefault="001F517B" w:rsidP="00F0521A">
      <w:pPr>
        <w:spacing w:after="80" w:line="264" w:lineRule="auto"/>
        <w:jc w:val="center"/>
        <w:rPr>
          <w:rFonts w:asciiTheme="majorHAnsi" w:hAnsiTheme="majorHAnsi" w:cstheme="majorHAnsi"/>
          <w:b/>
          <w:bCs/>
          <w:sz w:val="24"/>
          <w:szCs w:val="24"/>
          <w:lang w:val="ro-RO"/>
        </w:rPr>
      </w:pPr>
      <w:r w:rsidRPr="0090309A">
        <w:rPr>
          <w:rFonts w:asciiTheme="majorHAnsi" w:hAnsiTheme="majorHAnsi" w:cstheme="majorHAnsi"/>
          <w:b/>
          <w:bCs/>
          <w:sz w:val="24"/>
          <w:szCs w:val="24"/>
          <w:lang w:val="ro-RO"/>
        </w:rPr>
        <w:t xml:space="preserve">Sancțiunile aplicabile în </w:t>
      </w:r>
      <w:r>
        <w:rPr>
          <w:rFonts w:asciiTheme="majorHAnsi" w:hAnsiTheme="majorHAnsi" w:cstheme="majorHAnsi"/>
          <w:b/>
          <w:bCs/>
          <w:sz w:val="24"/>
          <w:szCs w:val="24"/>
          <w:lang w:val="ro-RO"/>
        </w:rPr>
        <w:t xml:space="preserve">cazul neconformării </w:t>
      </w:r>
      <w:r w:rsidRPr="0090309A">
        <w:rPr>
          <w:rFonts w:asciiTheme="majorHAnsi" w:hAnsiTheme="majorHAnsi" w:cstheme="majorHAnsi"/>
          <w:b/>
          <w:bCs/>
          <w:sz w:val="24"/>
          <w:szCs w:val="24"/>
          <w:lang w:val="ro-RO"/>
        </w:rPr>
        <w:t>l</w:t>
      </w:r>
      <w:r>
        <w:rPr>
          <w:rFonts w:asciiTheme="majorHAnsi" w:hAnsiTheme="majorHAnsi" w:cstheme="majorHAnsi"/>
          <w:b/>
          <w:bCs/>
          <w:sz w:val="24"/>
          <w:szCs w:val="24"/>
          <w:lang w:val="ro-RO"/>
        </w:rPr>
        <w:t xml:space="preserve">a sistemul de raportare </w:t>
      </w:r>
      <w:r w:rsidRPr="0090309A">
        <w:rPr>
          <w:rFonts w:asciiTheme="majorHAnsi" w:hAnsiTheme="majorHAnsi" w:cstheme="majorHAnsi"/>
          <w:b/>
          <w:bCs/>
          <w:sz w:val="24"/>
          <w:szCs w:val="24"/>
          <w:lang w:val="ro-RO"/>
        </w:rPr>
        <w:t>RO e-Factura</w:t>
      </w:r>
    </w:p>
    <w:p w14:paraId="2D095E07" w14:textId="77777777" w:rsidR="001F517B" w:rsidRDefault="001F517B" w:rsidP="00F0521A">
      <w:pPr>
        <w:spacing w:after="80" w:line="264" w:lineRule="auto"/>
        <w:jc w:val="center"/>
        <w:rPr>
          <w:rFonts w:asciiTheme="majorHAnsi" w:hAnsiTheme="majorHAnsi" w:cstheme="majorHAnsi"/>
          <w:b/>
          <w:bCs/>
          <w:sz w:val="24"/>
          <w:szCs w:val="24"/>
          <w:lang w:val="ro-RO"/>
        </w:rPr>
      </w:pPr>
    </w:p>
    <w:p w14:paraId="5B68EAF6" w14:textId="77777777" w:rsidR="001F517B" w:rsidRPr="009E57C9" w:rsidRDefault="001F517B" w:rsidP="00F0521A">
      <w:pPr>
        <w:spacing w:after="80" w:line="264" w:lineRule="auto"/>
        <w:rPr>
          <w:rFonts w:asciiTheme="majorHAnsi" w:hAnsiTheme="majorHAnsi" w:cstheme="majorHAnsi"/>
          <w:i/>
          <w:iCs/>
          <w:lang w:val="ro-RO"/>
        </w:rPr>
      </w:pPr>
      <w:r w:rsidRPr="001A4E75">
        <w:rPr>
          <w:rFonts w:asciiTheme="majorHAnsi" w:hAnsiTheme="majorHAnsi" w:cstheme="majorHAnsi"/>
          <w:i/>
          <w:iCs/>
          <w:lang w:val="ro-RO"/>
        </w:rPr>
        <w:t xml:space="preserve">Material de opinie de Ana </w:t>
      </w:r>
      <w:proofErr w:type="spellStart"/>
      <w:r w:rsidRPr="001A4E75">
        <w:rPr>
          <w:rFonts w:asciiTheme="majorHAnsi" w:hAnsiTheme="majorHAnsi" w:cstheme="majorHAnsi"/>
          <w:i/>
          <w:iCs/>
          <w:lang w:val="ro-RO"/>
        </w:rPr>
        <w:t>Săbiescu</w:t>
      </w:r>
      <w:proofErr w:type="spellEnd"/>
      <w:r w:rsidRPr="001A4E75">
        <w:rPr>
          <w:rFonts w:asciiTheme="majorHAnsi" w:hAnsiTheme="majorHAnsi" w:cstheme="majorHAnsi"/>
          <w:i/>
          <w:iCs/>
          <w:lang w:val="ro-RO"/>
        </w:rPr>
        <w:t xml:space="preserve">, Director, Impozitare Indirectă, Deloitte România, și Emanuel Bondalici, Senior </w:t>
      </w:r>
      <w:proofErr w:type="spellStart"/>
      <w:r w:rsidRPr="001A4E75">
        <w:rPr>
          <w:rFonts w:asciiTheme="majorHAnsi" w:hAnsiTheme="majorHAnsi" w:cstheme="majorHAnsi"/>
          <w:i/>
          <w:iCs/>
          <w:lang w:val="ro-RO"/>
        </w:rPr>
        <w:t>Managing</w:t>
      </w:r>
      <w:proofErr w:type="spellEnd"/>
      <w:r w:rsidRPr="001A4E75">
        <w:rPr>
          <w:rFonts w:asciiTheme="majorHAnsi" w:hAnsiTheme="majorHAnsi" w:cstheme="majorHAnsi"/>
          <w:i/>
          <w:iCs/>
          <w:lang w:val="ro-RO"/>
        </w:rPr>
        <w:t xml:space="preserve"> </w:t>
      </w:r>
      <w:proofErr w:type="spellStart"/>
      <w:r w:rsidRPr="001A4E75">
        <w:rPr>
          <w:rFonts w:asciiTheme="majorHAnsi" w:hAnsiTheme="majorHAnsi" w:cstheme="majorHAnsi"/>
          <w:i/>
          <w:iCs/>
          <w:lang w:val="ro-RO"/>
        </w:rPr>
        <w:t>Associate</w:t>
      </w:r>
      <w:proofErr w:type="spellEnd"/>
      <w:r w:rsidRPr="001A4E75">
        <w:rPr>
          <w:rFonts w:asciiTheme="majorHAnsi" w:hAnsiTheme="majorHAnsi" w:cstheme="majorHAnsi"/>
          <w:i/>
          <w:iCs/>
          <w:lang w:val="ro-RO"/>
        </w:rPr>
        <w:t>, Reff &amp; Asociații | Deloitte Legal</w:t>
      </w:r>
    </w:p>
    <w:p w14:paraId="48E91602" w14:textId="77777777" w:rsidR="00EF06DD" w:rsidRDefault="00EF06DD" w:rsidP="00EF06DD">
      <w:pPr>
        <w:spacing w:after="80" w:line="264" w:lineRule="auto"/>
        <w:jc w:val="both"/>
        <w:rPr>
          <w:rFonts w:asciiTheme="majorHAnsi" w:hAnsiTheme="majorHAnsi" w:cstheme="majorHAnsi"/>
          <w:lang w:val="ro-RO"/>
        </w:rPr>
      </w:pPr>
    </w:p>
    <w:p w14:paraId="630AD6F3" w14:textId="2965FEB4" w:rsidR="001F517B" w:rsidRPr="0090309A" w:rsidRDefault="001F517B" w:rsidP="00F0521A">
      <w:pPr>
        <w:spacing w:after="80" w:line="264" w:lineRule="auto"/>
        <w:jc w:val="both"/>
        <w:rPr>
          <w:rFonts w:asciiTheme="majorHAnsi" w:hAnsiTheme="majorHAnsi" w:cstheme="majorHAnsi"/>
          <w:lang w:val="ro-RO"/>
        </w:rPr>
      </w:pPr>
      <w:r w:rsidRPr="00427E23">
        <w:rPr>
          <w:rFonts w:asciiTheme="majorHAnsi" w:hAnsiTheme="majorHAnsi" w:cstheme="majorHAnsi"/>
          <w:lang w:val="ro-RO"/>
        </w:rPr>
        <w:t>Lege</w:t>
      </w:r>
      <w:r>
        <w:rPr>
          <w:rFonts w:asciiTheme="majorHAnsi" w:hAnsiTheme="majorHAnsi" w:cstheme="majorHAnsi"/>
          <w:lang w:val="ro-RO"/>
        </w:rPr>
        <w:t>a care prevede extinderea sistemului de raportare RO e-Factura la toate operațiunile taxabile derulate în România, începând de la 1 ianuarie 2024, a fost promulgată de președintele României și urmează să fie publicată în Monitorul Oficial (</w:t>
      </w:r>
      <w:r w:rsidRPr="0035118B">
        <w:rPr>
          <w:rFonts w:asciiTheme="majorHAnsi" w:hAnsiTheme="majorHAnsi" w:cstheme="majorHAnsi"/>
          <w:lang w:val="ro-RO"/>
        </w:rPr>
        <w:t>Legea nr. 296/2023</w:t>
      </w:r>
      <w:r w:rsidRPr="00427E23">
        <w:rPr>
          <w:rFonts w:asciiTheme="majorHAnsi" w:hAnsiTheme="majorHAnsi" w:cstheme="majorHAnsi"/>
          <w:lang w:val="ro-RO"/>
        </w:rPr>
        <w:t xml:space="preserve"> privind unele măsuri fiscal bugetare pentru asigurarea sustenabilității financiare a României pe termen lung</w:t>
      </w:r>
      <w:r>
        <w:rPr>
          <w:rFonts w:asciiTheme="majorHAnsi" w:hAnsiTheme="majorHAnsi" w:cstheme="majorHAnsi"/>
          <w:lang w:val="ro-RO"/>
        </w:rPr>
        <w:t>). Astfel, c</w:t>
      </w:r>
      <w:r w:rsidRPr="0090309A">
        <w:rPr>
          <w:rFonts w:asciiTheme="majorHAnsi" w:hAnsiTheme="majorHAnsi" w:cstheme="majorHAnsi"/>
          <w:lang w:val="ro-RO"/>
        </w:rPr>
        <w:t>ompaniile stabilite în România sau nerezidenții înregistrați în scopuri de TVA în țara noastră vor fi obliga</w:t>
      </w:r>
      <w:r>
        <w:rPr>
          <w:rFonts w:asciiTheme="majorHAnsi" w:hAnsiTheme="majorHAnsi" w:cstheme="majorHAnsi"/>
          <w:lang w:val="ro-RO"/>
        </w:rPr>
        <w:t xml:space="preserve">ți </w:t>
      </w:r>
      <w:r w:rsidRPr="0090309A">
        <w:rPr>
          <w:rFonts w:asciiTheme="majorHAnsi" w:hAnsiTheme="majorHAnsi" w:cstheme="majorHAnsi"/>
          <w:lang w:val="ro-RO"/>
        </w:rPr>
        <w:t xml:space="preserve">să raporteze toate facturile emise </w:t>
      </w:r>
      <w:r>
        <w:rPr>
          <w:rFonts w:asciiTheme="majorHAnsi" w:hAnsiTheme="majorHAnsi" w:cstheme="majorHAnsi"/>
          <w:lang w:val="ro-RO"/>
        </w:rPr>
        <w:t xml:space="preserve">pentru operațiuni taxabile în România </w:t>
      </w:r>
      <w:r w:rsidRPr="0090309A">
        <w:rPr>
          <w:rFonts w:asciiTheme="majorHAnsi" w:hAnsiTheme="majorHAnsi" w:cstheme="majorHAnsi"/>
          <w:lang w:val="ro-RO"/>
        </w:rPr>
        <w:t>în sistemul RO e-Factura</w:t>
      </w:r>
      <w:r>
        <w:rPr>
          <w:rFonts w:asciiTheme="majorHAnsi" w:hAnsiTheme="majorHAnsi" w:cstheme="majorHAnsi"/>
          <w:lang w:val="ro-RO"/>
        </w:rPr>
        <w:t xml:space="preserve"> și trebuie să aibă în vedere trei termene importante: 1 ianuarie, 1 aprilie și 1 iulie 2024. După acest ultim termen, pentru companiile stabilite în România, </w:t>
      </w:r>
      <w:r w:rsidRPr="0090309A">
        <w:rPr>
          <w:rFonts w:asciiTheme="majorHAnsi" w:hAnsiTheme="majorHAnsi" w:cstheme="majorHAnsi"/>
          <w:lang w:val="ro-RO"/>
        </w:rPr>
        <w:t xml:space="preserve">facturarea electronică </w:t>
      </w:r>
      <w:r>
        <w:rPr>
          <w:rFonts w:asciiTheme="majorHAnsi" w:hAnsiTheme="majorHAnsi" w:cstheme="majorHAnsi"/>
          <w:lang w:val="ro-RO"/>
        </w:rPr>
        <w:t>rămâne singura modalitate legală de emitere a facturilor</w:t>
      </w:r>
      <w:r w:rsidRPr="0090309A">
        <w:rPr>
          <w:rFonts w:asciiTheme="majorHAnsi" w:hAnsiTheme="majorHAnsi" w:cstheme="majorHAnsi"/>
          <w:lang w:val="ro-RO"/>
        </w:rPr>
        <w:t>.</w:t>
      </w:r>
    </w:p>
    <w:p w14:paraId="31E52496" w14:textId="77777777" w:rsidR="001F517B" w:rsidRPr="0090309A" w:rsidRDefault="001F517B" w:rsidP="00F0521A">
      <w:pPr>
        <w:spacing w:after="80" w:line="264" w:lineRule="auto"/>
        <w:jc w:val="both"/>
        <w:rPr>
          <w:rFonts w:asciiTheme="majorHAnsi" w:hAnsiTheme="majorHAnsi" w:cstheme="majorHAnsi"/>
          <w:lang w:val="ro-RO"/>
        </w:rPr>
      </w:pPr>
      <w:r>
        <w:rPr>
          <w:rFonts w:asciiTheme="majorHAnsi" w:hAnsiTheme="majorHAnsi" w:cstheme="majorHAnsi"/>
          <w:lang w:val="ro-RO"/>
        </w:rPr>
        <w:t>Termenul intermediar, 1 aprilie 2024, este extrem de important pentru că, din acel moment, vor putea fi aplicate s</w:t>
      </w:r>
      <w:r w:rsidRPr="0090309A">
        <w:rPr>
          <w:rFonts w:asciiTheme="majorHAnsi" w:hAnsiTheme="majorHAnsi" w:cstheme="majorHAnsi"/>
          <w:lang w:val="ro-RO"/>
        </w:rPr>
        <w:t>ancțiuni pentru nerespectarea raportării în sistemul RO e-Factura</w:t>
      </w:r>
      <w:r>
        <w:rPr>
          <w:rFonts w:asciiTheme="majorHAnsi" w:hAnsiTheme="majorHAnsi" w:cstheme="majorHAnsi"/>
          <w:lang w:val="ro-RO"/>
        </w:rPr>
        <w:t xml:space="preserve">, iar acestea sunt </w:t>
      </w:r>
      <w:r w:rsidRPr="0090309A">
        <w:rPr>
          <w:rFonts w:asciiTheme="majorHAnsi" w:hAnsiTheme="majorHAnsi" w:cstheme="majorHAnsi"/>
          <w:lang w:val="ro-RO"/>
        </w:rPr>
        <w:t>semnificative</w:t>
      </w:r>
      <w:r>
        <w:rPr>
          <w:rFonts w:asciiTheme="majorHAnsi" w:hAnsiTheme="majorHAnsi" w:cstheme="majorHAnsi"/>
          <w:lang w:val="ro-RO"/>
        </w:rPr>
        <w:t>.</w:t>
      </w:r>
      <w:r w:rsidRPr="0090309A">
        <w:rPr>
          <w:rFonts w:asciiTheme="majorHAnsi" w:hAnsiTheme="majorHAnsi" w:cstheme="majorHAnsi"/>
          <w:lang w:val="ro-RO"/>
        </w:rPr>
        <w:t xml:space="preserve"> Pe de o parte, nerespectarea obligației de transmitere a facturii în sistemul RO e-Factura în termen de </w:t>
      </w:r>
      <w:r>
        <w:rPr>
          <w:rFonts w:asciiTheme="majorHAnsi" w:hAnsiTheme="majorHAnsi" w:cstheme="majorHAnsi"/>
          <w:lang w:val="ro-RO"/>
        </w:rPr>
        <w:t>cinci</w:t>
      </w:r>
      <w:r w:rsidRPr="0090309A">
        <w:rPr>
          <w:rFonts w:asciiTheme="majorHAnsi" w:hAnsiTheme="majorHAnsi" w:cstheme="majorHAnsi"/>
          <w:lang w:val="ro-RO"/>
        </w:rPr>
        <w:t xml:space="preserve"> zile lucrătoare de la data emiterii </w:t>
      </w:r>
      <w:r>
        <w:rPr>
          <w:rFonts w:asciiTheme="majorHAnsi" w:hAnsiTheme="majorHAnsi" w:cstheme="majorHAnsi"/>
          <w:lang w:val="ro-RO"/>
        </w:rPr>
        <w:t xml:space="preserve">(raportare valabilă până la 30 iunie 2024 pentru companiile din România și pe termen nelimitat pentru nerezidenții cu cod de TVA în România) </w:t>
      </w:r>
      <w:r w:rsidRPr="0090309A">
        <w:rPr>
          <w:rFonts w:asciiTheme="majorHAnsi" w:hAnsiTheme="majorHAnsi" w:cstheme="majorHAnsi"/>
          <w:lang w:val="ro-RO"/>
        </w:rPr>
        <w:t>se sancționează cu amendă de la 5.000 la 10.000 lei pentru marii contribuabili, de la 2.500 la 5.000 lei pentru contribuabilii mijlocii și de la 1.000 la 2.500 lei pentru contribuabilii mici și pentru cei nerezidenți.</w:t>
      </w:r>
    </w:p>
    <w:p w14:paraId="3EB94F15" w14:textId="77777777" w:rsidR="001F517B" w:rsidRDefault="001F517B" w:rsidP="00F0521A">
      <w:pPr>
        <w:spacing w:after="80" w:line="264" w:lineRule="auto"/>
        <w:jc w:val="both"/>
        <w:rPr>
          <w:rFonts w:asciiTheme="majorHAnsi" w:hAnsiTheme="majorHAnsi" w:cstheme="majorHAnsi"/>
          <w:lang w:val="ro-RO"/>
        </w:rPr>
      </w:pPr>
      <w:r w:rsidRPr="0090309A">
        <w:rPr>
          <w:rFonts w:asciiTheme="majorHAnsi" w:hAnsiTheme="majorHAnsi" w:cstheme="majorHAnsi"/>
          <w:lang w:val="ro-RO"/>
        </w:rPr>
        <w:t xml:space="preserve">Pe de altă parte, </w:t>
      </w:r>
      <w:r w:rsidRPr="00A67F00">
        <w:rPr>
          <w:rFonts w:asciiTheme="majorHAnsi" w:hAnsiTheme="majorHAnsi" w:cstheme="majorHAnsi"/>
          <w:b/>
          <w:bCs/>
          <w:lang w:val="ro-RO"/>
        </w:rPr>
        <w:t>de la 1 iulie 2024</w:t>
      </w:r>
      <w:r w:rsidRPr="0090309A">
        <w:rPr>
          <w:rFonts w:asciiTheme="majorHAnsi" w:hAnsiTheme="majorHAnsi" w:cstheme="majorHAnsi"/>
          <w:lang w:val="ro-RO"/>
        </w:rPr>
        <w:t>, o persoană impozabilă stabilită în România</w:t>
      </w:r>
      <w:r>
        <w:rPr>
          <w:rFonts w:asciiTheme="majorHAnsi" w:hAnsiTheme="majorHAnsi" w:cstheme="majorHAnsi"/>
          <w:lang w:val="ro-RO"/>
        </w:rPr>
        <w:t>,</w:t>
      </w:r>
      <w:r w:rsidRPr="0090309A">
        <w:rPr>
          <w:rFonts w:asciiTheme="majorHAnsi" w:hAnsiTheme="majorHAnsi" w:cstheme="majorHAnsi"/>
          <w:lang w:val="ro-RO"/>
        </w:rPr>
        <w:t xml:space="preserve"> </w:t>
      </w:r>
      <w:r>
        <w:rPr>
          <w:rFonts w:asciiTheme="majorHAnsi" w:hAnsiTheme="majorHAnsi" w:cstheme="majorHAnsi"/>
          <w:lang w:val="ro-RO"/>
        </w:rPr>
        <w:t xml:space="preserve">care </w:t>
      </w:r>
      <w:r w:rsidRPr="0090309A">
        <w:rPr>
          <w:rFonts w:asciiTheme="majorHAnsi" w:hAnsiTheme="majorHAnsi" w:cstheme="majorHAnsi"/>
          <w:lang w:val="ro-RO"/>
        </w:rPr>
        <w:t>prim</w:t>
      </w:r>
      <w:r>
        <w:rPr>
          <w:rFonts w:asciiTheme="majorHAnsi" w:hAnsiTheme="majorHAnsi" w:cstheme="majorHAnsi"/>
          <w:lang w:val="ro-RO"/>
        </w:rPr>
        <w:t>ește</w:t>
      </w:r>
      <w:r w:rsidRPr="0090309A">
        <w:rPr>
          <w:rFonts w:asciiTheme="majorHAnsi" w:hAnsiTheme="majorHAnsi" w:cstheme="majorHAnsi"/>
          <w:lang w:val="ro-RO"/>
        </w:rPr>
        <w:t xml:space="preserve"> și înregistr</w:t>
      </w:r>
      <w:r>
        <w:rPr>
          <w:rFonts w:asciiTheme="majorHAnsi" w:hAnsiTheme="majorHAnsi" w:cstheme="majorHAnsi"/>
          <w:lang w:val="ro-RO"/>
        </w:rPr>
        <w:t>ează o</w:t>
      </w:r>
      <w:r w:rsidRPr="0090309A">
        <w:rPr>
          <w:rFonts w:asciiTheme="majorHAnsi" w:hAnsiTheme="majorHAnsi" w:cstheme="majorHAnsi"/>
          <w:lang w:val="ro-RO"/>
        </w:rPr>
        <w:t xml:space="preserve"> factur</w:t>
      </w:r>
      <w:r>
        <w:rPr>
          <w:rFonts w:asciiTheme="majorHAnsi" w:hAnsiTheme="majorHAnsi" w:cstheme="majorHAnsi"/>
          <w:lang w:val="ro-RO"/>
        </w:rPr>
        <w:t>ă</w:t>
      </w:r>
      <w:r w:rsidRPr="0090309A">
        <w:rPr>
          <w:rFonts w:asciiTheme="majorHAnsi" w:hAnsiTheme="majorHAnsi" w:cstheme="majorHAnsi"/>
          <w:lang w:val="ro-RO"/>
        </w:rPr>
        <w:t xml:space="preserve"> </w:t>
      </w:r>
      <w:r w:rsidRPr="00A67F00">
        <w:rPr>
          <w:rFonts w:asciiTheme="majorHAnsi" w:hAnsiTheme="majorHAnsi" w:cstheme="majorHAnsi"/>
          <w:lang w:val="ro-RO"/>
        </w:rPr>
        <w:t>tradițional</w:t>
      </w:r>
      <w:r>
        <w:rPr>
          <w:rFonts w:asciiTheme="majorHAnsi" w:hAnsiTheme="majorHAnsi" w:cstheme="majorHAnsi"/>
          <w:lang w:val="ro-RO"/>
        </w:rPr>
        <w:t>ă,</w:t>
      </w:r>
      <w:r w:rsidRPr="0090309A">
        <w:rPr>
          <w:rFonts w:asciiTheme="majorHAnsi" w:hAnsiTheme="majorHAnsi" w:cstheme="majorHAnsi"/>
          <w:lang w:val="ro-RO"/>
        </w:rPr>
        <w:t xml:space="preserve"> emis</w:t>
      </w:r>
      <w:r>
        <w:rPr>
          <w:rFonts w:asciiTheme="majorHAnsi" w:hAnsiTheme="majorHAnsi" w:cstheme="majorHAnsi"/>
          <w:lang w:val="ro-RO"/>
        </w:rPr>
        <w:t>ă</w:t>
      </w:r>
      <w:r w:rsidRPr="0090309A">
        <w:rPr>
          <w:rFonts w:asciiTheme="majorHAnsi" w:hAnsiTheme="majorHAnsi" w:cstheme="majorHAnsi"/>
          <w:lang w:val="ro-RO"/>
        </w:rPr>
        <w:t xml:space="preserve"> </w:t>
      </w:r>
      <w:r>
        <w:rPr>
          <w:rFonts w:asciiTheme="majorHAnsi" w:hAnsiTheme="majorHAnsi" w:cstheme="majorHAnsi"/>
          <w:lang w:val="ro-RO"/>
        </w:rPr>
        <w:t xml:space="preserve">pe hârtie sau prin alte variante electronice </w:t>
      </w:r>
      <w:r w:rsidRPr="0090309A">
        <w:rPr>
          <w:rFonts w:asciiTheme="majorHAnsi" w:hAnsiTheme="majorHAnsi" w:cstheme="majorHAnsi"/>
          <w:lang w:val="ro-RO"/>
        </w:rPr>
        <w:t>de operatori economici stabiliți în România</w:t>
      </w:r>
      <w:r>
        <w:rPr>
          <w:rFonts w:asciiTheme="majorHAnsi" w:hAnsiTheme="majorHAnsi" w:cstheme="majorHAnsi"/>
          <w:lang w:val="ro-RO"/>
        </w:rPr>
        <w:t xml:space="preserve">, adică ce nu a fost </w:t>
      </w:r>
      <w:r w:rsidRPr="0090309A">
        <w:rPr>
          <w:rFonts w:asciiTheme="majorHAnsi" w:hAnsiTheme="majorHAnsi" w:cstheme="majorHAnsi"/>
          <w:lang w:val="ro-RO"/>
        </w:rPr>
        <w:t>emisă electronic (în format XML cu sigiliul Ministerului Finanțelor)</w:t>
      </w:r>
      <w:r>
        <w:rPr>
          <w:rFonts w:asciiTheme="majorHAnsi" w:hAnsiTheme="majorHAnsi" w:cstheme="majorHAnsi"/>
          <w:lang w:val="ro-RO"/>
        </w:rPr>
        <w:t>,</w:t>
      </w:r>
      <w:r w:rsidRPr="0090309A">
        <w:rPr>
          <w:rFonts w:asciiTheme="majorHAnsi" w:hAnsiTheme="majorHAnsi" w:cstheme="majorHAnsi"/>
          <w:lang w:val="ro-RO"/>
        </w:rPr>
        <w:t xml:space="preserve"> se sancționează cu o amendă </w:t>
      </w:r>
      <w:r w:rsidRPr="00A67F00">
        <w:rPr>
          <w:rFonts w:asciiTheme="majorHAnsi" w:hAnsiTheme="majorHAnsi" w:cstheme="majorHAnsi"/>
          <w:b/>
          <w:bCs/>
          <w:lang w:val="ro-RO"/>
        </w:rPr>
        <w:t>egală cu TVA-</w:t>
      </w:r>
      <w:proofErr w:type="spellStart"/>
      <w:r w:rsidRPr="00A67F00">
        <w:rPr>
          <w:rFonts w:asciiTheme="majorHAnsi" w:hAnsiTheme="majorHAnsi" w:cstheme="majorHAnsi"/>
          <w:b/>
          <w:bCs/>
          <w:lang w:val="ro-RO"/>
        </w:rPr>
        <w:t>ul</w:t>
      </w:r>
      <w:proofErr w:type="spellEnd"/>
      <w:r w:rsidRPr="00A67F00">
        <w:rPr>
          <w:rFonts w:asciiTheme="majorHAnsi" w:hAnsiTheme="majorHAnsi" w:cstheme="majorHAnsi"/>
          <w:b/>
          <w:bCs/>
          <w:lang w:val="ro-RO"/>
        </w:rPr>
        <w:t xml:space="preserve"> înscris în factură</w:t>
      </w:r>
      <w:r w:rsidRPr="0090309A">
        <w:rPr>
          <w:rFonts w:asciiTheme="majorHAnsi" w:hAnsiTheme="majorHAnsi" w:cstheme="majorHAnsi"/>
          <w:lang w:val="ro-RO"/>
        </w:rPr>
        <w:t>.</w:t>
      </w:r>
      <w:r>
        <w:rPr>
          <w:rFonts w:asciiTheme="majorHAnsi" w:hAnsiTheme="majorHAnsi" w:cstheme="majorHAnsi"/>
          <w:lang w:val="ro-RO"/>
        </w:rPr>
        <w:t xml:space="preserve"> Pentru contribuabilii nerezidenți înregistrați în scop de TVA, rămâne valabilă și după 1 iulie 2024 doar amenda pentru nerespectarea raportării în sistemul RO e-Factura.</w:t>
      </w:r>
    </w:p>
    <w:p w14:paraId="73BC8BF1" w14:textId="77777777" w:rsidR="00EF06DD" w:rsidRDefault="00EF06DD" w:rsidP="00F0521A">
      <w:pPr>
        <w:spacing w:after="80" w:line="264" w:lineRule="auto"/>
        <w:jc w:val="both"/>
        <w:rPr>
          <w:rFonts w:asciiTheme="majorHAnsi" w:hAnsiTheme="majorHAnsi" w:cstheme="majorHAnsi"/>
          <w:lang w:val="ro-RO"/>
        </w:rPr>
      </w:pPr>
    </w:p>
    <w:p w14:paraId="661BA222" w14:textId="77777777" w:rsidR="001F517B" w:rsidRPr="00A67F00" w:rsidRDefault="001F517B" w:rsidP="00F0521A">
      <w:pPr>
        <w:spacing w:after="80" w:line="264" w:lineRule="auto"/>
        <w:jc w:val="both"/>
        <w:rPr>
          <w:rFonts w:asciiTheme="majorHAnsi" w:hAnsiTheme="majorHAnsi" w:cstheme="majorHAnsi"/>
          <w:b/>
          <w:bCs/>
          <w:lang w:val="ro-RO"/>
        </w:rPr>
      </w:pPr>
      <w:r w:rsidRPr="00773D3A">
        <w:rPr>
          <w:rFonts w:asciiTheme="majorHAnsi" w:hAnsiTheme="majorHAnsi" w:cstheme="majorHAnsi"/>
          <w:b/>
          <w:bCs/>
          <w:lang w:val="ro-RO"/>
        </w:rPr>
        <w:t xml:space="preserve">Aspecte neclare legate </w:t>
      </w:r>
      <w:r w:rsidRPr="00A67F00">
        <w:rPr>
          <w:rFonts w:asciiTheme="majorHAnsi" w:hAnsiTheme="majorHAnsi" w:cstheme="majorHAnsi"/>
          <w:b/>
          <w:bCs/>
          <w:lang w:val="ro-RO"/>
        </w:rPr>
        <w:t>de cuantumul amenzilor</w:t>
      </w:r>
    </w:p>
    <w:p w14:paraId="4D27D375" w14:textId="77777777" w:rsidR="001F517B" w:rsidRPr="0090309A" w:rsidRDefault="001F517B" w:rsidP="00F0521A">
      <w:pPr>
        <w:spacing w:after="80" w:line="264" w:lineRule="auto"/>
        <w:jc w:val="both"/>
        <w:rPr>
          <w:rFonts w:asciiTheme="majorHAnsi" w:hAnsiTheme="majorHAnsi" w:cstheme="majorHAnsi"/>
          <w:lang w:val="ro-RO"/>
        </w:rPr>
      </w:pPr>
      <w:r>
        <w:rPr>
          <w:rFonts w:asciiTheme="majorHAnsi" w:hAnsiTheme="majorHAnsi" w:cstheme="majorHAnsi"/>
          <w:lang w:val="ro-RO"/>
        </w:rPr>
        <w:t>A</w:t>
      </w:r>
      <w:r w:rsidRPr="0090309A">
        <w:rPr>
          <w:rFonts w:asciiTheme="majorHAnsi" w:hAnsiTheme="majorHAnsi" w:cstheme="majorHAnsi"/>
          <w:lang w:val="ro-RO"/>
        </w:rPr>
        <w:t xml:space="preserve">menzile </w:t>
      </w:r>
      <w:r>
        <w:rPr>
          <w:rFonts w:asciiTheme="majorHAnsi" w:hAnsiTheme="majorHAnsi" w:cstheme="majorHAnsi"/>
          <w:lang w:val="ro-RO"/>
        </w:rPr>
        <w:t xml:space="preserve">prevăzute de actul normativ </w:t>
      </w:r>
      <w:r w:rsidRPr="0090309A">
        <w:rPr>
          <w:rFonts w:asciiTheme="majorHAnsi" w:hAnsiTheme="majorHAnsi" w:cstheme="majorHAnsi"/>
          <w:lang w:val="ro-RO"/>
        </w:rPr>
        <w:t xml:space="preserve">ridică mai multe </w:t>
      </w:r>
      <w:r>
        <w:rPr>
          <w:rFonts w:asciiTheme="majorHAnsi" w:hAnsiTheme="majorHAnsi" w:cstheme="majorHAnsi"/>
          <w:lang w:val="ro-RO"/>
        </w:rPr>
        <w:t xml:space="preserve">semne de întrebare, </w:t>
      </w:r>
      <w:r w:rsidRPr="0090309A">
        <w:rPr>
          <w:rFonts w:asciiTheme="majorHAnsi" w:hAnsiTheme="majorHAnsi" w:cstheme="majorHAnsi"/>
          <w:lang w:val="ro-RO"/>
        </w:rPr>
        <w:t xml:space="preserve">atât </w:t>
      </w:r>
      <w:r>
        <w:rPr>
          <w:rFonts w:asciiTheme="majorHAnsi" w:hAnsiTheme="majorHAnsi" w:cstheme="majorHAnsi"/>
          <w:lang w:val="ro-RO"/>
        </w:rPr>
        <w:t xml:space="preserve">cu privire la </w:t>
      </w:r>
      <w:r w:rsidRPr="0090309A">
        <w:rPr>
          <w:rFonts w:asciiTheme="majorHAnsi" w:hAnsiTheme="majorHAnsi" w:cstheme="majorHAnsi"/>
          <w:lang w:val="ro-RO"/>
        </w:rPr>
        <w:t xml:space="preserve">aplicabilitate, </w:t>
      </w:r>
      <w:r>
        <w:rPr>
          <w:rFonts w:asciiTheme="majorHAnsi" w:hAnsiTheme="majorHAnsi" w:cstheme="majorHAnsi"/>
          <w:lang w:val="ro-RO"/>
        </w:rPr>
        <w:t>cât și la</w:t>
      </w:r>
      <w:r w:rsidRPr="0090309A">
        <w:rPr>
          <w:rFonts w:asciiTheme="majorHAnsi" w:hAnsiTheme="majorHAnsi" w:cstheme="majorHAnsi"/>
          <w:lang w:val="ro-RO"/>
        </w:rPr>
        <w:t xml:space="preserve"> </w:t>
      </w:r>
      <w:r>
        <w:rPr>
          <w:rFonts w:asciiTheme="majorHAnsi" w:hAnsiTheme="majorHAnsi" w:cstheme="majorHAnsi"/>
          <w:lang w:val="ro-RO"/>
        </w:rPr>
        <w:t xml:space="preserve">anumite </w:t>
      </w:r>
      <w:r w:rsidRPr="006E65F1">
        <w:rPr>
          <w:rFonts w:asciiTheme="majorHAnsi" w:hAnsiTheme="majorHAnsi" w:cstheme="majorHAnsi"/>
          <w:lang w:val="ro-RO"/>
        </w:rPr>
        <w:t>principii</w:t>
      </w:r>
      <w:r>
        <w:rPr>
          <w:rFonts w:asciiTheme="majorHAnsi" w:hAnsiTheme="majorHAnsi" w:cstheme="majorHAnsi"/>
          <w:lang w:val="ro-RO"/>
        </w:rPr>
        <w:t>.</w:t>
      </w:r>
    </w:p>
    <w:p w14:paraId="0BE818EE" w14:textId="77777777" w:rsidR="001F517B" w:rsidRPr="0090309A" w:rsidRDefault="001F517B" w:rsidP="00F0521A">
      <w:pPr>
        <w:spacing w:after="80" w:line="264" w:lineRule="auto"/>
        <w:jc w:val="both"/>
        <w:rPr>
          <w:rFonts w:asciiTheme="majorHAnsi" w:hAnsiTheme="majorHAnsi" w:cstheme="majorHAnsi"/>
          <w:lang w:val="ro-RO"/>
        </w:rPr>
      </w:pPr>
      <w:r w:rsidRPr="0090309A">
        <w:rPr>
          <w:rFonts w:asciiTheme="majorHAnsi" w:hAnsiTheme="majorHAnsi" w:cstheme="majorHAnsi"/>
          <w:lang w:val="ro-RO"/>
        </w:rPr>
        <w:t xml:space="preserve">În primul rând, </w:t>
      </w:r>
      <w:r>
        <w:rPr>
          <w:rFonts w:asciiTheme="majorHAnsi" w:hAnsiTheme="majorHAnsi" w:cstheme="majorHAnsi"/>
          <w:lang w:val="ro-RO"/>
        </w:rPr>
        <w:t>l</w:t>
      </w:r>
      <w:r w:rsidRPr="0090309A">
        <w:rPr>
          <w:rFonts w:asciiTheme="majorHAnsi" w:hAnsiTheme="majorHAnsi" w:cstheme="majorHAnsi"/>
          <w:lang w:val="ro-RO"/>
        </w:rPr>
        <w:t>ege</w:t>
      </w:r>
      <w:r>
        <w:rPr>
          <w:rFonts w:asciiTheme="majorHAnsi" w:hAnsiTheme="majorHAnsi" w:cstheme="majorHAnsi"/>
          <w:lang w:val="ro-RO"/>
        </w:rPr>
        <w:t>a</w:t>
      </w:r>
      <w:r w:rsidRPr="0090309A">
        <w:rPr>
          <w:rFonts w:asciiTheme="majorHAnsi" w:hAnsiTheme="majorHAnsi" w:cstheme="majorHAnsi"/>
          <w:lang w:val="ro-RO"/>
        </w:rPr>
        <w:t xml:space="preserve"> prevede în mod expres că</w:t>
      </w:r>
      <w:r>
        <w:rPr>
          <w:rFonts w:asciiTheme="majorHAnsi" w:hAnsiTheme="majorHAnsi" w:cstheme="majorHAnsi"/>
          <w:lang w:val="ro-RO"/>
        </w:rPr>
        <w:t>,</w:t>
      </w:r>
      <w:r w:rsidRPr="0090309A">
        <w:rPr>
          <w:rFonts w:asciiTheme="majorHAnsi" w:hAnsiTheme="majorHAnsi" w:cstheme="majorHAnsi"/>
          <w:lang w:val="ro-RO"/>
        </w:rPr>
        <w:t xml:space="preserve"> în cazul încălcării obligației de transmitere (raportare) a facturii în sistemul RO e-Factura</w:t>
      </w:r>
      <w:r>
        <w:rPr>
          <w:rFonts w:asciiTheme="majorHAnsi" w:hAnsiTheme="majorHAnsi" w:cstheme="majorHAnsi"/>
          <w:lang w:val="ro-RO"/>
        </w:rPr>
        <w:t>,</w:t>
      </w:r>
      <w:r w:rsidRPr="0090309A">
        <w:rPr>
          <w:rFonts w:asciiTheme="majorHAnsi" w:hAnsiTheme="majorHAnsi" w:cstheme="majorHAnsi"/>
          <w:lang w:val="ro-RO"/>
        </w:rPr>
        <w:t xml:space="preserve"> nu se aplică articolul din OG nr. 2/2001 privind regimul juridic al contravențiilor</w:t>
      </w:r>
      <w:r>
        <w:rPr>
          <w:rFonts w:asciiTheme="majorHAnsi" w:hAnsiTheme="majorHAnsi" w:cstheme="majorHAnsi"/>
          <w:lang w:val="ro-RO"/>
        </w:rPr>
        <w:t>,</w:t>
      </w:r>
      <w:r w:rsidRPr="0090309A">
        <w:rPr>
          <w:rFonts w:asciiTheme="majorHAnsi" w:hAnsiTheme="majorHAnsi" w:cstheme="majorHAnsi"/>
          <w:lang w:val="ro-RO"/>
        </w:rPr>
        <w:t xml:space="preserve"> care</w:t>
      </w:r>
      <w:r>
        <w:rPr>
          <w:rFonts w:asciiTheme="majorHAnsi" w:hAnsiTheme="majorHAnsi" w:cstheme="majorHAnsi"/>
          <w:lang w:val="ro-RO"/>
        </w:rPr>
        <w:t xml:space="preserve"> permite </w:t>
      </w:r>
      <w:r w:rsidRPr="0090309A">
        <w:rPr>
          <w:rFonts w:asciiTheme="majorHAnsi" w:hAnsiTheme="majorHAnsi" w:cstheme="majorHAnsi"/>
          <w:lang w:val="ro-RO"/>
        </w:rPr>
        <w:t>achit</w:t>
      </w:r>
      <w:r>
        <w:rPr>
          <w:rFonts w:asciiTheme="majorHAnsi" w:hAnsiTheme="majorHAnsi" w:cstheme="majorHAnsi"/>
          <w:lang w:val="ro-RO"/>
        </w:rPr>
        <w:t xml:space="preserve">area </w:t>
      </w:r>
      <w:r w:rsidRPr="0090309A">
        <w:rPr>
          <w:rFonts w:asciiTheme="majorHAnsi" w:hAnsiTheme="majorHAnsi" w:cstheme="majorHAnsi"/>
          <w:lang w:val="ro-RO"/>
        </w:rPr>
        <w:t xml:space="preserve">a jumătate din minimul amenzii în 15 zile de la primirea/comunicarea procesului-verbal de stabilire a contravenției. Practic, amenda aplicată de organul fiscal </w:t>
      </w:r>
      <w:r>
        <w:rPr>
          <w:rFonts w:asciiTheme="majorHAnsi" w:hAnsiTheme="majorHAnsi" w:cstheme="majorHAnsi"/>
          <w:lang w:val="ro-RO"/>
        </w:rPr>
        <w:t xml:space="preserve">(cea de până la 10.000 lei) </w:t>
      </w:r>
      <w:r w:rsidRPr="0090309A">
        <w:rPr>
          <w:rFonts w:asciiTheme="majorHAnsi" w:hAnsiTheme="majorHAnsi" w:cstheme="majorHAnsi"/>
          <w:lang w:val="ro-RO"/>
        </w:rPr>
        <w:t>va trebui să fie achitată de contribuabil integral.</w:t>
      </w:r>
    </w:p>
    <w:p w14:paraId="62112BBD" w14:textId="77777777" w:rsidR="001F517B" w:rsidRPr="0090309A" w:rsidRDefault="001F517B" w:rsidP="00F0521A">
      <w:pPr>
        <w:spacing w:after="80" w:line="264" w:lineRule="auto"/>
        <w:jc w:val="both"/>
        <w:rPr>
          <w:rFonts w:asciiTheme="majorHAnsi" w:hAnsiTheme="majorHAnsi" w:cstheme="majorHAnsi"/>
          <w:lang w:val="ro-RO"/>
        </w:rPr>
      </w:pPr>
      <w:r w:rsidRPr="0090309A">
        <w:rPr>
          <w:rFonts w:asciiTheme="majorHAnsi" w:hAnsiTheme="majorHAnsi" w:cstheme="majorHAnsi"/>
          <w:lang w:val="ro-RO"/>
        </w:rPr>
        <w:t xml:space="preserve">Totuși, deși noua legislație prevede în mod expres că amenda </w:t>
      </w:r>
      <w:r>
        <w:rPr>
          <w:rFonts w:asciiTheme="majorHAnsi" w:hAnsiTheme="majorHAnsi" w:cstheme="majorHAnsi"/>
          <w:lang w:val="ro-RO"/>
        </w:rPr>
        <w:t xml:space="preserve">ce intervine de la 1 iulie 2024, </w:t>
      </w:r>
      <w:r w:rsidRPr="0090309A">
        <w:rPr>
          <w:rFonts w:asciiTheme="majorHAnsi" w:hAnsiTheme="majorHAnsi" w:cstheme="majorHAnsi"/>
          <w:lang w:val="ro-RO"/>
        </w:rPr>
        <w:t>aplicată prin raportare la TVA-</w:t>
      </w:r>
      <w:proofErr w:type="spellStart"/>
      <w:r w:rsidRPr="0090309A">
        <w:rPr>
          <w:rFonts w:asciiTheme="majorHAnsi" w:hAnsiTheme="majorHAnsi" w:cstheme="majorHAnsi"/>
          <w:lang w:val="ro-RO"/>
        </w:rPr>
        <w:t>ul</w:t>
      </w:r>
      <w:proofErr w:type="spellEnd"/>
      <w:r w:rsidRPr="0090309A">
        <w:rPr>
          <w:rFonts w:asciiTheme="majorHAnsi" w:hAnsiTheme="majorHAnsi" w:cstheme="majorHAnsi"/>
          <w:lang w:val="ro-RO"/>
        </w:rPr>
        <w:t xml:space="preserve"> înscris în factură</w:t>
      </w:r>
      <w:r>
        <w:rPr>
          <w:rFonts w:asciiTheme="majorHAnsi" w:hAnsiTheme="majorHAnsi" w:cstheme="majorHAnsi"/>
          <w:lang w:val="ro-RO"/>
        </w:rPr>
        <w:t>,</w:t>
      </w:r>
      <w:r w:rsidRPr="0090309A">
        <w:rPr>
          <w:rFonts w:asciiTheme="majorHAnsi" w:hAnsiTheme="majorHAnsi" w:cstheme="majorHAnsi"/>
          <w:lang w:val="ro-RO"/>
        </w:rPr>
        <w:t xml:space="preserve"> derogă de la maximul amenzii contravenționale prevăzute de OG nr. 2/2001 (</w:t>
      </w:r>
      <w:r w:rsidRPr="00427E23">
        <w:rPr>
          <w:rFonts w:asciiTheme="majorHAnsi" w:hAnsiTheme="majorHAnsi" w:cstheme="majorHAnsi"/>
          <w:lang w:val="ro-RO"/>
        </w:rPr>
        <w:t>respectiv</w:t>
      </w:r>
      <w:r w:rsidRPr="0090309A">
        <w:rPr>
          <w:rFonts w:asciiTheme="majorHAnsi" w:hAnsiTheme="majorHAnsi" w:cstheme="majorHAnsi"/>
          <w:i/>
          <w:iCs/>
          <w:lang w:val="ro-RO"/>
        </w:rPr>
        <w:t xml:space="preserve"> </w:t>
      </w:r>
      <w:r w:rsidRPr="0090309A">
        <w:rPr>
          <w:rFonts w:asciiTheme="majorHAnsi" w:hAnsiTheme="majorHAnsi" w:cstheme="majorHAnsi"/>
          <w:lang w:val="ro-RO"/>
        </w:rPr>
        <w:t xml:space="preserve">100.000 </w:t>
      </w:r>
      <w:r>
        <w:rPr>
          <w:rFonts w:asciiTheme="majorHAnsi" w:hAnsiTheme="majorHAnsi" w:cstheme="majorHAnsi"/>
          <w:lang w:val="ro-RO"/>
        </w:rPr>
        <w:t xml:space="preserve">de </w:t>
      </w:r>
      <w:r w:rsidRPr="0090309A">
        <w:rPr>
          <w:rFonts w:asciiTheme="majorHAnsi" w:hAnsiTheme="majorHAnsi" w:cstheme="majorHAnsi"/>
          <w:lang w:val="ro-RO"/>
        </w:rPr>
        <w:t xml:space="preserve">lei), nu interzice posibilitatea achitării a jumătate din minimul amenzii stabilite de lege. </w:t>
      </w:r>
      <w:r>
        <w:rPr>
          <w:rFonts w:asciiTheme="majorHAnsi" w:hAnsiTheme="majorHAnsi" w:cstheme="majorHAnsi"/>
          <w:lang w:val="ro-RO"/>
        </w:rPr>
        <w:t>Așadar, t</w:t>
      </w:r>
      <w:r w:rsidRPr="0090309A">
        <w:rPr>
          <w:rFonts w:asciiTheme="majorHAnsi" w:hAnsiTheme="majorHAnsi" w:cstheme="majorHAnsi"/>
          <w:lang w:val="ro-RO"/>
        </w:rPr>
        <w:t xml:space="preserve">extul este ambiguu și va </w:t>
      </w:r>
      <w:r>
        <w:rPr>
          <w:rFonts w:asciiTheme="majorHAnsi" w:hAnsiTheme="majorHAnsi" w:cstheme="majorHAnsi"/>
          <w:lang w:val="ro-RO"/>
        </w:rPr>
        <w:t>crea dificultăți în</w:t>
      </w:r>
      <w:r w:rsidRPr="0090309A">
        <w:rPr>
          <w:rFonts w:asciiTheme="majorHAnsi" w:hAnsiTheme="majorHAnsi" w:cstheme="majorHAnsi"/>
          <w:lang w:val="ro-RO"/>
        </w:rPr>
        <w:t xml:space="preserve"> aplicare. Într-o interpretare riguroasă, ar trebui ca un contribuabil sancționat cu o amendă egală cu TVA-</w:t>
      </w:r>
      <w:proofErr w:type="spellStart"/>
      <w:r w:rsidRPr="0090309A">
        <w:rPr>
          <w:rFonts w:asciiTheme="majorHAnsi" w:hAnsiTheme="majorHAnsi" w:cstheme="majorHAnsi"/>
          <w:lang w:val="ro-RO"/>
        </w:rPr>
        <w:t>ul</w:t>
      </w:r>
      <w:proofErr w:type="spellEnd"/>
      <w:r w:rsidRPr="0090309A">
        <w:rPr>
          <w:rFonts w:asciiTheme="majorHAnsi" w:hAnsiTheme="majorHAnsi" w:cstheme="majorHAnsi"/>
          <w:lang w:val="ro-RO"/>
        </w:rPr>
        <w:t xml:space="preserve"> din factura pe care a înregistrat-o fără să se asigure că aceasta fost emisă electronic să poată plăti doar jumătate din amendă în termen de 15 zile de la momentul primirii procesului-verbal de sancționare. </w:t>
      </w:r>
      <w:r>
        <w:rPr>
          <w:rFonts w:asciiTheme="majorHAnsi" w:hAnsiTheme="majorHAnsi" w:cstheme="majorHAnsi"/>
          <w:lang w:val="ro-RO"/>
        </w:rPr>
        <w:t>Î</w:t>
      </w:r>
      <w:r w:rsidRPr="0090309A">
        <w:rPr>
          <w:rFonts w:asciiTheme="majorHAnsi" w:hAnsiTheme="majorHAnsi" w:cstheme="majorHAnsi"/>
          <w:lang w:val="ro-RO"/>
        </w:rPr>
        <w:t>n lipsa unei precizări exprese în acest sens și fără o practică în domeniu, este discutabil dacă fiscul va accepta doar plata a 50% din suma stabilită.</w:t>
      </w:r>
    </w:p>
    <w:p w14:paraId="47C7E43A" w14:textId="77777777" w:rsidR="001F517B" w:rsidRPr="0090309A" w:rsidRDefault="001F517B" w:rsidP="00F0521A">
      <w:pPr>
        <w:spacing w:after="80" w:line="264" w:lineRule="auto"/>
        <w:jc w:val="both"/>
        <w:rPr>
          <w:rFonts w:asciiTheme="majorHAnsi" w:hAnsiTheme="majorHAnsi" w:cstheme="majorHAnsi"/>
          <w:lang w:val="ro-RO"/>
        </w:rPr>
      </w:pPr>
      <w:r w:rsidRPr="0090309A">
        <w:rPr>
          <w:rFonts w:asciiTheme="majorHAnsi" w:hAnsiTheme="majorHAnsi" w:cstheme="majorHAnsi"/>
          <w:lang w:val="ro-RO"/>
        </w:rPr>
        <w:t>O altă întrebare care se ridică vizează cumulul de amenzi</w:t>
      </w:r>
      <w:r>
        <w:rPr>
          <w:rFonts w:asciiTheme="majorHAnsi" w:hAnsiTheme="majorHAnsi" w:cstheme="majorHAnsi"/>
          <w:lang w:val="ro-RO"/>
        </w:rPr>
        <w:t xml:space="preserve"> pentru neraportarea facturilor în sistemul RO e-Factura</w:t>
      </w:r>
      <w:r w:rsidRPr="0090309A">
        <w:rPr>
          <w:rFonts w:asciiTheme="majorHAnsi" w:hAnsiTheme="majorHAnsi" w:cstheme="majorHAnsi"/>
          <w:lang w:val="ro-RO"/>
        </w:rPr>
        <w:t xml:space="preserve">. </w:t>
      </w:r>
      <w:r>
        <w:rPr>
          <w:rFonts w:asciiTheme="majorHAnsi" w:hAnsiTheme="majorHAnsi" w:cstheme="majorHAnsi"/>
          <w:lang w:val="ro-RO"/>
        </w:rPr>
        <w:t>C</w:t>
      </w:r>
      <w:r w:rsidRPr="0090309A">
        <w:rPr>
          <w:rFonts w:asciiTheme="majorHAnsi" w:hAnsiTheme="majorHAnsi" w:cstheme="majorHAnsi"/>
          <w:lang w:val="ro-RO"/>
        </w:rPr>
        <w:t xml:space="preserve">oncret, </w:t>
      </w:r>
      <w:r>
        <w:rPr>
          <w:rFonts w:asciiTheme="majorHAnsi" w:hAnsiTheme="majorHAnsi" w:cstheme="majorHAnsi"/>
          <w:lang w:val="ro-RO"/>
        </w:rPr>
        <w:t xml:space="preserve">este incert dacă </w:t>
      </w:r>
      <w:r w:rsidRPr="0090309A">
        <w:rPr>
          <w:rFonts w:asciiTheme="majorHAnsi" w:hAnsiTheme="majorHAnsi" w:cstheme="majorHAnsi"/>
          <w:lang w:val="ro-RO"/>
        </w:rPr>
        <w:t>amenda se aplică pentru fiecare factură neînregistrată în sistemul RO e-Factura sau pentru un calup de facturi încărcate în sistem</w:t>
      </w:r>
      <w:r>
        <w:rPr>
          <w:rFonts w:asciiTheme="majorHAnsi" w:hAnsiTheme="majorHAnsi" w:cstheme="majorHAnsi"/>
          <w:lang w:val="ro-RO"/>
        </w:rPr>
        <w:t>.</w:t>
      </w:r>
      <w:r w:rsidRPr="0090309A">
        <w:rPr>
          <w:rFonts w:asciiTheme="majorHAnsi" w:hAnsiTheme="majorHAnsi" w:cstheme="majorHAnsi"/>
          <w:lang w:val="ro-RO"/>
        </w:rPr>
        <w:t xml:space="preserve"> Totodată, </w:t>
      </w:r>
      <w:r>
        <w:rPr>
          <w:rFonts w:asciiTheme="majorHAnsi" w:hAnsiTheme="majorHAnsi" w:cstheme="majorHAnsi"/>
          <w:lang w:val="ro-RO"/>
        </w:rPr>
        <w:t xml:space="preserve">nu este clar </w:t>
      </w:r>
      <w:r w:rsidRPr="0090309A">
        <w:rPr>
          <w:rFonts w:asciiTheme="majorHAnsi" w:hAnsiTheme="majorHAnsi" w:cstheme="majorHAnsi"/>
          <w:lang w:val="ro-RO"/>
        </w:rPr>
        <w:t>care ar fi cuantumul maxim</w:t>
      </w:r>
      <w:r>
        <w:rPr>
          <w:rFonts w:asciiTheme="majorHAnsi" w:hAnsiTheme="majorHAnsi" w:cstheme="majorHAnsi"/>
          <w:lang w:val="ro-RO"/>
        </w:rPr>
        <w:t xml:space="preserve">. Și în acest caz, </w:t>
      </w:r>
      <w:r w:rsidRPr="0090309A">
        <w:rPr>
          <w:rFonts w:asciiTheme="majorHAnsi" w:hAnsiTheme="majorHAnsi" w:cstheme="majorHAnsi"/>
          <w:lang w:val="ro-RO"/>
        </w:rPr>
        <w:t>textul de lege este ambiguu</w:t>
      </w:r>
      <w:r>
        <w:rPr>
          <w:rFonts w:asciiTheme="majorHAnsi" w:hAnsiTheme="majorHAnsi" w:cstheme="majorHAnsi"/>
          <w:lang w:val="ro-RO"/>
        </w:rPr>
        <w:t xml:space="preserve"> - pe de o parte, prevede că </w:t>
      </w:r>
      <w:r w:rsidRPr="0090309A">
        <w:rPr>
          <w:rFonts w:asciiTheme="majorHAnsi" w:hAnsiTheme="majorHAnsi" w:cstheme="majorHAnsi"/>
          <w:lang w:val="ro-RO"/>
        </w:rPr>
        <w:t xml:space="preserve">sancțiunea se aplică pentru netransmiterea facturii </w:t>
      </w:r>
      <w:r w:rsidRPr="00EF06DD">
        <w:rPr>
          <w:rFonts w:asciiTheme="majorHAnsi" w:hAnsiTheme="majorHAnsi" w:cstheme="majorHAnsi"/>
          <w:lang w:val="ro-RO"/>
        </w:rPr>
        <w:t>„</w:t>
      </w:r>
      <w:r w:rsidRPr="00F0521A">
        <w:rPr>
          <w:rFonts w:asciiTheme="majorHAnsi" w:hAnsiTheme="majorHAnsi" w:cstheme="majorHAnsi"/>
          <w:lang w:val="ro-RO"/>
        </w:rPr>
        <w:t>în termen de cinci zile lucrătoare de la data emiterii</w:t>
      </w:r>
      <w:r w:rsidRPr="00EF06DD">
        <w:rPr>
          <w:rFonts w:asciiTheme="majorHAnsi" w:hAnsiTheme="majorHAnsi" w:cstheme="majorHAnsi"/>
          <w:lang w:val="ro-RO"/>
        </w:rPr>
        <w:t>”</w:t>
      </w:r>
      <w:r w:rsidRPr="0090309A">
        <w:rPr>
          <w:rFonts w:asciiTheme="majorHAnsi" w:hAnsiTheme="majorHAnsi" w:cstheme="majorHAnsi"/>
          <w:lang w:val="ro-RO"/>
        </w:rPr>
        <w:t xml:space="preserve">, </w:t>
      </w:r>
      <w:r>
        <w:rPr>
          <w:rFonts w:asciiTheme="majorHAnsi" w:hAnsiTheme="majorHAnsi" w:cstheme="majorHAnsi"/>
          <w:lang w:val="ro-RO"/>
        </w:rPr>
        <w:t xml:space="preserve">iar pe de altă parte, </w:t>
      </w:r>
      <w:r w:rsidRPr="0090309A">
        <w:rPr>
          <w:rFonts w:asciiTheme="majorHAnsi" w:hAnsiTheme="majorHAnsi" w:cstheme="majorHAnsi"/>
          <w:lang w:val="ro-RO"/>
        </w:rPr>
        <w:t>textul general prevede obligativitatea încărcării facturilor (la plural) în sistemul RO e-Factura. Totuși, dincolo de neclaritatea textului, amenda nu ar trebui s</w:t>
      </w:r>
      <w:r>
        <w:rPr>
          <w:rFonts w:asciiTheme="majorHAnsi" w:hAnsiTheme="majorHAnsi" w:cstheme="majorHAnsi"/>
          <w:lang w:val="ro-RO"/>
        </w:rPr>
        <w:t>ă</w:t>
      </w:r>
      <w:r w:rsidRPr="0090309A">
        <w:rPr>
          <w:rFonts w:asciiTheme="majorHAnsi" w:hAnsiTheme="majorHAnsi" w:cstheme="majorHAnsi"/>
          <w:lang w:val="ro-RO"/>
        </w:rPr>
        <w:t xml:space="preserve"> depășească dublul amenzii </w:t>
      </w:r>
      <w:r>
        <w:rPr>
          <w:rFonts w:asciiTheme="majorHAnsi" w:hAnsiTheme="majorHAnsi" w:cstheme="majorHAnsi"/>
          <w:lang w:val="ro-RO"/>
        </w:rPr>
        <w:t>maxime</w:t>
      </w:r>
      <w:r w:rsidRPr="0090309A">
        <w:rPr>
          <w:rFonts w:asciiTheme="majorHAnsi" w:hAnsiTheme="majorHAnsi" w:cstheme="majorHAnsi"/>
          <w:lang w:val="ro-RO"/>
        </w:rPr>
        <w:t>. Acest aspect rezultă din OG 2/2001</w:t>
      </w:r>
      <w:r>
        <w:rPr>
          <w:rFonts w:asciiTheme="majorHAnsi" w:hAnsiTheme="majorHAnsi" w:cstheme="majorHAnsi"/>
          <w:lang w:val="ro-RO"/>
        </w:rPr>
        <w:t xml:space="preserve">, conform căreia, </w:t>
      </w:r>
      <w:r w:rsidRPr="0090309A">
        <w:rPr>
          <w:rFonts w:asciiTheme="majorHAnsi" w:hAnsiTheme="majorHAnsi" w:cstheme="majorHAnsi"/>
          <w:lang w:val="ro-RO"/>
        </w:rPr>
        <w:t>dacă contravențiile au fost constatate prin același proces-verbal, sancțiunile se cumulează</w:t>
      </w:r>
      <w:r>
        <w:rPr>
          <w:rFonts w:asciiTheme="majorHAnsi" w:hAnsiTheme="majorHAnsi" w:cstheme="majorHAnsi"/>
          <w:lang w:val="ro-RO"/>
        </w:rPr>
        <w:t xml:space="preserve">, dar suma finală nu poate </w:t>
      </w:r>
      <w:r w:rsidRPr="0090309A">
        <w:rPr>
          <w:rFonts w:asciiTheme="majorHAnsi" w:hAnsiTheme="majorHAnsi" w:cstheme="majorHAnsi"/>
          <w:lang w:val="ro-RO"/>
        </w:rPr>
        <w:t xml:space="preserve">depăși dublul </w:t>
      </w:r>
      <w:r>
        <w:rPr>
          <w:rFonts w:asciiTheme="majorHAnsi" w:hAnsiTheme="majorHAnsi" w:cstheme="majorHAnsi"/>
          <w:lang w:val="ro-RO"/>
        </w:rPr>
        <w:t>amenzii maxime (cea mai mare dintre ele). În plus,</w:t>
      </w:r>
      <w:r w:rsidRPr="0090309A" w:rsidDel="00661E7A">
        <w:rPr>
          <w:rFonts w:asciiTheme="majorHAnsi" w:hAnsiTheme="majorHAnsi" w:cstheme="majorHAnsi"/>
          <w:lang w:val="ro-RO"/>
        </w:rPr>
        <w:t xml:space="preserve"> </w:t>
      </w:r>
      <w:r w:rsidRPr="0090309A">
        <w:rPr>
          <w:rFonts w:asciiTheme="majorHAnsi" w:hAnsiTheme="majorHAnsi" w:cstheme="majorHAnsi"/>
          <w:lang w:val="ro-RO"/>
        </w:rPr>
        <w:t xml:space="preserve">dacă o persoană săvârșește mai </w:t>
      </w:r>
      <w:r w:rsidRPr="0090309A">
        <w:rPr>
          <w:rFonts w:asciiTheme="majorHAnsi" w:hAnsiTheme="majorHAnsi" w:cstheme="majorHAnsi"/>
          <w:lang w:val="ro-RO"/>
        </w:rPr>
        <w:lastRenderedPageBreak/>
        <w:t>multe contravenții</w:t>
      </w:r>
      <w:r>
        <w:rPr>
          <w:rFonts w:asciiTheme="majorHAnsi" w:hAnsiTheme="majorHAnsi" w:cstheme="majorHAnsi"/>
          <w:lang w:val="ro-RO"/>
        </w:rPr>
        <w:t xml:space="preserve">, iar acestea </w:t>
      </w:r>
      <w:r w:rsidRPr="0090309A">
        <w:rPr>
          <w:rFonts w:asciiTheme="majorHAnsi" w:hAnsiTheme="majorHAnsi" w:cstheme="majorHAnsi"/>
          <w:lang w:val="ro-RO"/>
        </w:rPr>
        <w:t xml:space="preserve">sunt constatate de același agent constatator, se încheie un singur proces-verbal. Practica autorităților fiscale ar trebui să confirme această abordare, pentru că fiscul, în cadrul unui control, verifică o perioadă mai lungă, nicidecum o singură operațiune sau </w:t>
      </w:r>
      <w:r>
        <w:rPr>
          <w:rFonts w:asciiTheme="majorHAnsi" w:hAnsiTheme="majorHAnsi" w:cstheme="majorHAnsi"/>
          <w:lang w:val="ro-RO"/>
        </w:rPr>
        <w:t xml:space="preserve">activitatea dintr-o </w:t>
      </w:r>
      <w:r w:rsidRPr="0090309A">
        <w:rPr>
          <w:rFonts w:asciiTheme="majorHAnsi" w:hAnsiTheme="majorHAnsi" w:cstheme="majorHAnsi"/>
          <w:lang w:val="ro-RO"/>
        </w:rPr>
        <w:t xml:space="preserve">zi. </w:t>
      </w:r>
      <w:r>
        <w:rPr>
          <w:rFonts w:asciiTheme="majorHAnsi" w:hAnsiTheme="majorHAnsi" w:cstheme="majorHAnsi"/>
          <w:lang w:val="ro-RO"/>
        </w:rPr>
        <w:t>T</w:t>
      </w:r>
      <w:r w:rsidRPr="0090309A">
        <w:rPr>
          <w:rFonts w:asciiTheme="majorHAnsi" w:hAnsiTheme="majorHAnsi" w:cstheme="majorHAnsi"/>
          <w:lang w:val="ro-RO"/>
        </w:rPr>
        <w:t>eoretic</w:t>
      </w:r>
      <w:r>
        <w:rPr>
          <w:rFonts w:asciiTheme="majorHAnsi" w:hAnsiTheme="majorHAnsi" w:cstheme="majorHAnsi"/>
          <w:lang w:val="ro-RO"/>
        </w:rPr>
        <w:t>,</w:t>
      </w:r>
      <w:r w:rsidRPr="0090309A">
        <w:rPr>
          <w:rFonts w:asciiTheme="majorHAnsi" w:hAnsiTheme="majorHAnsi" w:cstheme="majorHAnsi"/>
          <w:lang w:val="ro-RO"/>
        </w:rPr>
        <w:t xml:space="preserve"> s-ar putea efectua mai multe controale zilnic și</w:t>
      </w:r>
      <w:r>
        <w:rPr>
          <w:rFonts w:asciiTheme="majorHAnsi" w:hAnsiTheme="majorHAnsi" w:cstheme="majorHAnsi"/>
          <w:lang w:val="ro-RO"/>
        </w:rPr>
        <w:t xml:space="preserve">, pentru fiecare zi, să se </w:t>
      </w:r>
      <w:r w:rsidRPr="0090309A">
        <w:rPr>
          <w:rFonts w:asciiTheme="majorHAnsi" w:hAnsiTheme="majorHAnsi" w:cstheme="majorHAnsi"/>
          <w:lang w:val="ro-RO"/>
        </w:rPr>
        <w:t>emit</w:t>
      </w:r>
      <w:r>
        <w:rPr>
          <w:rFonts w:asciiTheme="majorHAnsi" w:hAnsiTheme="majorHAnsi" w:cstheme="majorHAnsi"/>
          <w:lang w:val="ro-RO"/>
        </w:rPr>
        <w:t>ă</w:t>
      </w:r>
      <w:r w:rsidRPr="0090309A">
        <w:rPr>
          <w:rFonts w:asciiTheme="majorHAnsi" w:hAnsiTheme="majorHAnsi" w:cstheme="majorHAnsi"/>
          <w:lang w:val="ro-RO"/>
        </w:rPr>
        <w:t xml:space="preserve"> câte un proces-verbal de sancționare. </w:t>
      </w:r>
      <w:r>
        <w:rPr>
          <w:rFonts w:asciiTheme="majorHAnsi" w:hAnsiTheme="majorHAnsi" w:cstheme="majorHAnsi"/>
          <w:lang w:val="ro-RO"/>
        </w:rPr>
        <w:t>Dar o</w:t>
      </w:r>
      <w:r w:rsidRPr="0090309A">
        <w:rPr>
          <w:rFonts w:asciiTheme="majorHAnsi" w:hAnsiTheme="majorHAnsi" w:cstheme="majorHAnsi"/>
          <w:lang w:val="ro-RO"/>
        </w:rPr>
        <w:t xml:space="preserve"> astfel de abordare ar fi cel puțin unică</w:t>
      </w:r>
      <w:r>
        <w:rPr>
          <w:rFonts w:asciiTheme="majorHAnsi" w:hAnsiTheme="majorHAnsi" w:cstheme="majorHAnsi"/>
          <w:lang w:val="ro-RO"/>
        </w:rPr>
        <w:t xml:space="preserve"> în </w:t>
      </w:r>
      <w:r w:rsidRPr="0090309A">
        <w:rPr>
          <w:rFonts w:asciiTheme="majorHAnsi" w:hAnsiTheme="majorHAnsi" w:cstheme="majorHAnsi"/>
          <w:lang w:val="ro-RO"/>
        </w:rPr>
        <w:t>practica controalelor din ultimii ani.</w:t>
      </w:r>
    </w:p>
    <w:p w14:paraId="5A8B547E" w14:textId="52F6C105" w:rsidR="001F517B" w:rsidRDefault="001F517B" w:rsidP="00F0521A">
      <w:pPr>
        <w:spacing w:after="80" w:line="264" w:lineRule="auto"/>
        <w:jc w:val="both"/>
        <w:rPr>
          <w:rFonts w:asciiTheme="majorHAnsi" w:hAnsiTheme="majorHAnsi" w:cstheme="majorHAnsi"/>
          <w:lang w:val="ro-RO"/>
        </w:rPr>
      </w:pPr>
      <w:r w:rsidRPr="0090309A">
        <w:rPr>
          <w:rFonts w:asciiTheme="majorHAnsi" w:hAnsiTheme="majorHAnsi" w:cstheme="majorHAnsi"/>
          <w:lang w:val="ro-RO"/>
        </w:rPr>
        <w:t xml:space="preserve">Mai mult, ar trebui ca numărul facturilor înregistrate în sistemul RO e-Factura să fie tratat și ca indiciu pentru conformarea contribuabilului cu prevederile legale. Astfel, o simplă omisiune de raportare a unei facturi sau a </w:t>
      </w:r>
      <w:r>
        <w:rPr>
          <w:rFonts w:asciiTheme="majorHAnsi" w:hAnsiTheme="majorHAnsi" w:cstheme="majorHAnsi"/>
          <w:lang w:val="ro-RO"/>
        </w:rPr>
        <w:t xml:space="preserve">câtorva </w:t>
      </w:r>
      <w:r w:rsidRPr="0090309A">
        <w:rPr>
          <w:rFonts w:asciiTheme="majorHAnsi" w:hAnsiTheme="majorHAnsi" w:cstheme="majorHAnsi"/>
          <w:lang w:val="ro-RO"/>
        </w:rPr>
        <w:t xml:space="preserve">facturi de către un contribuabil care respectă această obligație pentru majoritatea facturilor nu ar trebui să fie sancționată contravențional cu amendă, </w:t>
      </w:r>
      <w:r>
        <w:rPr>
          <w:rFonts w:asciiTheme="majorHAnsi" w:hAnsiTheme="majorHAnsi" w:cstheme="majorHAnsi"/>
          <w:lang w:val="ro-RO"/>
        </w:rPr>
        <w:t xml:space="preserve">ci cu </w:t>
      </w:r>
      <w:r w:rsidRPr="0090309A">
        <w:rPr>
          <w:rFonts w:asciiTheme="majorHAnsi" w:hAnsiTheme="majorHAnsi" w:cstheme="majorHAnsi"/>
          <w:lang w:val="ro-RO"/>
        </w:rPr>
        <w:t>un simplu avertisment.</w:t>
      </w:r>
    </w:p>
    <w:p w14:paraId="34D7B749" w14:textId="77777777" w:rsidR="00EF06DD" w:rsidRDefault="00EF06DD" w:rsidP="00F0521A">
      <w:pPr>
        <w:spacing w:after="80" w:line="264" w:lineRule="auto"/>
        <w:jc w:val="both"/>
        <w:rPr>
          <w:rFonts w:asciiTheme="majorHAnsi" w:hAnsiTheme="majorHAnsi" w:cstheme="majorHAnsi"/>
          <w:lang w:val="ro-RO"/>
        </w:rPr>
      </w:pPr>
    </w:p>
    <w:p w14:paraId="2E35544B" w14:textId="77777777" w:rsidR="001F517B" w:rsidRPr="00427E23" w:rsidRDefault="001F517B" w:rsidP="00F0521A">
      <w:pPr>
        <w:spacing w:after="80" w:line="264" w:lineRule="auto"/>
        <w:jc w:val="both"/>
        <w:rPr>
          <w:rFonts w:asciiTheme="majorHAnsi" w:hAnsiTheme="majorHAnsi" w:cstheme="majorHAnsi"/>
          <w:b/>
          <w:bCs/>
          <w:lang w:val="ro-RO"/>
        </w:rPr>
      </w:pPr>
      <w:r w:rsidRPr="00427E23">
        <w:rPr>
          <w:rFonts w:asciiTheme="majorHAnsi" w:hAnsiTheme="majorHAnsi" w:cstheme="majorHAnsi"/>
          <w:b/>
          <w:bCs/>
          <w:lang w:val="ro-RO"/>
        </w:rPr>
        <w:t>Risc de dublă impozitare</w:t>
      </w:r>
    </w:p>
    <w:p w14:paraId="4EEF9803" w14:textId="42382604" w:rsidR="001F517B" w:rsidRPr="0090309A" w:rsidRDefault="001F517B" w:rsidP="00F0521A">
      <w:pPr>
        <w:spacing w:after="80" w:line="264" w:lineRule="auto"/>
        <w:jc w:val="both"/>
        <w:rPr>
          <w:rFonts w:asciiTheme="majorHAnsi" w:hAnsiTheme="majorHAnsi" w:cstheme="majorHAnsi"/>
          <w:lang w:val="ro-RO"/>
        </w:rPr>
      </w:pPr>
      <w:r w:rsidRPr="0090309A">
        <w:rPr>
          <w:rFonts w:asciiTheme="majorHAnsi" w:hAnsiTheme="majorHAnsi" w:cstheme="majorHAnsi"/>
          <w:lang w:val="ro-RO"/>
        </w:rPr>
        <w:t>Maniera deficitară de redactare a legii și toate</w:t>
      </w:r>
      <w:r>
        <w:rPr>
          <w:rFonts w:asciiTheme="majorHAnsi" w:hAnsiTheme="majorHAnsi" w:cstheme="majorHAnsi"/>
          <w:lang w:val="ro-RO"/>
        </w:rPr>
        <w:t xml:space="preserve"> deficiențele semnalate</w:t>
      </w:r>
      <w:r w:rsidRPr="0090309A">
        <w:rPr>
          <w:rFonts w:asciiTheme="majorHAnsi" w:hAnsiTheme="majorHAnsi" w:cstheme="majorHAnsi"/>
          <w:lang w:val="ro-RO"/>
        </w:rPr>
        <w:t xml:space="preserve"> mai sus ridică și aspecte de legalitate. Orice lege trebuie să fie clară și previzibilă. Or numeroasele probleme ce pot să apară ca urmare a </w:t>
      </w:r>
      <w:r>
        <w:rPr>
          <w:rFonts w:asciiTheme="majorHAnsi" w:hAnsiTheme="majorHAnsi" w:cstheme="majorHAnsi"/>
          <w:lang w:val="ro-RO"/>
        </w:rPr>
        <w:t xml:space="preserve">aplicării </w:t>
      </w:r>
      <w:r w:rsidRPr="0090309A">
        <w:rPr>
          <w:rFonts w:asciiTheme="majorHAnsi" w:hAnsiTheme="majorHAnsi" w:cstheme="majorHAnsi"/>
          <w:lang w:val="ro-RO"/>
        </w:rPr>
        <w:t xml:space="preserve">sancțiunilor de mai sus denotă tocmai faptul că reglementarea acestor amenzi </w:t>
      </w:r>
      <w:r>
        <w:rPr>
          <w:rFonts w:asciiTheme="majorHAnsi" w:hAnsiTheme="majorHAnsi" w:cstheme="majorHAnsi"/>
          <w:lang w:val="ro-RO"/>
        </w:rPr>
        <w:t xml:space="preserve">intră </w:t>
      </w:r>
      <w:r w:rsidRPr="0090309A">
        <w:rPr>
          <w:rFonts w:asciiTheme="majorHAnsi" w:hAnsiTheme="majorHAnsi" w:cstheme="majorHAnsi"/>
          <w:lang w:val="ro-RO"/>
        </w:rPr>
        <w:t>în contradicție cu aceste principii. În practică</w:t>
      </w:r>
      <w:r>
        <w:rPr>
          <w:rFonts w:asciiTheme="majorHAnsi" w:hAnsiTheme="majorHAnsi" w:cstheme="majorHAnsi"/>
          <w:lang w:val="ro-RO"/>
        </w:rPr>
        <w:t>,</w:t>
      </w:r>
      <w:r w:rsidRPr="0090309A">
        <w:rPr>
          <w:rFonts w:asciiTheme="majorHAnsi" w:hAnsiTheme="majorHAnsi" w:cstheme="majorHAnsi"/>
          <w:lang w:val="ro-RO"/>
        </w:rPr>
        <w:t xml:space="preserve"> unui contribuabil îi va fi greu să </w:t>
      </w:r>
      <w:r>
        <w:rPr>
          <w:rFonts w:asciiTheme="majorHAnsi" w:hAnsiTheme="majorHAnsi" w:cstheme="majorHAnsi"/>
          <w:lang w:val="ro-RO"/>
        </w:rPr>
        <w:t xml:space="preserve">se conformeze, </w:t>
      </w:r>
      <w:r w:rsidRPr="0090309A">
        <w:rPr>
          <w:rFonts w:asciiTheme="majorHAnsi" w:hAnsiTheme="majorHAnsi" w:cstheme="majorHAnsi"/>
          <w:lang w:val="ro-RO"/>
        </w:rPr>
        <w:t>dar și să anticipeze reacția autorităților fiscale.</w:t>
      </w:r>
    </w:p>
    <w:p w14:paraId="58A791F7" w14:textId="38987E48" w:rsidR="001F517B" w:rsidRPr="0090309A" w:rsidRDefault="001F517B" w:rsidP="00F0521A">
      <w:pPr>
        <w:spacing w:after="80" w:line="264" w:lineRule="auto"/>
        <w:jc w:val="both"/>
        <w:rPr>
          <w:rFonts w:asciiTheme="majorHAnsi" w:hAnsiTheme="majorHAnsi" w:cstheme="majorHAnsi"/>
          <w:lang w:val="ro-RO"/>
        </w:rPr>
      </w:pPr>
      <w:r w:rsidRPr="0090309A">
        <w:rPr>
          <w:rFonts w:asciiTheme="majorHAnsi" w:hAnsiTheme="majorHAnsi" w:cstheme="majorHAnsi"/>
          <w:lang w:val="ro-RO"/>
        </w:rPr>
        <w:t>În plus, o amendă stabilită prin raportare la TVA-</w:t>
      </w:r>
      <w:proofErr w:type="spellStart"/>
      <w:r w:rsidRPr="0090309A">
        <w:rPr>
          <w:rFonts w:asciiTheme="majorHAnsi" w:hAnsiTheme="majorHAnsi" w:cstheme="majorHAnsi"/>
          <w:lang w:val="ro-RO"/>
        </w:rPr>
        <w:t>ul</w:t>
      </w:r>
      <w:proofErr w:type="spellEnd"/>
      <w:r w:rsidRPr="0090309A">
        <w:rPr>
          <w:rFonts w:asciiTheme="majorHAnsi" w:hAnsiTheme="majorHAnsi" w:cstheme="majorHAnsi"/>
          <w:lang w:val="ro-RO"/>
        </w:rPr>
        <w:t xml:space="preserve"> din factură este în mod cert disproporționată față de gravitatea faptei</w:t>
      </w:r>
      <w:r>
        <w:rPr>
          <w:rFonts w:asciiTheme="majorHAnsi" w:hAnsiTheme="majorHAnsi" w:cstheme="majorHAnsi"/>
          <w:lang w:val="ro-RO"/>
        </w:rPr>
        <w:t>. A</w:t>
      </w:r>
      <w:r w:rsidRPr="0090309A">
        <w:rPr>
          <w:rFonts w:asciiTheme="majorHAnsi" w:hAnsiTheme="majorHAnsi" w:cstheme="majorHAnsi"/>
          <w:lang w:val="ro-RO"/>
        </w:rPr>
        <w:t>spect care este criticat cu precădere de Curtea de Justiție a Uniunii Europene</w:t>
      </w:r>
      <w:r w:rsidR="00EF06DD">
        <w:rPr>
          <w:rFonts w:asciiTheme="majorHAnsi" w:hAnsiTheme="majorHAnsi" w:cstheme="majorHAnsi"/>
          <w:lang w:val="ro-RO"/>
        </w:rPr>
        <w:t xml:space="preserve"> (CJUE),</w:t>
      </w:r>
      <w:r w:rsidRPr="0090309A">
        <w:rPr>
          <w:rFonts w:asciiTheme="majorHAnsi" w:hAnsiTheme="majorHAnsi" w:cstheme="majorHAnsi"/>
          <w:lang w:val="ro-RO"/>
        </w:rPr>
        <w:t xml:space="preserve"> care a </w:t>
      </w:r>
      <w:r w:rsidR="00EF06DD">
        <w:rPr>
          <w:rFonts w:asciiTheme="majorHAnsi" w:hAnsiTheme="majorHAnsi" w:cstheme="majorHAnsi"/>
          <w:lang w:val="ro-RO"/>
        </w:rPr>
        <w:t>subliniat</w:t>
      </w:r>
      <w:r w:rsidR="00EF06DD" w:rsidRPr="0090309A">
        <w:rPr>
          <w:rFonts w:asciiTheme="majorHAnsi" w:hAnsiTheme="majorHAnsi" w:cstheme="majorHAnsi"/>
          <w:lang w:val="ro-RO"/>
        </w:rPr>
        <w:t xml:space="preserve"> </w:t>
      </w:r>
      <w:r w:rsidRPr="0090309A">
        <w:rPr>
          <w:rFonts w:asciiTheme="majorHAnsi" w:hAnsiTheme="majorHAnsi" w:cstheme="majorHAnsi"/>
          <w:lang w:val="ro-RO"/>
        </w:rPr>
        <w:t xml:space="preserve">în mai multe hotărâri maniera </w:t>
      </w:r>
      <w:r w:rsidR="00EF06DD" w:rsidRPr="0090309A">
        <w:rPr>
          <w:rFonts w:asciiTheme="majorHAnsi" w:hAnsiTheme="majorHAnsi" w:cstheme="majorHAnsi"/>
          <w:lang w:val="ro-RO"/>
        </w:rPr>
        <w:t>arbitra</w:t>
      </w:r>
      <w:r w:rsidR="00EF06DD">
        <w:rPr>
          <w:rFonts w:asciiTheme="majorHAnsi" w:hAnsiTheme="majorHAnsi" w:cstheme="majorHAnsi"/>
          <w:lang w:val="ro-RO"/>
        </w:rPr>
        <w:t>r</w:t>
      </w:r>
      <w:r w:rsidR="00EF06DD" w:rsidRPr="0090309A">
        <w:rPr>
          <w:rFonts w:asciiTheme="majorHAnsi" w:hAnsiTheme="majorHAnsi" w:cstheme="majorHAnsi"/>
          <w:lang w:val="ro-RO"/>
        </w:rPr>
        <w:t xml:space="preserve">ă </w:t>
      </w:r>
      <w:r w:rsidRPr="0090309A">
        <w:rPr>
          <w:rFonts w:asciiTheme="majorHAnsi" w:hAnsiTheme="majorHAnsi" w:cstheme="majorHAnsi"/>
          <w:lang w:val="ro-RO"/>
        </w:rPr>
        <w:t xml:space="preserve">a unui </w:t>
      </w:r>
      <w:r>
        <w:rPr>
          <w:rFonts w:asciiTheme="majorHAnsi" w:hAnsiTheme="majorHAnsi" w:cstheme="majorHAnsi"/>
          <w:lang w:val="ro-RO"/>
        </w:rPr>
        <w:t>s</w:t>
      </w:r>
      <w:r w:rsidRPr="0090309A">
        <w:rPr>
          <w:rFonts w:asciiTheme="majorHAnsi" w:hAnsiTheme="majorHAnsi" w:cstheme="majorHAnsi"/>
          <w:lang w:val="ro-RO"/>
        </w:rPr>
        <w:t xml:space="preserve">tat </w:t>
      </w:r>
      <w:r>
        <w:rPr>
          <w:rFonts w:asciiTheme="majorHAnsi" w:hAnsiTheme="majorHAnsi" w:cstheme="majorHAnsi"/>
          <w:lang w:val="ro-RO"/>
        </w:rPr>
        <w:t>m</w:t>
      </w:r>
      <w:r w:rsidRPr="0090309A">
        <w:rPr>
          <w:rFonts w:asciiTheme="majorHAnsi" w:hAnsiTheme="majorHAnsi" w:cstheme="majorHAnsi"/>
          <w:lang w:val="ro-RO"/>
        </w:rPr>
        <w:t>embru de a aplica sancțiuni (</w:t>
      </w:r>
      <w:proofErr w:type="spellStart"/>
      <w:r w:rsidRPr="0090309A">
        <w:rPr>
          <w:rFonts w:asciiTheme="majorHAnsi" w:hAnsiTheme="majorHAnsi" w:cstheme="majorHAnsi"/>
          <w:lang w:val="ro-RO"/>
        </w:rPr>
        <w:t>Ecotrade</w:t>
      </w:r>
      <w:proofErr w:type="spellEnd"/>
      <w:r w:rsidRPr="0090309A">
        <w:rPr>
          <w:rFonts w:asciiTheme="majorHAnsi" w:hAnsiTheme="majorHAnsi" w:cstheme="majorHAnsi"/>
          <w:lang w:val="ro-RO"/>
        </w:rPr>
        <w:t>, C</w:t>
      </w:r>
      <w:r w:rsidRPr="0090309A">
        <w:rPr>
          <w:rFonts w:ascii="Cambria Math" w:hAnsi="Cambria Math" w:cs="Cambria Math"/>
          <w:lang w:val="ro-RO"/>
        </w:rPr>
        <w:t>‑</w:t>
      </w:r>
      <w:r w:rsidRPr="0090309A">
        <w:rPr>
          <w:rFonts w:asciiTheme="majorHAnsi" w:hAnsiTheme="majorHAnsi" w:cstheme="majorHAnsi"/>
          <w:lang w:val="ro-RO"/>
        </w:rPr>
        <w:t>95/07 și C</w:t>
      </w:r>
      <w:r w:rsidRPr="0090309A">
        <w:rPr>
          <w:rFonts w:ascii="Cambria Math" w:hAnsi="Cambria Math" w:cs="Cambria Math"/>
          <w:lang w:val="ro-RO"/>
        </w:rPr>
        <w:t>‑</w:t>
      </w:r>
      <w:r w:rsidRPr="0090309A">
        <w:rPr>
          <w:rFonts w:asciiTheme="majorHAnsi" w:hAnsiTheme="majorHAnsi" w:cstheme="majorHAnsi"/>
          <w:lang w:val="ro-RO"/>
        </w:rPr>
        <w:t>96/07, Farkas C</w:t>
      </w:r>
      <w:r w:rsidRPr="0090309A">
        <w:rPr>
          <w:rFonts w:ascii="Cambria Math" w:hAnsi="Cambria Math" w:cs="Cambria Math"/>
          <w:lang w:val="ro-RO"/>
        </w:rPr>
        <w:t>‑</w:t>
      </w:r>
      <w:r w:rsidRPr="0090309A">
        <w:rPr>
          <w:rFonts w:asciiTheme="majorHAnsi" w:hAnsiTheme="majorHAnsi" w:cstheme="majorHAnsi"/>
          <w:lang w:val="ro-RO"/>
        </w:rPr>
        <w:t xml:space="preserve">564/15). Totodată, sancțiunea </w:t>
      </w:r>
      <w:r>
        <w:rPr>
          <w:rFonts w:asciiTheme="majorHAnsi" w:hAnsiTheme="majorHAnsi" w:cstheme="majorHAnsi"/>
          <w:lang w:val="ro-RO"/>
        </w:rPr>
        <w:t xml:space="preserve">nu </w:t>
      </w:r>
      <w:r w:rsidRPr="0090309A">
        <w:rPr>
          <w:rFonts w:asciiTheme="majorHAnsi" w:hAnsiTheme="majorHAnsi" w:cstheme="majorHAnsi"/>
          <w:lang w:val="ro-RO"/>
        </w:rPr>
        <w:t>este aplicabilă</w:t>
      </w:r>
      <w:r>
        <w:rPr>
          <w:rFonts w:asciiTheme="majorHAnsi" w:hAnsiTheme="majorHAnsi" w:cstheme="majorHAnsi"/>
          <w:lang w:val="ro-RO"/>
        </w:rPr>
        <w:t xml:space="preserve"> </w:t>
      </w:r>
      <w:r w:rsidRPr="0090309A">
        <w:rPr>
          <w:rFonts w:asciiTheme="majorHAnsi" w:hAnsiTheme="majorHAnsi" w:cstheme="majorHAnsi"/>
          <w:lang w:val="ro-RO"/>
        </w:rPr>
        <w:t>unitar</w:t>
      </w:r>
      <w:r>
        <w:rPr>
          <w:rFonts w:asciiTheme="majorHAnsi" w:hAnsiTheme="majorHAnsi" w:cstheme="majorHAnsi"/>
          <w:lang w:val="ro-RO"/>
        </w:rPr>
        <w:t>,</w:t>
      </w:r>
      <w:r w:rsidRPr="0090309A">
        <w:rPr>
          <w:rFonts w:asciiTheme="majorHAnsi" w:hAnsiTheme="majorHAnsi" w:cstheme="majorHAnsi"/>
          <w:lang w:val="ro-RO"/>
        </w:rPr>
        <w:t xml:space="preserve"> având în vedere c</w:t>
      </w:r>
      <w:r>
        <w:rPr>
          <w:rFonts w:asciiTheme="majorHAnsi" w:hAnsiTheme="majorHAnsi" w:cstheme="majorHAnsi"/>
          <w:lang w:val="ro-RO"/>
        </w:rPr>
        <w:t>ă</w:t>
      </w:r>
      <w:r w:rsidRPr="0090309A">
        <w:rPr>
          <w:rFonts w:asciiTheme="majorHAnsi" w:hAnsiTheme="majorHAnsi" w:cstheme="majorHAnsi"/>
          <w:lang w:val="ro-RO"/>
        </w:rPr>
        <w:t xml:space="preserve"> anumite operațiuni pot fi scutite de TVA (chiar dacă emiterea facturii </w:t>
      </w:r>
      <w:r>
        <w:rPr>
          <w:rFonts w:asciiTheme="majorHAnsi" w:hAnsiTheme="majorHAnsi" w:cstheme="majorHAnsi"/>
          <w:lang w:val="ro-RO"/>
        </w:rPr>
        <w:t>este</w:t>
      </w:r>
      <w:r w:rsidRPr="0090309A">
        <w:rPr>
          <w:rFonts w:asciiTheme="majorHAnsi" w:hAnsiTheme="majorHAnsi" w:cstheme="majorHAnsi"/>
          <w:lang w:val="ro-RO"/>
        </w:rPr>
        <w:t xml:space="preserve"> opțională)</w:t>
      </w:r>
      <w:r>
        <w:rPr>
          <w:rFonts w:asciiTheme="majorHAnsi" w:hAnsiTheme="majorHAnsi" w:cstheme="majorHAnsi"/>
          <w:lang w:val="ro-RO"/>
        </w:rPr>
        <w:t>,</w:t>
      </w:r>
      <w:r w:rsidRPr="0090309A">
        <w:rPr>
          <w:rFonts w:asciiTheme="majorHAnsi" w:hAnsiTheme="majorHAnsi" w:cstheme="majorHAnsi"/>
          <w:lang w:val="ro-RO"/>
        </w:rPr>
        <w:t xml:space="preserve"> și ar conduce la dublă impozitare</w:t>
      </w:r>
      <w:r w:rsidR="00EF06DD">
        <w:rPr>
          <w:rFonts w:asciiTheme="majorHAnsi" w:hAnsiTheme="majorHAnsi" w:cstheme="majorHAnsi"/>
          <w:lang w:val="ro-RO"/>
        </w:rPr>
        <w:t>,</w:t>
      </w:r>
      <w:r w:rsidRPr="0090309A">
        <w:rPr>
          <w:rFonts w:asciiTheme="majorHAnsi" w:hAnsiTheme="majorHAnsi" w:cstheme="majorHAnsi"/>
          <w:lang w:val="ro-RO"/>
        </w:rPr>
        <w:t xml:space="preserve"> din moment ce companiile c</w:t>
      </w:r>
      <w:r>
        <w:rPr>
          <w:rFonts w:asciiTheme="majorHAnsi" w:hAnsiTheme="majorHAnsi" w:cstheme="majorHAnsi"/>
          <w:lang w:val="ro-RO"/>
        </w:rPr>
        <w:t xml:space="preserve">are acceptă </w:t>
      </w:r>
      <w:r w:rsidRPr="0090309A">
        <w:rPr>
          <w:rFonts w:asciiTheme="majorHAnsi" w:hAnsiTheme="majorHAnsi" w:cstheme="majorHAnsi"/>
          <w:lang w:val="ro-RO"/>
        </w:rPr>
        <w:t>facturi</w:t>
      </w:r>
      <w:r>
        <w:rPr>
          <w:rFonts w:asciiTheme="majorHAnsi" w:hAnsiTheme="majorHAnsi" w:cstheme="majorHAnsi"/>
          <w:lang w:val="ro-RO"/>
        </w:rPr>
        <w:t xml:space="preserve"> neconforme (ce nu sunt emise </w:t>
      </w:r>
      <w:r w:rsidRPr="0090309A">
        <w:rPr>
          <w:rFonts w:asciiTheme="majorHAnsi" w:hAnsiTheme="majorHAnsi" w:cstheme="majorHAnsi"/>
          <w:lang w:val="ro-RO"/>
        </w:rPr>
        <w:t>electronic</w:t>
      </w:r>
      <w:r>
        <w:rPr>
          <w:rFonts w:asciiTheme="majorHAnsi" w:hAnsiTheme="majorHAnsi" w:cstheme="majorHAnsi"/>
          <w:lang w:val="ro-RO"/>
        </w:rPr>
        <w:t>)</w:t>
      </w:r>
      <w:r w:rsidRPr="0090309A">
        <w:rPr>
          <w:rFonts w:asciiTheme="majorHAnsi" w:hAnsiTheme="majorHAnsi" w:cstheme="majorHAnsi"/>
          <w:lang w:val="ro-RO"/>
        </w:rPr>
        <w:t xml:space="preserve"> își vor pierde</w:t>
      </w:r>
      <w:r>
        <w:rPr>
          <w:rFonts w:asciiTheme="majorHAnsi" w:hAnsiTheme="majorHAnsi" w:cstheme="majorHAnsi"/>
          <w:lang w:val="ro-RO"/>
        </w:rPr>
        <w:t xml:space="preserve"> și</w:t>
      </w:r>
      <w:r w:rsidRPr="0090309A">
        <w:rPr>
          <w:rFonts w:asciiTheme="majorHAnsi" w:hAnsiTheme="majorHAnsi" w:cstheme="majorHAnsi"/>
          <w:lang w:val="ro-RO"/>
        </w:rPr>
        <w:t xml:space="preserve"> dreptul de </w:t>
      </w:r>
      <w:r>
        <w:rPr>
          <w:rFonts w:asciiTheme="majorHAnsi" w:hAnsiTheme="majorHAnsi" w:cstheme="majorHAnsi"/>
          <w:lang w:val="ro-RO"/>
        </w:rPr>
        <w:t xml:space="preserve">a </w:t>
      </w:r>
      <w:r w:rsidRPr="0090309A">
        <w:rPr>
          <w:rFonts w:asciiTheme="majorHAnsi" w:hAnsiTheme="majorHAnsi" w:cstheme="majorHAnsi"/>
          <w:lang w:val="ro-RO"/>
        </w:rPr>
        <w:t xml:space="preserve">deduce TVA </w:t>
      </w:r>
      <w:r>
        <w:rPr>
          <w:rFonts w:asciiTheme="majorHAnsi" w:hAnsiTheme="majorHAnsi" w:cstheme="majorHAnsi"/>
          <w:lang w:val="ro-RO"/>
        </w:rPr>
        <w:t>pentru</w:t>
      </w:r>
      <w:r w:rsidRPr="0090309A">
        <w:rPr>
          <w:rFonts w:asciiTheme="majorHAnsi" w:hAnsiTheme="majorHAnsi" w:cstheme="majorHAnsi"/>
          <w:lang w:val="ro-RO"/>
        </w:rPr>
        <w:t xml:space="preserve"> achiziții</w:t>
      </w:r>
      <w:r>
        <w:rPr>
          <w:rFonts w:asciiTheme="majorHAnsi" w:hAnsiTheme="majorHAnsi" w:cstheme="majorHAnsi"/>
          <w:lang w:val="ro-RO"/>
        </w:rPr>
        <w:t xml:space="preserve">le </w:t>
      </w:r>
      <w:r w:rsidRPr="0090309A">
        <w:rPr>
          <w:rFonts w:asciiTheme="majorHAnsi" w:hAnsiTheme="majorHAnsi" w:cstheme="majorHAnsi"/>
          <w:lang w:val="ro-RO"/>
        </w:rPr>
        <w:t>respective.</w:t>
      </w:r>
    </w:p>
    <w:p w14:paraId="2F9799A2" w14:textId="77777777" w:rsidR="001F517B" w:rsidRDefault="001F517B" w:rsidP="00F0521A">
      <w:pPr>
        <w:spacing w:after="80" w:line="264" w:lineRule="auto"/>
        <w:jc w:val="both"/>
        <w:rPr>
          <w:rFonts w:asciiTheme="majorHAnsi" w:hAnsiTheme="majorHAnsi" w:cstheme="majorHAnsi"/>
          <w:lang w:val="ro-RO"/>
        </w:rPr>
      </w:pPr>
      <w:r w:rsidRPr="0090309A">
        <w:rPr>
          <w:rFonts w:asciiTheme="majorHAnsi" w:hAnsiTheme="majorHAnsi" w:cstheme="majorHAnsi"/>
          <w:lang w:val="ro-RO"/>
        </w:rPr>
        <w:t>Cel mai probabil, cu privire la acest aspect vor apărea numeroase litigii, în care fie se va invoca o excepție de neconstituționalitate, fie se va face o trimitere preliminară către CJUE.</w:t>
      </w:r>
    </w:p>
    <w:p w14:paraId="65ED9AB7" w14:textId="77777777" w:rsidR="001F517B" w:rsidRPr="0090309A" w:rsidRDefault="001F517B" w:rsidP="00F0521A">
      <w:pPr>
        <w:spacing w:after="80" w:line="264" w:lineRule="auto"/>
        <w:jc w:val="both"/>
        <w:rPr>
          <w:rFonts w:asciiTheme="majorHAnsi" w:hAnsiTheme="majorHAnsi" w:cstheme="majorHAnsi"/>
          <w:lang w:val="ro-RO"/>
        </w:rPr>
      </w:pPr>
      <w:r>
        <w:rPr>
          <w:rFonts w:asciiTheme="majorHAnsi" w:hAnsiTheme="majorHAnsi" w:cstheme="majorHAnsi"/>
          <w:lang w:val="ro-RO"/>
        </w:rPr>
        <w:t xml:space="preserve">În concluzie, contribuabilii vizați de obligativitatea RO e-Factura trebuie să înceapă cât mai repede să se pregătească, astfel încât să respecte termenele prevăzute de lege. </w:t>
      </w:r>
    </w:p>
    <w:p w14:paraId="67554787" w14:textId="77777777" w:rsidR="001F517B" w:rsidRPr="0090309A" w:rsidRDefault="001F517B" w:rsidP="00F0521A">
      <w:pPr>
        <w:spacing w:after="80" w:line="264" w:lineRule="auto"/>
        <w:rPr>
          <w:rFonts w:asciiTheme="majorHAnsi" w:hAnsiTheme="majorHAnsi" w:cstheme="majorHAnsi"/>
          <w:lang w:val="ro-RO"/>
        </w:rPr>
      </w:pPr>
    </w:p>
    <w:p w14:paraId="1771635C" w14:textId="77777777" w:rsidR="00D66DCB" w:rsidRPr="001F517B" w:rsidRDefault="00D66DCB" w:rsidP="00F0521A">
      <w:pPr>
        <w:spacing w:after="80" w:line="264" w:lineRule="auto"/>
        <w:rPr>
          <w:lang w:val="ro-RO"/>
        </w:rPr>
      </w:pPr>
    </w:p>
    <w:sectPr w:rsidR="00D66DCB" w:rsidRPr="001F517B" w:rsidSect="00F0521A">
      <w:headerReference w:type="default" r:id="rId6"/>
      <w:headerReference w:type="first" r:id="rId7"/>
      <w:footerReference w:type="first" r:id="rId8"/>
      <w:pgSz w:w="11901" w:h="16840" w:code="9"/>
      <w:pgMar w:top="1440" w:right="1080" w:bottom="1440" w:left="1080"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DAA5" w14:textId="77777777" w:rsidR="00EE6DDA" w:rsidRDefault="00EE6DDA">
      <w:pPr>
        <w:spacing w:line="240" w:lineRule="auto"/>
      </w:pPr>
      <w:r>
        <w:separator/>
      </w:r>
    </w:p>
  </w:endnote>
  <w:endnote w:type="continuationSeparator" w:id="0">
    <w:p w14:paraId="45C7D05A" w14:textId="77777777" w:rsidR="00EE6DDA" w:rsidRDefault="00EE6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45 Light">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
    <w:altName w:val="Times New Roman"/>
    <w:charset w:val="4D"/>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utigerNextPro-Light">
    <w:altName w:val="Leelawadee UI Semilight"/>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1C88" w14:textId="77777777" w:rsidR="001F517B" w:rsidRPr="001615F5" w:rsidRDefault="001F517B" w:rsidP="005D4A30">
    <w:pPr>
      <w:pStyle w:val="Footer"/>
      <w:ind w:right="-7"/>
      <w:rPr>
        <w:rFonts w:ascii="Verdana" w:hAnsi="Verdana"/>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4B38" w14:textId="77777777" w:rsidR="00EE6DDA" w:rsidRDefault="00EE6DDA">
      <w:pPr>
        <w:spacing w:line="240" w:lineRule="auto"/>
      </w:pPr>
      <w:r>
        <w:separator/>
      </w:r>
    </w:p>
  </w:footnote>
  <w:footnote w:type="continuationSeparator" w:id="0">
    <w:p w14:paraId="13FC7557" w14:textId="77777777" w:rsidR="00EE6DDA" w:rsidRDefault="00EE6D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C53C" w14:textId="77777777" w:rsidR="001F517B" w:rsidRDefault="001F517B" w:rsidP="005443B3">
    <w:pPr>
      <w:pStyle w:val="Legalentity"/>
      <w:spacing w:after="140" w:line="240" w:lineRule="auto"/>
      <w:rPr>
        <w:sz w:val="18"/>
      </w:rPr>
    </w:pPr>
    <w:r>
      <w:rPr>
        <w:noProof/>
        <w:lang w:val="en-US" w:eastAsia="en-US"/>
      </w:rPr>
      <w:drawing>
        <wp:anchor distT="0" distB="0" distL="114300" distR="114300" simplePos="0" relativeHeight="251659264" behindDoc="0" locked="0" layoutInCell="1" allowOverlap="1" wp14:anchorId="56C3AE8B" wp14:editId="2C0BDBC2">
          <wp:simplePos x="0" y="0"/>
          <wp:positionH relativeFrom="column">
            <wp:posOffset>0</wp:posOffset>
          </wp:positionH>
          <wp:positionV relativeFrom="paragraph">
            <wp:posOffset>368300</wp:posOffset>
          </wp:positionV>
          <wp:extent cx="1630680" cy="304800"/>
          <wp:effectExtent l="0" t="0" r="7620" b="0"/>
          <wp:wrapNone/>
          <wp:docPr id="34" name="Picture 34" descr="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_PRI_GREY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2704" w14:textId="77777777" w:rsidR="001F517B" w:rsidRDefault="001F517B" w:rsidP="003023E6">
    <w:pPr>
      <w:pStyle w:val="Legalentity"/>
      <w:spacing w:after="140" w:line="240" w:lineRule="auto"/>
      <w:rPr>
        <w:rFonts w:ascii="FrutigerNextPro-Light" w:hAnsi="FrutigerNextPro-Light"/>
        <w:color w:val="002776"/>
      </w:rPr>
    </w:pPr>
    <w:r>
      <w:rPr>
        <w:noProof/>
        <w:lang w:val="en-US" w:eastAsia="en-US"/>
      </w:rPr>
      <w:drawing>
        <wp:anchor distT="0" distB="0" distL="114300" distR="114300" simplePos="0" relativeHeight="251660288" behindDoc="1" locked="0" layoutInCell="1" allowOverlap="1" wp14:anchorId="5DFA67C2" wp14:editId="6A6B65D9">
          <wp:simplePos x="0" y="0"/>
          <wp:positionH relativeFrom="column">
            <wp:posOffset>-312420</wp:posOffset>
          </wp:positionH>
          <wp:positionV relativeFrom="paragraph">
            <wp:posOffset>33020</wp:posOffset>
          </wp:positionV>
          <wp:extent cx="2216150" cy="901700"/>
          <wp:effectExtent l="0" t="0" r="0" b="0"/>
          <wp:wrapNone/>
          <wp:docPr id="35" name="Picture 1" descr="C:\Users\iciuca\AppData\Local\Microsoft\Windows\INetCache\Content.Word\DEL_PR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iuca\AppData\Local\Microsoft\Windows\INetCache\Content.Word\DEL_PRI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1A1F6" w14:textId="77777777" w:rsidR="001F517B" w:rsidRDefault="001F517B" w:rsidP="003023E6">
    <w:pPr>
      <w:pStyle w:val="Legalentity"/>
      <w:spacing w:after="140" w:line="240" w:lineRule="auto"/>
      <w:rPr>
        <w:rFonts w:ascii="FrutigerNextPro-Light" w:hAnsi="FrutigerNextPro-Light"/>
        <w:color w:val="002776"/>
      </w:rPr>
    </w:pPr>
  </w:p>
  <w:p w14:paraId="74DF4E94" w14:textId="77777777" w:rsidR="001F517B" w:rsidRDefault="001F517B" w:rsidP="003023E6">
    <w:pPr>
      <w:pStyle w:val="Legalentity"/>
      <w:spacing w:after="140" w:line="240" w:lineRule="auto"/>
      <w:rPr>
        <w:rFonts w:ascii="FrutigerNextPro-Light" w:hAnsi="FrutigerNextPro-Light"/>
        <w:color w:val="002776"/>
      </w:rPr>
    </w:pPr>
  </w:p>
  <w:p w14:paraId="35D6797B" w14:textId="77777777" w:rsidR="001F517B" w:rsidRDefault="001F517B" w:rsidP="003023E6">
    <w:pPr>
      <w:pStyle w:val="Legalentity"/>
      <w:spacing w:after="140" w:line="240" w:lineRule="auto"/>
      <w:rPr>
        <w:rFonts w:ascii="FrutigerNextPro-Light" w:hAnsi="FrutigerNextPro-Light"/>
        <w:color w:val="002776"/>
      </w:rPr>
    </w:pPr>
  </w:p>
  <w:p w14:paraId="7FFF24F1" w14:textId="77777777" w:rsidR="001F517B" w:rsidRPr="00F037A0" w:rsidRDefault="001F517B" w:rsidP="003023E6">
    <w:pPr>
      <w:pStyle w:val="Legalentity"/>
      <w:spacing w:after="140" w:line="240" w:lineRule="auto"/>
      <w:rPr>
        <w:rFonts w:ascii="FrutigerNextPro-Light" w:hAnsi="FrutigerNextPro-Light"/>
        <w:color w:val="002776"/>
      </w:rPr>
    </w:pPr>
  </w:p>
  <w:p w14:paraId="7A3939C4" w14:textId="77777777" w:rsidR="001F517B" w:rsidRPr="001615F5" w:rsidRDefault="001F517B">
    <w:pPr>
      <w:pStyle w:val="Header"/>
      <w:rPr>
        <w:sz w:val="11"/>
        <w:szCs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7B"/>
    <w:rsid w:val="000A5AE7"/>
    <w:rsid w:val="001F517B"/>
    <w:rsid w:val="003C431E"/>
    <w:rsid w:val="00417ECE"/>
    <w:rsid w:val="006C4FFE"/>
    <w:rsid w:val="009618DD"/>
    <w:rsid w:val="00D66DCB"/>
    <w:rsid w:val="00EE6DDA"/>
    <w:rsid w:val="00EF06DD"/>
    <w:rsid w:val="00F0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EF85F"/>
  <w15:chartTrackingRefBased/>
  <w15:docId w15:val="{FF8CF90F-2C37-428F-A674-202C6E1B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17B"/>
    <w:pPr>
      <w:tabs>
        <w:tab w:val="left" w:pos="284"/>
        <w:tab w:val="left" w:pos="567"/>
        <w:tab w:val="left" w:pos="851"/>
        <w:tab w:val="left" w:pos="1985"/>
        <w:tab w:val="left" w:pos="3119"/>
        <w:tab w:val="left" w:pos="4253"/>
        <w:tab w:val="right" w:pos="7655"/>
      </w:tabs>
      <w:spacing w:after="0" w:line="280" w:lineRule="exact"/>
    </w:pPr>
    <w:rPr>
      <w:rFonts w:ascii="Helvetica 45 Light" w:eastAsia="Times" w:hAnsi="Helvetica 45 Light" w:cs="Times New Roman"/>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1F517B"/>
    <w:pPr>
      <w:tabs>
        <w:tab w:val="clear" w:pos="284"/>
        <w:tab w:val="clear" w:pos="567"/>
        <w:tab w:val="clear" w:pos="851"/>
        <w:tab w:val="clear" w:pos="7655"/>
      </w:tabs>
      <w:spacing w:line="160" w:lineRule="exact"/>
    </w:pPr>
    <w:rPr>
      <w:sz w:val="12"/>
    </w:rPr>
  </w:style>
  <w:style w:type="character" w:customStyle="1" w:styleId="FooterChar">
    <w:name w:val="Footer Char"/>
    <w:basedOn w:val="DefaultParagraphFont"/>
    <w:link w:val="Footer"/>
    <w:semiHidden/>
    <w:rsid w:val="001F517B"/>
    <w:rPr>
      <w:rFonts w:ascii="Helvetica 45 Light" w:eastAsia="Times" w:hAnsi="Helvetica 45 Light" w:cs="Times New Roman"/>
      <w:kern w:val="0"/>
      <w:sz w:val="12"/>
      <w:szCs w:val="20"/>
      <w:lang w:val="en-GB" w:eastAsia="en-GB"/>
      <w14:ligatures w14:val="none"/>
    </w:rPr>
  </w:style>
  <w:style w:type="paragraph" w:styleId="Header">
    <w:name w:val="header"/>
    <w:basedOn w:val="Normal"/>
    <w:link w:val="HeaderChar"/>
    <w:semiHidden/>
    <w:rsid w:val="001F517B"/>
    <w:pPr>
      <w:tabs>
        <w:tab w:val="clear" w:pos="284"/>
        <w:tab w:val="clear" w:pos="567"/>
        <w:tab w:val="clear" w:pos="851"/>
        <w:tab w:val="clear" w:pos="1985"/>
        <w:tab w:val="clear" w:pos="3119"/>
        <w:tab w:val="clear" w:pos="4253"/>
        <w:tab w:val="clear" w:pos="7655"/>
        <w:tab w:val="center" w:pos="4320"/>
        <w:tab w:val="right" w:pos="8640"/>
      </w:tabs>
    </w:pPr>
  </w:style>
  <w:style w:type="character" w:customStyle="1" w:styleId="HeaderChar">
    <w:name w:val="Header Char"/>
    <w:basedOn w:val="DefaultParagraphFont"/>
    <w:link w:val="Header"/>
    <w:semiHidden/>
    <w:rsid w:val="001F517B"/>
    <w:rPr>
      <w:rFonts w:ascii="Helvetica 45 Light" w:eastAsia="Times" w:hAnsi="Helvetica 45 Light" w:cs="Times New Roman"/>
      <w:kern w:val="0"/>
      <w:sz w:val="20"/>
      <w:szCs w:val="20"/>
      <w:lang w:val="en-GB" w:eastAsia="en-GB"/>
      <w14:ligatures w14:val="none"/>
    </w:rPr>
  </w:style>
  <w:style w:type="paragraph" w:customStyle="1" w:styleId="Legalentity">
    <w:name w:val="Legal entity"/>
    <w:basedOn w:val="Normal"/>
    <w:rsid w:val="001F517B"/>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after="90" w:line="180" w:lineRule="atLeast"/>
      <w:textAlignment w:val="center"/>
    </w:pPr>
    <w:rPr>
      <w:rFonts w:ascii="ArialMT" w:eastAsia="Times New Roman" w:hAnsi="ArialMT"/>
      <w:color w:val="000000"/>
      <w:sz w:val="15"/>
    </w:rPr>
  </w:style>
  <w:style w:type="character" w:styleId="CommentReference">
    <w:name w:val="annotation reference"/>
    <w:basedOn w:val="DefaultParagraphFont"/>
    <w:uiPriority w:val="99"/>
    <w:semiHidden/>
    <w:unhideWhenUsed/>
    <w:rsid w:val="001F517B"/>
    <w:rPr>
      <w:sz w:val="16"/>
      <w:szCs w:val="16"/>
    </w:rPr>
  </w:style>
  <w:style w:type="paragraph" w:styleId="CommentText">
    <w:name w:val="annotation text"/>
    <w:basedOn w:val="Normal"/>
    <w:link w:val="CommentTextChar"/>
    <w:uiPriority w:val="99"/>
    <w:unhideWhenUsed/>
    <w:rsid w:val="001F517B"/>
    <w:pPr>
      <w:spacing w:line="240" w:lineRule="auto"/>
    </w:pPr>
  </w:style>
  <w:style w:type="character" w:customStyle="1" w:styleId="CommentTextChar">
    <w:name w:val="Comment Text Char"/>
    <w:basedOn w:val="DefaultParagraphFont"/>
    <w:link w:val="CommentText"/>
    <w:uiPriority w:val="99"/>
    <w:rsid w:val="001F517B"/>
    <w:rPr>
      <w:rFonts w:ascii="Helvetica 45 Light" w:eastAsia="Times" w:hAnsi="Helvetica 45 Light" w:cs="Times New Roman"/>
      <w:kern w:val="0"/>
      <w:sz w:val="20"/>
      <w:szCs w:val="20"/>
      <w:lang w:val="en-GB" w:eastAsia="en-GB"/>
      <w14:ligatures w14:val="none"/>
    </w:rPr>
  </w:style>
  <w:style w:type="paragraph" w:styleId="Revision">
    <w:name w:val="Revision"/>
    <w:hidden/>
    <w:uiPriority w:val="99"/>
    <w:semiHidden/>
    <w:rsid w:val="003C431E"/>
    <w:pPr>
      <w:spacing w:after="0" w:line="240" w:lineRule="auto"/>
    </w:pPr>
    <w:rPr>
      <w:rFonts w:ascii="Helvetica 45 Light" w:eastAsia="Times" w:hAnsi="Helvetica 45 Light"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F06DD"/>
    <w:rPr>
      <w:b/>
      <w:bCs/>
    </w:rPr>
  </w:style>
  <w:style w:type="character" w:customStyle="1" w:styleId="CommentSubjectChar">
    <w:name w:val="Comment Subject Char"/>
    <w:basedOn w:val="CommentTextChar"/>
    <w:link w:val="CommentSubject"/>
    <w:uiPriority w:val="99"/>
    <w:semiHidden/>
    <w:rsid w:val="00EF06DD"/>
    <w:rPr>
      <w:rFonts w:ascii="Helvetica 45 Light" w:eastAsia="Times" w:hAnsi="Helvetica 45 Light" w:cs="Times New Roman"/>
      <w:b/>
      <w:bCs/>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Deloitte CE</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Creanga, Ana</dc:creator>
  <cp:keywords/>
  <dc:description/>
  <cp:lastModifiedBy>Anghel, Oana</cp:lastModifiedBy>
  <cp:revision>3</cp:revision>
  <dcterms:created xsi:type="dcterms:W3CDTF">2023-10-27T15:29:00Z</dcterms:created>
  <dcterms:modified xsi:type="dcterms:W3CDTF">2023-10-30T06:25:00Z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2023-10-27T11:59:27Z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ced1f25e-eb31-4198-9e9d-f0a18011d259</vt:lpwstr>
  </property>
  <property fmtid="{D5CDD505-2E9C-101B-9397-08002B2CF9AE}" pid="8" name="MSIP_Label_ea60d57e-af5b-4752-ac57-3e4f28ca11dc_ContentBits">
    <vt:lpwstr>0</vt:lpwstr>
  </property>
</Properties>
</file>