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53C6" w14:textId="04280026" w:rsidR="008F427E" w:rsidRPr="00C962E7" w:rsidRDefault="008836B0" w:rsidP="00035B00">
      <w:pPr>
        <w:shd w:val="clear" w:color="auto" w:fill="FFFFFF"/>
        <w:spacing w:after="120" w:line="264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</w:pPr>
      <w:r w:rsidRPr="00C9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  <w:t xml:space="preserve">Bilanț la un an de la </w:t>
      </w:r>
      <w:r w:rsidR="007D722B" w:rsidRPr="00C9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  <w:t xml:space="preserve">implementarea sistemelor de raportare </w:t>
      </w:r>
      <w:r w:rsidR="005E631C" w:rsidRPr="00C9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  <w:t>online</w:t>
      </w:r>
      <w:r w:rsidR="005E631C">
        <w:rPr>
          <w:rFonts w:asciiTheme="majorHAnsi" w:eastAsia="Times New Roman" w:hAnsiTheme="majorHAnsi" w:cstheme="majorHAnsi"/>
          <w:color w:val="000000"/>
          <w:lang w:val="ro-RO"/>
        </w:rPr>
        <w:t xml:space="preserve"> </w:t>
      </w:r>
      <w:r w:rsidR="00D52ABB">
        <w:rPr>
          <w:rFonts w:asciiTheme="majorHAnsi" w:eastAsia="Times New Roman" w:hAnsiTheme="majorHAnsi" w:cstheme="majorHAnsi"/>
          <w:color w:val="000000"/>
          <w:lang w:val="ro-RO"/>
        </w:rPr>
        <w:t>–</w:t>
      </w:r>
      <w:r w:rsidR="005E631C">
        <w:rPr>
          <w:rFonts w:asciiTheme="majorHAnsi" w:eastAsia="Times New Roman" w:hAnsiTheme="majorHAnsi" w:cstheme="majorHAnsi"/>
          <w:color w:val="000000"/>
          <w:lang w:val="ro-RO"/>
        </w:rPr>
        <w:t xml:space="preserve"> </w:t>
      </w:r>
      <w:r w:rsidR="00D52ABB" w:rsidRPr="00C9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  <w:t xml:space="preserve">care sunt cele mai frecvente </w:t>
      </w:r>
      <w:r w:rsidR="00454416" w:rsidRPr="00C9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  <w:t xml:space="preserve">nereguli </w:t>
      </w:r>
      <w:r w:rsidR="00D52ABB" w:rsidRPr="00C9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ro-RO"/>
        </w:rPr>
        <w:t>în sfera TVA?</w:t>
      </w:r>
    </w:p>
    <w:p w14:paraId="06D11D0B" w14:textId="77777777" w:rsidR="00D92ABE" w:rsidRDefault="00D92ABE" w:rsidP="00035B00">
      <w:pPr>
        <w:shd w:val="clear" w:color="auto" w:fill="FFFFFF"/>
        <w:spacing w:after="120" w:line="264" w:lineRule="auto"/>
        <w:jc w:val="both"/>
        <w:outlineLvl w:val="0"/>
        <w:rPr>
          <w:rFonts w:asciiTheme="majorHAnsi" w:eastAsia="Times New Roman" w:hAnsiTheme="majorHAnsi" w:cstheme="majorHAnsi"/>
          <w:i/>
          <w:iCs/>
          <w:color w:val="000000"/>
          <w:lang w:val="ro-RO"/>
        </w:rPr>
      </w:pPr>
    </w:p>
    <w:p w14:paraId="5CB21C6A" w14:textId="7AED9098" w:rsidR="008F427E" w:rsidRPr="00D92ABE" w:rsidRDefault="008F427E" w:rsidP="00035B00">
      <w:pPr>
        <w:shd w:val="clear" w:color="auto" w:fill="FFFFFF"/>
        <w:spacing w:after="120" w:line="264" w:lineRule="auto"/>
        <w:jc w:val="both"/>
        <w:outlineLvl w:val="0"/>
        <w:rPr>
          <w:rFonts w:asciiTheme="majorHAnsi" w:eastAsia="Times New Roman" w:hAnsiTheme="majorHAnsi" w:cstheme="majorHAnsi"/>
          <w:i/>
          <w:iCs/>
          <w:color w:val="000000"/>
          <w:lang w:val="ro-RO"/>
        </w:rPr>
      </w:pP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Material de opinie de Victoria Dobre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,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 xml:space="preserve"> Senior Manager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,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 xml:space="preserve"> 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ș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i C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ă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t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ă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lin Stroe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,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 xml:space="preserve"> Senior Consultant</w:t>
      </w:r>
      <w:r w:rsidR="006833F9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,</w:t>
      </w:r>
      <w:r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 xml:space="preserve"> Impozitare Indirectă</w:t>
      </w:r>
      <w:r w:rsidR="00CB5B00" w:rsidRPr="00D92ABE">
        <w:rPr>
          <w:rFonts w:asciiTheme="majorHAnsi" w:eastAsia="Times New Roman" w:hAnsiTheme="majorHAnsi" w:cstheme="majorHAnsi"/>
          <w:i/>
          <w:iCs/>
          <w:color w:val="000000"/>
          <w:lang w:val="ro-RO"/>
        </w:rPr>
        <w:t>, Deloitte România</w:t>
      </w:r>
    </w:p>
    <w:p w14:paraId="685EE702" w14:textId="77777777" w:rsidR="00D92ABE" w:rsidRPr="00D92ABE" w:rsidRDefault="00D92ABE" w:rsidP="00035B00">
      <w:pPr>
        <w:shd w:val="clear" w:color="auto" w:fill="FFFFFF"/>
        <w:spacing w:after="120" w:line="264" w:lineRule="auto"/>
        <w:jc w:val="both"/>
        <w:outlineLvl w:val="0"/>
        <w:rPr>
          <w:rFonts w:asciiTheme="majorHAnsi" w:eastAsia="Times New Roman" w:hAnsiTheme="majorHAnsi" w:cstheme="majorHAnsi"/>
          <w:i/>
          <w:iCs/>
          <w:color w:val="000000"/>
          <w:lang w:val="ro-RO"/>
        </w:rPr>
      </w:pPr>
    </w:p>
    <w:p w14:paraId="6221209D" w14:textId="7F542D7B" w:rsidR="008F427E" w:rsidRPr="00D92ABE" w:rsidRDefault="00696EEF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Procesul de digitalizare a administrației fiscale, </w:t>
      </w:r>
      <w:r w:rsidR="008035B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accelerat în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2022 </w:t>
      </w:r>
      <w:r w:rsidR="00727C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cu scopul de </w:t>
      </w:r>
      <w:r w:rsidR="00AE7A1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 </w:t>
      </w:r>
      <w:r w:rsidR="00727C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contribui la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combater</w:t>
      </w:r>
      <w:r w:rsidR="00727C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ea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fraudei fiscale</w:t>
      </w:r>
      <w:r w:rsidR="00727C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</w:t>
      </w:r>
      <w:r w:rsidR="00220CE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începe să dea rezultate</w:t>
      </w:r>
      <w:r w:rsidR="001B481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conform celui mai recent raport </w:t>
      </w:r>
      <w:r w:rsidR="00FA5CF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al </w:t>
      </w:r>
      <w:r w:rsidR="001B481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genției Naționale de A</w:t>
      </w:r>
      <w:r w:rsidR="00FA5CF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d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ministrare Fiscală (A</w:t>
      </w:r>
      <w:r w:rsidR="001B481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NAF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)</w:t>
      </w:r>
      <w:r w:rsidR="001B481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pe aceast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1B481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tem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4441D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.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La aproximativ un an de la implementarea SAF-T </w:t>
      </w:r>
      <w:r w:rsidR="00D5738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 </w:t>
      </w:r>
      <w:r w:rsidR="00D5738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de la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demararea unor proiecte similare </w:t>
      </w:r>
      <w:r w:rsidR="004441D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ca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importan</w:t>
      </w:r>
      <w:r w:rsidR="00D5738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 sistemele RO e-Factura și RO e-Transport, autorit</w:t>
      </w:r>
      <w:r w:rsidR="00D5738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ăț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ile fiscale au emis un raport privind principalele deficiențe constatate ca urmare a acțiunilor de control</w:t>
      </w:r>
      <w:r w:rsidR="002E3CD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și </w:t>
      </w:r>
      <w:r w:rsidR="00B151C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cele mai importante aspecte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fiscale adresate de contribuabili în prima parte a anului 2023</w:t>
      </w:r>
      <w:r w:rsidR="00D5738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.</w:t>
      </w:r>
    </w:p>
    <w:p w14:paraId="7B2176C0" w14:textId="66BC552F" w:rsidR="002C2879" w:rsidRPr="00D92ABE" w:rsidRDefault="008F427E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Astfel, </w:t>
      </w:r>
      <w:r w:rsidR="00E6374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 urma ac</w:t>
      </w:r>
      <w:r w:rsidR="00E6374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iunilor de control desf</w:t>
      </w:r>
      <w:r w:rsidR="00E6374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ăș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urate de inspectorii</w:t>
      </w:r>
      <w:r w:rsidR="00C154D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ANAF</w:t>
      </w:r>
      <w:r w:rsidR="00FA5CF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742FB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n primul semestru </w:t>
      </w:r>
      <w:r w:rsidR="00906EC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din acest an</w:t>
      </w:r>
      <w:r w:rsidR="00B0057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</w:t>
      </w:r>
      <w:r w:rsidR="00906EC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au fost constatate o serie de inadverten</w:t>
      </w:r>
      <w:r w:rsidR="00742FB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e </w:t>
      </w:r>
      <w:r w:rsidR="00F45B7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n registrele </w:t>
      </w:r>
      <w:r w:rsidR="00742FB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 declara</w:t>
      </w:r>
      <w:r w:rsidR="00742FB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iile contribuabililor care</w:t>
      </w:r>
      <w:r w:rsidR="00436F5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 în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consecin</w:t>
      </w:r>
      <w:r w:rsidR="00436F5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ță, au </w:t>
      </w:r>
      <w:r w:rsidR="00E1505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afectat încasările </w:t>
      </w:r>
      <w:r w:rsidR="002C2879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la bugetul de stat. </w:t>
      </w:r>
    </w:p>
    <w:p w14:paraId="769F83B1" w14:textId="5C963C5B" w:rsidR="008D02C4" w:rsidRPr="00D92ABE" w:rsidRDefault="00E66FB6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Pr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intre neregulile constatate </w:t>
      </w:r>
      <w:r w:rsidR="0083096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 urma verific</w:t>
      </w:r>
      <w:r w:rsidR="0083096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rilor efectuate de inspectorii ANAF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se </w:t>
      </w:r>
      <w:r w:rsidR="0078743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num</w:t>
      </w:r>
      <w:r w:rsidR="00FA5CF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78743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78743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și</w:t>
      </w:r>
      <w:r w:rsidR="000654A9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EF5A85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r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aportarea de livr</w:t>
      </w:r>
      <w:r w:rsidR="00AB12F6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ri intra-</w:t>
      </w:r>
      <w:r w:rsidR="00AB12F6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c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omunitare fictive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care, de fapt, erau livr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ri locale de bunuri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cu locul tax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rii 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 Rom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â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nia 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 pentru care furnizorul trebuia s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colecteze TVA</w:t>
      </w:r>
      <w:r w:rsidR="008D02C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.</w:t>
      </w:r>
    </w:p>
    <w:p w14:paraId="727B7FDA" w14:textId="0448FA74" w:rsidR="00503782" w:rsidRPr="00D92ABE" w:rsidRDefault="008D02C4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O altă neregulă se referă la </w:t>
      </w:r>
      <w:r w:rsidR="00EF5A85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d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educerea TVA pentru achizi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ț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iile locale de bunuri 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ș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i servicii pentru care emitentul facturii nu 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ș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i-a 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ndeplin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i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t obliga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ț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iile de raportare sau de plat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ă</w:t>
      </w:r>
      <w:r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. </w:t>
      </w:r>
    </w:p>
    <w:p w14:paraId="766F7317" w14:textId="37952F16" w:rsidR="008F427E" w:rsidRPr="00D92ABE" w:rsidRDefault="00503782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N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eraportarea sau raportarea incomplet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 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n </w:t>
      </w:r>
      <w:r w:rsidR="008335F4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s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istemul RO e-Transport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a </w:t>
      </w:r>
      <w:r w:rsidR="00F41BB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mărfurilor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8D3D5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incluse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de autorit</w:t>
      </w:r>
      <w:r w:rsidR="008335F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ăț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 </w:t>
      </w:r>
      <w:r w:rsidR="008D3D5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în categoria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bunuri</w:t>
      </w:r>
      <w:r w:rsidR="00F41BB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lor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cu risc fiscal ridicat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3A393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se află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 de asemenea, printre</w:t>
      </w:r>
      <w:r w:rsidR="003A393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inadvertențele constate de inspectorii fiscali în cadrul controalelor. 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</w:p>
    <w:p w14:paraId="718A2AA0" w14:textId="1F6FCF66" w:rsidR="008F427E" w:rsidRDefault="007A73B6" w:rsidP="00D92ABE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Totodată, raportul ANAF menționează</w:t>
      </w:r>
      <w:r w:rsidR="00BB00AC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la capitolul nereguli, </w:t>
      </w:r>
      <w:r w:rsidR="00EF5A85" w:rsidRPr="00035B00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r</w:t>
      </w:r>
      <w:r w:rsidR="008F427E" w:rsidRPr="00035B00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aportarea de achizi</w:t>
      </w:r>
      <w:r w:rsidR="00EF5A85" w:rsidRPr="00035B00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ț</w:t>
      </w:r>
      <w:r w:rsidR="008F427E" w:rsidRPr="00035B00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ii de la furnizori declara</w:t>
      </w:r>
      <w:r w:rsidR="00EF5A85" w:rsidRPr="00035B00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ț</w:t>
      </w:r>
      <w:r w:rsidR="008F427E" w:rsidRPr="00035B00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i ca inactivi </w:t>
      </w:r>
      <w:r w:rsidR="0043602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n perioada de raportare </w:t>
      </w:r>
      <w:r w:rsidR="004A7046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 vederea deducerii TVA aferent</w:t>
      </w:r>
      <w:r w:rsidR="00DA380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e</w:t>
      </w:r>
      <w:r w:rsidR="003665D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dar și </w:t>
      </w:r>
      <w:r w:rsidR="00DA3801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n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e</w:t>
      </w:r>
      <w:r w:rsidR="00DA3801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nregistrarea </w:t>
      </w:r>
      <w:r w:rsidR="003A74A6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n scopuri de TVA a unor contribuabili care aveau obliga</w:t>
      </w:r>
      <w:r w:rsidR="003A74A6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ț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ia de </w:t>
      </w:r>
      <w:r w:rsidR="003A74A6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nregistrare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74619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ca urmare 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dep</w:t>
      </w:r>
      <w:r w:rsidR="003A74A6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ăș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irii plafonului de </w:t>
      </w:r>
      <w:r w:rsidR="00F45B7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nregistrare (300.000 </w:t>
      </w:r>
      <w:r w:rsidR="00F45B7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de lei</w:t>
      </w:r>
      <w:r w:rsidR="0074619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cifră de afaceri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)</w:t>
      </w:r>
      <w:r w:rsidR="00437B5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.</w:t>
      </w:r>
    </w:p>
    <w:p w14:paraId="7EAAC4FF" w14:textId="77777777" w:rsidR="00D92ABE" w:rsidRPr="00D92ABE" w:rsidRDefault="00D92ABE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</w:p>
    <w:p w14:paraId="306CA075" w14:textId="2EF428A3" w:rsidR="00437B52" w:rsidRPr="00D92ABE" w:rsidRDefault="00437B52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Obiectivele digitalizării ANAF</w:t>
      </w:r>
    </w:p>
    <w:p w14:paraId="59EFFEEF" w14:textId="0D48613B" w:rsidR="008C7E00" w:rsidRPr="00D92ABE" w:rsidRDefault="006B79AC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Autoritățile din România au </w:t>
      </w:r>
      <w:r w:rsidR="00C353B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introdus sistemele 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electronice </w:t>
      </w:r>
      <w:r w:rsidR="00F45B7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de raportare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C353B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în contextul în care țara noastră se confruntă cu </w:t>
      </w:r>
      <w:r w:rsidR="00611D9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cel mai mare deficit de încasare la TVA din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Uniunea European</w:t>
      </w:r>
      <w:r w:rsidR="00611D9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(</w:t>
      </w:r>
      <w:r w:rsidR="007E36E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aproximativ 35%</w:t>
      </w:r>
      <w:r w:rsid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</w:t>
      </w:r>
      <w:r w:rsidR="007E36E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conform celor mai recente date ale Comisiei Europene, valabile pentru 2020, </w:t>
      </w:r>
      <w:r w:rsidR="003F5366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echivalentul a </w:t>
      </w:r>
      <w:r w:rsidR="00DC08D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peste </w:t>
      </w:r>
      <w:r w:rsidR="003F5366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șapte miliarde de euro anual)</w:t>
      </w:r>
      <w:r w:rsidR="00A10A9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. Totodată, România și-a asumat prin P</w:t>
      </w:r>
      <w:r w:rsidR="00437B5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lanul </w:t>
      </w:r>
      <w:r w:rsidR="00A10A9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</w:t>
      </w:r>
      <w:r w:rsidR="00437B5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ațional de </w:t>
      </w:r>
      <w:r w:rsidR="00A10A9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</w:t>
      </w:r>
      <w:r w:rsidR="00437B5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edresare și </w:t>
      </w:r>
      <w:r w:rsidR="00A10A9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</w:t>
      </w:r>
      <w:r w:rsidR="00437B52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eziliență</w:t>
      </w:r>
      <w:r w:rsidR="00A10A9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modernizarea administrației fiscale</w:t>
      </w:r>
      <w:r w:rsidR="00F60663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</w:t>
      </w:r>
      <w:r w:rsidR="009067B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astfel încât </w:t>
      </w:r>
      <w:r w:rsidR="00F60663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să obțină </w:t>
      </w:r>
      <w:r w:rsidR="00151627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reducerea deficitului </w:t>
      </w:r>
      <w:r w:rsidR="008C7E0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de TVA cu cinci puncte procentuale și </w:t>
      </w:r>
      <w:r w:rsidR="00F60663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creștere</w:t>
      </w:r>
      <w:r w:rsidR="006B74D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 veniturilor cu </w:t>
      </w:r>
      <w:r w:rsidR="00F60663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2,5 puncte </w:t>
      </w:r>
      <w:r w:rsidR="006B74D4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procentuale din PIB până </w:t>
      </w:r>
      <w:r w:rsidR="008C7E0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la finalul lui 2025. </w:t>
      </w:r>
    </w:p>
    <w:p w14:paraId="3DE14D54" w14:textId="311829A8" w:rsidR="00F03A63" w:rsidRPr="00D92ABE" w:rsidRDefault="005F5E6A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Procesul nu este încă finalizat, </w:t>
      </w:r>
      <w:r w:rsidR="00CA1C63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implementarea SAF-T trebuie extinsă de la contribuabilii mari și mijlocii (</w:t>
      </w:r>
      <w:r w:rsidR="0058664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pentru care este obligatoriu în prezent) la contribuabilii mici, iar sistemul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RO e-Factura </w:t>
      </w:r>
      <w:r w:rsidR="0058664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urmează să fie </w:t>
      </w:r>
      <w:r w:rsidR="00485179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aplicat generalizat din 2024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(cu </w:t>
      </w:r>
      <w:r w:rsidR="00E672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acordarea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unei perioade de gra</w:t>
      </w:r>
      <w:r w:rsidR="00E672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ie)</w:t>
      </w:r>
      <w:r w:rsidR="00E672D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 după ce a fost introdus pentru</w:t>
      </w:r>
      <w:r w:rsidR="00FC259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bunurile cu risc fiscal ridicat, </w:t>
      </w:r>
      <w:r w:rsidR="00D4388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facturile emise în relația cu entități ale statului </w:t>
      </w:r>
      <w:r w:rsidR="004D65A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și </w:t>
      </w:r>
      <w:r w:rsid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pentru </w:t>
      </w:r>
      <w:r w:rsidR="004D65A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alte categorii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.</w:t>
      </w:r>
    </w:p>
    <w:p w14:paraId="77C23FFE" w14:textId="068AE08B" w:rsidR="007F36EF" w:rsidRPr="00D92ABE" w:rsidRDefault="000413AD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În co</w:t>
      </w:r>
      <w:r w:rsidR="007F36E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nsecință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chiar dacă procesul </w:t>
      </w:r>
      <w:r w:rsidR="00A11A39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prezintă o serie de provocări atât pentru contribuabili</w:t>
      </w:r>
      <w:r w:rsid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</w:t>
      </w:r>
      <w:r w:rsidR="00A11A39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cât și pentru administrația fiscală, </w:t>
      </w:r>
      <w:r w:rsidR="00BD073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finalizarea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programelor de digitalizare </w:t>
      </w:r>
      <w:r w:rsidR="004C4EE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ar trebui</w:t>
      </w:r>
      <w:r w:rsidR="006D3A1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s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6D3A1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aib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6D3A1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340C6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drept rezultat simplificarea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verific</w:t>
      </w:r>
      <w:r w:rsidR="00340C6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</w:t>
      </w:r>
      <w:r w:rsidR="00340C6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ilor derulate de inspectorii fiscali</w:t>
      </w:r>
      <w:r w:rsidR="0022544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 care vor avea acces mai facil la</w:t>
      </w:r>
      <w:r w:rsidR="00340C6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datel</w:t>
      </w:r>
      <w:r w:rsidR="0022544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e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contribuabililor</w:t>
      </w:r>
      <w:r w:rsidR="00CB7A4A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dar și </w:t>
      </w:r>
      <w:r w:rsidR="002C609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reducerea poverii </w:t>
      </w:r>
      <w:r w:rsidR="00D94DC0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administrative pentru </w:t>
      </w:r>
      <w:r w:rsidR="006D3A18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contribuabili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.</w:t>
      </w:r>
      <w:r w:rsidR="009540F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</w:p>
    <w:p w14:paraId="2C21D536" w14:textId="7C4BFA3E" w:rsidR="00196BA3" w:rsidRPr="00035B00" w:rsidRDefault="00D0310A" w:rsidP="00035B00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lastRenderedPageBreak/>
        <w:t>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 acest context, contribuabilii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trebuie să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acorde o aten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ie 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sporită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noilor raport</w:t>
      </w:r>
      <w:r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</w:t>
      </w:r>
      <w:r w:rsidR="005A68E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 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</w:t>
      </w:r>
      <w:r w:rsidR="005A68E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,</w:t>
      </w:r>
      <w:r w:rsidR="005A68E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î</w:t>
      </w:r>
      <w:r w:rsidR="005A68E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</w:t>
      </w:r>
      <w:r w:rsidR="00FB53F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</w:t>
      </w:r>
      <w:r w:rsidR="007F36EF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paralel, </w:t>
      </w:r>
      <w:r w:rsidR="00B83FF5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administrația fiscală trebuie să continue investițiile î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n </w:t>
      </w:r>
      <w:r w:rsidR="009338E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infrastructura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necesar</w:t>
      </w:r>
      <w:r w:rsidR="009338ED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ă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pentru verificar</w:t>
      </w:r>
      <w:r w:rsidR="00E10B3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ea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online </w:t>
      </w:r>
      <w:r w:rsidR="00E10B3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a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documentelor </w:t>
      </w:r>
      <w:r w:rsidR="00E10B3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ș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 registrelor contribuabililor</w:t>
      </w:r>
      <w:r w:rsidR="00E10B3B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, astfel încât </w:t>
      </w:r>
      <w:r w:rsidR="00E1090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potențialele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inadverten</w:t>
      </w:r>
      <w:r w:rsidR="00E1090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ț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e </w:t>
      </w:r>
      <w:r w:rsidR="00E10901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să fie identificate mult mai </w:t>
      </w:r>
      <w:r w:rsidR="008F427E" w:rsidRPr="00D92ABE">
        <w:rPr>
          <w:rFonts w:asciiTheme="majorHAnsi" w:hAnsiTheme="majorHAnsi" w:cstheme="majorHAnsi"/>
          <w:color w:val="000000"/>
          <w:sz w:val="20"/>
          <w:szCs w:val="20"/>
          <w:lang w:val="ro-RO"/>
        </w:rPr>
        <w:t>rapid.</w:t>
      </w:r>
    </w:p>
    <w:sectPr w:rsidR="00196BA3" w:rsidRPr="00035B00" w:rsidSect="00035B00">
      <w:headerReference w:type="default" r:id="rId7"/>
      <w:headerReference w:type="first" r:id="rId8"/>
      <w:footerReference w:type="first" r:id="rId9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8B64" w14:textId="77777777" w:rsidR="003B3430" w:rsidRDefault="003B3430">
      <w:pPr>
        <w:spacing w:line="240" w:lineRule="auto"/>
      </w:pPr>
      <w:r>
        <w:separator/>
      </w:r>
    </w:p>
  </w:endnote>
  <w:endnote w:type="continuationSeparator" w:id="0">
    <w:p w14:paraId="6F800E73" w14:textId="77777777" w:rsidR="003B3430" w:rsidRDefault="003B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Pro-Light">
    <w:altName w:val="Leelawadee UI Semilight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25A" w14:textId="77777777" w:rsidR="00DE2D54" w:rsidRPr="001615F5" w:rsidRDefault="00DE2D54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3505" w14:textId="77777777" w:rsidR="003B3430" w:rsidRDefault="003B3430">
      <w:pPr>
        <w:spacing w:line="240" w:lineRule="auto"/>
      </w:pPr>
      <w:r>
        <w:separator/>
      </w:r>
    </w:p>
  </w:footnote>
  <w:footnote w:type="continuationSeparator" w:id="0">
    <w:p w14:paraId="1A2E7E6A" w14:textId="77777777" w:rsidR="003B3430" w:rsidRDefault="003B3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A63" w14:textId="77777777" w:rsidR="00DE2D54" w:rsidRDefault="00097D10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1FE40E" wp14:editId="2231B994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B54" w14:textId="0E145B61" w:rsidR="00DE2D54" w:rsidRDefault="007E3428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CE1D5FD" wp14:editId="12626FE4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75E0" w14:textId="63109441" w:rsidR="00DE2D54" w:rsidRDefault="00DE2D54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B1213B3" w14:textId="77777777" w:rsidR="00DE2D54" w:rsidRDefault="00DE2D54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F8AA7A5" w14:textId="77777777" w:rsidR="00DE2D54" w:rsidRDefault="00DE2D54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54E5B2D" w14:textId="77777777" w:rsidR="00DE2D54" w:rsidRPr="00F037A0" w:rsidRDefault="00DE2D54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A0CBF51" w14:textId="3BF8E9A0" w:rsidR="00DE2D54" w:rsidRPr="001615F5" w:rsidRDefault="00DE2D54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951"/>
    <w:multiLevelType w:val="hybridMultilevel"/>
    <w:tmpl w:val="2E8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6E64"/>
    <w:multiLevelType w:val="hybridMultilevel"/>
    <w:tmpl w:val="7540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5174"/>
    <w:multiLevelType w:val="hybridMultilevel"/>
    <w:tmpl w:val="36D4A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>
      <w:start w:val="30"/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Calibri Light" w:hint="default"/>
        <w:color w:val="auto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206644063">
    <w:abstractNumId w:val="2"/>
  </w:num>
  <w:num w:numId="2" w16cid:durableId="384718309">
    <w:abstractNumId w:val="0"/>
  </w:num>
  <w:num w:numId="3" w16cid:durableId="181340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C5"/>
    <w:rsid w:val="00035B00"/>
    <w:rsid w:val="000413AD"/>
    <w:rsid w:val="00050AC2"/>
    <w:rsid w:val="000654A9"/>
    <w:rsid w:val="00065C31"/>
    <w:rsid w:val="00087CFB"/>
    <w:rsid w:val="000935F1"/>
    <w:rsid w:val="000956D2"/>
    <w:rsid w:val="00097D10"/>
    <w:rsid w:val="000C0022"/>
    <w:rsid w:val="000F1FF6"/>
    <w:rsid w:val="0011149D"/>
    <w:rsid w:val="00151627"/>
    <w:rsid w:val="00151C06"/>
    <w:rsid w:val="00196BA3"/>
    <w:rsid w:val="001A5C13"/>
    <w:rsid w:val="001B4817"/>
    <w:rsid w:val="001D1B67"/>
    <w:rsid w:val="001D4D0A"/>
    <w:rsid w:val="00220CEE"/>
    <w:rsid w:val="0022544A"/>
    <w:rsid w:val="002505EF"/>
    <w:rsid w:val="00252C95"/>
    <w:rsid w:val="00252F24"/>
    <w:rsid w:val="002A732B"/>
    <w:rsid w:val="002C2879"/>
    <w:rsid w:val="002C609D"/>
    <w:rsid w:val="002D1B3F"/>
    <w:rsid w:val="002D72F1"/>
    <w:rsid w:val="002E3CD7"/>
    <w:rsid w:val="003036DE"/>
    <w:rsid w:val="00340C65"/>
    <w:rsid w:val="003665DF"/>
    <w:rsid w:val="00383F7B"/>
    <w:rsid w:val="003A3930"/>
    <w:rsid w:val="003A74A6"/>
    <w:rsid w:val="003B1DBD"/>
    <w:rsid w:val="003B3430"/>
    <w:rsid w:val="003F00E2"/>
    <w:rsid w:val="003F5366"/>
    <w:rsid w:val="00405706"/>
    <w:rsid w:val="004132B7"/>
    <w:rsid w:val="00422A92"/>
    <w:rsid w:val="00436021"/>
    <w:rsid w:val="00436F55"/>
    <w:rsid w:val="00437B52"/>
    <w:rsid w:val="004441D7"/>
    <w:rsid w:val="00454416"/>
    <w:rsid w:val="00461A89"/>
    <w:rsid w:val="00471D2B"/>
    <w:rsid w:val="00485179"/>
    <w:rsid w:val="00490AE6"/>
    <w:rsid w:val="0049627C"/>
    <w:rsid w:val="004A7046"/>
    <w:rsid w:val="004C4EEE"/>
    <w:rsid w:val="004D65A0"/>
    <w:rsid w:val="004E6984"/>
    <w:rsid w:val="004F4E65"/>
    <w:rsid w:val="0050245D"/>
    <w:rsid w:val="00503782"/>
    <w:rsid w:val="00520C02"/>
    <w:rsid w:val="00542FB1"/>
    <w:rsid w:val="005514B6"/>
    <w:rsid w:val="0058664A"/>
    <w:rsid w:val="00587919"/>
    <w:rsid w:val="005A68EF"/>
    <w:rsid w:val="005E631C"/>
    <w:rsid w:val="005F5E6A"/>
    <w:rsid w:val="006074F9"/>
    <w:rsid w:val="00611D91"/>
    <w:rsid w:val="006324BF"/>
    <w:rsid w:val="006833F9"/>
    <w:rsid w:val="00696EEF"/>
    <w:rsid w:val="006A50A9"/>
    <w:rsid w:val="006B4CEC"/>
    <w:rsid w:val="006B74D4"/>
    <w:rsid w:val="006B79AC"/>
    <w:rsid w:val="006D3A18"/>
    <w:rsid w:val="006F2D69"/>
    <w:rsid w:val="006F55D6"/>
    <w:rsid w:val="00727CD0"/>
    <w:rsid w:val="00742FB5"/>
    <w:rsid w:val="00746198"/>
    <w:rsid w:val="00787438"/>
    <w:rsid w:val="007A73B6"/>
    <w:rsid w:val="007C7440"/>
    <w:rsid w:val="007C7B0C"/>
    <w:rsid w:val="007D722B"/>
    <w:rsid w:val="007E3428"/>
    <w:rsid w:val="007E36EB"/>
    <w:rsid w:val="007F36EF"/>
    <w:rsid w:val="007F4568"/>
    <w:rsid w:val="00801BCA"/>
    <w:rsid w:val="008035B2"/>
    <w:rsid w:val="00820C24"/>
    <w:rsid w:val="00830961"/>
    <w:rsid w:val="008335F4"/>
    <w:rsid w:val="00876E1B"/>
    <w:rsid w:val="00880FD8"/>
    <w:rsid w:val="008836B0"/>
    <w:rsid w:val="00885AB8"/>
    <w:rsid w:val="008C7E00"/>
    <w:rsid w:val="008D02C4"/>
    <w:rsid w:val="008D3D5A"/>
    <w:rsid w:val="008F427E"/>
    <w:rsid w:val="009058CB"/>
    <w:rsid w:val="009067BB"/>
    <w:rsid w:val="00906EC7"/>
    <w:rsid w:val="00920A3F"/>
    <w:rsid w:val="009259F6"/>
    <w:rsid w:val="009338ED"/>
    <w:rsid w:val="00934D4E"/>
    <w:rsid w:val="009540FE"/>
    <w:rsid w:val="00963BD8"/>
    <w:rsid w:val="009775E0"/>
    <w:rsid w:val="009927A7"/>
    <w:rsid w:val="009A73C5"/>
    <w:rsid w:val="009E076A"/>
    <w:rsid w:val="00A00A96"/>
    <w:rsid w:val="00A0512D"/>
    <w:rsid w:val="00A10A9B"/>
    <w:rsid w:val="00A10B8A"/>
    <w:rsid w:val="00A11A39"/>
    <w:rsid w:val="00A820F8"/>
    <w:rsid w:val="00A934CF"/>
    <w:rsid w:val="00AB12F6"/>
    <w:rsid w:val="00AC6705"/>
    <w:rsid w:val="00AE7A10"/>
    <w:rsid w:val="00B00575"/>
    <w:rsid w:val="00B11463"/>
    <w:rsid w:val="00B151CB"/>
    <w:rsid w:val="00B814E6"/>
    <w:rsid w:val="00B83FF5"/>
    <w:rsid w:val="00BB00AC"/>
    <w:rsid w:val="00BB1B69"/>
    <w:rsid w:val="00BC4CBD"/>
    <w:rsid w:val="00BD073A"/>
    <w:rsid w:val="00BD4C26"/>
    <w:rsid w:val="00C06F10"/>
    <w:rsid w:val="00C154D2"/>
    <w:rsid w:val="00C161E7"/>
    <w:rsid w:val="00C353BE"/>
    <w:rsid w:val="00C962E7"/>
    <w:rsid w:val="00CA19D8"/>
    <w:rsid w:val="00CA1C63"/>
    <w:rsid w:val="00CB5969"/>
    <w:rsid w:val="00CB5B00"/>
    <w:rsid w:val="00CB7A4A"/>
    <w:rsid w:val="00CC758F"/>
    <w:rsid w:val="00CE6706"/>
    <w:rsid w:val="00D0310A"/>
    <w:rsid w:val="00D356C1"/>
    <w:rsid w:val="00D43881"/>
    <w:rsid w:val="00D45E12"/>
    <w:rsid w:val="00D52ABB"/>
    <w:rsid w:val="00D57388"/>
    <w:rsid w:val="00D778A8"/>
    <w:rsid w:val="00D858C1"/>
    <w:rsid w:val="00D92ABE"/>
    <w:rsid w:val="00D94DC0"/>
    <w:rsid w:val="00DA3801"/>
    <w:rsid w:val="00DC08DD"/>
    <w:rsid w:val="00DC3E56"/>
    <w:rsid w:val="00DD10AE"/>
    <w:rsid w:val="00DE2D54"/>
    <w:rsid w:val="00E04CDF"/>
    <w:rsid w:val="00E10901"/>
    <w:rsid w:val="00E10B3B"/>
    <w:rsid w:val="00E15051"/>
    <w:rsid w:val="00E335FE"/>
    <w:rsid w:val="00E60EC6"/>
    <w:rsid w:val="00E6374D"/>
    <w:rsid w:val="00E66FB6"/>
    <w:rsid w:val="00E672D0"/>
    <w:rsid w:val="00E706EB"/>
    <w:rsid w:val="00E820E6"/>
    <w:rsid w:val="00E82FD4"/>
    <w:rsid w:val="00ED344E"/>
    <w:rsid w:val="00EE245B"/>
    <w:rsid w:val="00EF228F"/>
    <w:rsid w:val="00EF5A85"/>
    <w:rsid w:val="00F03A63"/>
    <w:rsid w:val="00F16F63"/>
    <w:rsid w:val="00F41BBF"/>
    <w:rsid w:val="00F45B77"/>
    <w:rsid w:val="00F60663"/>
    <w:rsid w:val="00F60673"/>
    <w:rsid w:val="00FA5CFE"/>
    <w:rsid w:val="00FB53F1"/>
    <w:rsid w:val="00FC259E"/>
    <w:rsid w:val="00FD3DBD"/>
    <w:rsid w:val="00FE793A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8955"/>
  <w15:chartTrackingRefBased/>
  <w15:docId w15:val="{83D3E8C0-DDC1-4A3A-936E-358B458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C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3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A73C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9A73C5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A73C5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9A73C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Strong">
    <w:name w:val="Strong"/>
    <w:basedOn w:val="DefaultParagraphFont"/>
    <w:uiPriority w:val="22"/>
    <w:qFormat/>
    <w:rsid w:val="009A73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D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D3DBD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BD"/>
    <w:rPr>
      <w:rFonts w:ascii="Helvetica 45 Light" w:eastAsia="Times" w:hAnsi="Helvetica 45 Light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D"/>
    <w:rPr>
      <w:rFonts w:ascii="Segoe UI" w:eastAsia="Times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4C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B3F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2D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0E6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093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3</cp:revision>
  <dcterms:created xsi:type="dcterms:W3CDTF">2023-09-27T06:34:00Z</dcterms:created>
  <dcterms:modified xsi:type="dcterms:W3CDTF">2023-09-27T07:29:00Z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2023-07-13T08:15:19Z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1dde68fc-a026-45a6-8733-4418e8df0d61</vt:lpwstr>
  </property>
  <property fmtid="{D5CDD505-2E9C-101B-9397-08002B2CF9AE}" pid="8" name="MSIP_Label_ea60d57e-af5b-4752-ac57-3e4f28ca11dc_ContentBits">
    <vt:lpwstr>0</vt:lpwstr>
  </property>
</Properties>
</file>