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FF93" w14:textId="19B3D981" w:rsidR="004A44D2" w:rsidRPr="004A44D2" w:rsidRDefault="004A44D2" w:rsidP="00625857">
      <w:pPr>
        <w:pStyle w:val="Title"/>
        <w:spacing w:after="120"/>
        <w:jc w:val="center"/>
        <w:rPr>
          <w:rFonts w:cstheme="majorHAnsi"/>
          <w:b/>
          <w:bCs/>
          <w:spacing w:val="0"/>
          <w:sz w:val="28"/>
          <w:szCs w:val="28"/>
          <w:lang w:val="ro-RO"/>
        </w:rPr>
      </w:pPr>
      <w:bookmarkStart w:id="0" w:name="_Hlk131756854"/>
      <w:r w:rsidRPr="004A44D2">
        <w:rPr>
          <w:rFonts w:cstheme="majorHAnsi"/>
          <w:b/>
          <w:bCs/>
          <w:spacing w:val="0"/>
          <w:sz w:val="28"/>
          <w:szCs w:val="28"/>
          <w:lang w:val="ro-RO"/>
        </w:rPr>
        <w:t xml:space="preserve">Cum pot verificările de fond și </w:t>
      </w:r>
      <w:r w:rsidR="00732B40">
        <w:rPr>
          <w:rFonts w:cstheme="majorHAnsi"/>
          <w:b/>
          <w:bCs/>
          <w:spacing w:val="0"/>
          <w:sz w:val="28"/>
          <w:szCs w:val="28"/>
          <w:lang w:val="ro-RO"/>
        </w:rPr>
        <w:t xml:space="preserve">demersul de </w:t>
      </w:r>
      <w:r w:rsidRPr="00117AC4">
        <w:rPr>
          <w:rFonts w:cstheme="majorHAnsi"/>
          <w:b/>
          <w:bCs/>
          <w:i/>
          <w:iCs/>
          <w:spacing w:val="0"/>
          <w:sz w:val="28"/>
          <w:szCs w:val="28"/>
          <w:lang w:val="ro-RO"/>
        </w:rPr>
        <w:t>due diligence</w:t>
      </w:r>
      <w:r w:rsidRPr="004A44D2">
        <w:rPr>
          <w:rFonts w:cstheme="majorHAnsi"/>
          <w:b/>
          <w:bCs/>
          <w:spacing w:val="0"/>
          <w:sz w:val="28"/>
          <w:szCs w:val="28"/>
          <w:lang w:val="ro-RO"/>
        </w:rPr>
        <w:t xml:space="preserve"> să </w:t>
      </w:r>
      <w:r w:rsidR="00732B40">
        <w:rPr>
          <w:rFonts w:cstheme="majorHAnsi"/>
          <w:b/>
          <w:bCs/>
          <w:spacing w:val="0"/>
          <w:sz w:val="28"/>
          <w:szCs w:val="28"/>
          <w:lang w:val="ro-RO"/>
        </w:rPr>
        <w:t>contribuie la</w:t>
      </w:r>
      <w:r w:rsidR="00732B40" w:rsidRPr="004A44D2">
        <w:rPr>
          <w:rFonts w:cstheme="majorHAnsi"/>
          <w:b/>
          <w:bCs/>
          <w:spacing w:val="0"/>
          <w:sz w:val="28"/>
          <w:szCs w:val="28"/>
          <w:lang w:val="ro-RO"/>
        </w:rPr>
        <w:t xml:space="preserve"> </w:t>
      </w:r>
      <w:r w:rsidRPr="004A44D2">
        <w:rPr>
          <w:rFonts w:cstheme="majorHAnsi"/>
          <w:b/>
          <w:bCs/>
          <w:spacing w:val="0"/>
          <w:sz w:val="28"/>
          <w:szCs w:val="28"/>
          <w:lang w:val="ro-RO"/>
        </w:rPr>
        <w:t xml:space="preserve">reputația, stabilitatea și </w:t>
      </w:r>
      <w:r>
        <w:rPr>
          <w:rFonts w:cstheme="majorHAnsi"/>
          <w:b/>
          <w:bCs/>
          <w:spacing w:val="0"/>
          <w:sz w:val="28"/>
          <w:szCs w:val="28"/>
          <w:lang w:val="ro-RO"/>
        </w:rPr>
        <w:t>credibilitatea</w:t>
      </w:r>
      <w:r w:rsidRPr="004A44D2">
        <w:rPr>
          <w:rFonts w:cstheme="majorHAnsi"/>
          <w:b/>
          <w:bCs/>
          <w:spacing w:val="0"/>
          <w:sz w:val="28"/>
          <w:szCs w:val="28"/>
          <w:lang w:val="ro-RO"/>
        </w:rPr>
        <w:t xml:space="preserve"> </w:t>
      </w:r>
      <w:r w:rsidR="00732B40">
        <w:rPr>
          <w:rFonts w:cstheme="majorHAnsi"/>
          <w:b/>
          <w:bCs/>
          <w:spacing w:val="0"/>
          <w:sz w:val="28"/>
          <w:szCs w:val="28"/>
          <w:lang w:val="ro-RO"/>
        </w:rPr>
        <w:t>unei organizații</w:t>
      </w:r>
      <w:r w:rsidRPr="004A44D2">
        <w:rPr>
          <w:rFonts w:cstheme="majorHAnsi"/>
          <w:b/>
          <w:bCs/>
          <w:spacing w:val="0"/>
          <w:sz w:val="28"/>
          <w:szCs w:val="28"/>
          <w:lang w:val="ro-RO"/>
        </w:rPr>
        <w:t>?</w:t>
      </w:r>
    </w:p>
    <w:p w14:paraId="74F0218D" w14:textId="77777777" w:rsidR="001B7D91" w:rsidRPr="00117AC4" w:rsidRDefault="001B7D91" w:rsidP="00E54B9C">
      <w:pPr>
        <w:spacing w:after="120" w:line="264" w:lineRule="auto"/>
        <w:jc w:val="both"/>
        <w:rPr>
          <w:rFonts w:asciiTheme="majorHAnsi" w:hAnsiTheme="majorHAnsi" w:cstheme="majorHAnsi"/>
          <w:i/>
          <w:lang w:val="ro-RO"/>
        </w:rPr>
      </w:pPr>
    </w:p>
    <w:p w14:paraId="1AD3F30E" w14:textId="2CDA893C" w:rsidR="004A44D2" w:rsidRDefault="004A44D2" w:rsidP="004A44D2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i/>
          <w:lang w:val="ro-RO"/>
        </w:rPr>
        <w:t xml:space="preserve">Material de opinie de Burcin Atakan, Partener, Deloitte România, și Lider Servicii </w:t>
      </w:r>
      <w:r w:rsidR="00732B40">
        <w:rPr>
          <w:rFonts w:asciiTheme="majorHAnsi" w:hAnsiTheme="majorHAnsi" w:cstheme="majorHAnsi"/>
          <w:i/>
          <w:lang w:val="ro-RO"/>
        </w:rPr>
        <w:t xml:space="preserve">de </w:t>
      </w:r>
      <w:r w:rsidR="00732B40" w:rsidRPr="00732B40">
        <w:rPr>
          <w:rFonts w:asciiTheme="majorHAnsi" w:hAnsiTheme="majorHAnsi" w:cstheme="majorHAnsi"/>
          <w:i/>
          <w:lang w:val="ro-RO"/>
        </w:rPr>
        <w:t>investigare a fraudelor</w:t>
      </w:r>
      <w:r>
        <w:rPr>
          <w:rFonts w:asciiTheme="majorHAnsi" w:hAnsiTheme="majorHAnsi" w:cstheme="majorHAnsi"/>
          <w:i/>
          <w:lang w:val="ro-RO"/>
        </w:rPr>
        <w:t>, Deloitte Europa Centrală și de Est, și</w:t>
      </w:r>
      <w:r w:rsidR="00732B40">
        <w:rPr>
          <w:rFonts w:asciiTheme="majorHAnsi" w:hAnsiTheme="majorHAnsi" w:cstheme="majorHAnsi"/>
          <w:i/>
          <w:lang w:val="ro-RO"/>
        </w:rPr>
        <w:t xml:space="preserve"> de</w:t>
      </w:r>
      <w:r>
        <w:rPr>
          <w:rFonts w:asciiTheme="majorHAnsi" w:hAnsiTheme="majorHAnsi" w:cstheme="majorHAnsi"/>
          <w:i/>
          <w:lang w:val="ro-RO"/>
        </w:rPr>
        <w:t xml:space="preserve"> Alina Badea, Senior Associate, Consultanță Financiară, Deloitte România</w:t>
      </w:r>
    </w:p>
    <w:p w14:paraId="50200E8A" w14:textId="77777777" w:rsidR="004A44D2" w:rsidRDefault="004A44D2" w:rsidP="004A44D2">
      <w:pPr>
        <w:pStyle w:val="Heading1"/>
        <w:spacing w:before="0" w:after="120" w:line="264" w:lineRule="auto"/>
        <w:jc w:val="both"/>
        <w:rPr>
          <w:rFonts w:eastAsiaTheme="minorHAnsi" w:cstheme="majorHAnsi"/>
          <w:color w:val="auto"/>
          <w:sz w:val="20"/>
          <w:szCs w:val="20"/>
          <w:lang w:val="ro-RO"/>
        </w:rPr>
      </w:pPr>
    </w:p>
    <w:p w14:paraId="79778242" w14:textId="29BD3DAC" w:rsidR="004A44D2" w:rsidRDefault="004A44D2" w:rsidP="004A44D2">
      <w:pPr>
        <w:pStyle w:val="Heading1"/>
        <w:spacing w:before="0" w:after="120" w:line="264" w:lineRule="auto"/>
        <w:jc w:val="both"/>
        <w:rPr>
          <w:rFonts w:cstheme="majorHAnsi"/>
          <w:color w:val="auto"/>
          <w:sz w:val="20"/>
          <w:szCs w:val="20"/>
          <w:lang w:val="ro-RO"/>
        </w:rPr>
      </w:pPr>
      <w:r>
        <w:rPr>
          <w:rFonts w:cstheme="majorHAnsi"/>
          <w:color w:val="auto"/>
          <w:sz w:val="20"/>
          <w:szCs w:val="20"/>
          <w:lang w:val="ro-RO"/>
        </w:rPr>
        <w:t xml:space="preserve">Atunci când aleg un partener de afaceri, un furnizor sau când intenționează că achiziționeze o companie, organizațiile de business se expun </w:t>
      </w:r>
      <w:r>
        <w:rPr>
          <w:rFonts w:cstheme="majorHAnsi"/>
          <w:b/>
          <w:bCs/>
          <w:color w:val="auto"/>
          <w:sz w:val="20"/>
          <w:szCs w:val="20"/>
          <w:lang w:val="ro-RO"/>
        </w:rPr>
        <w:t>riscului de asociere cu reputația terților</w:t>
      </w:r>
      <w:r>
        <w:rPr>
          <w:rFonts w:cstheme="majorHAnsi"/>
          <w:color w:val="auto"/>
          <w:sz w:val="20"/>
          <w:szCs w:val="20"/>
          <w:lang w:val="ro-RO"/>
        </w:rPr>
        <w:t xml:space="preserve">. </w:t>
      </w:r>
      <w:r w:rsidR="0079663E">
        <w:rPr>
          <w:rFonts w:cstheme="majorHAnsi"/>
          <w:color w:val="auto"/>
          <w:sz w:val="20"/>
          <w:szCs w:val="20"/>
          <w:lang w:val="ro-RO"/>
        </w:rPr>
        <w:t>Conform c</w:t>
      </w:r>
      <w:r>
        <w:rPr>
          <w:rFonts w:cstheme="majorHAnsi"/>
          <w:color w:val="auto"/>
          <w:sz w:val="20"/>
          <w:szCs w:val="20"/>
          <w:lang w:val="ro-RO"/>
        </w:rPr>
        <w:t>el</w:t>
      </w:r>
      <w:r w:rsidR="0079663E">
        <w:rPr>
          <w:rFonts w:cstheme="majorHAnsi"/>
          <w:color w:val="auto"/>
          <w:sz w:val="20"/>
          <w:szCs w:val="20"/>
          <w:lang w:val="ro-RO"/>
        </w:rPr>
        <w:t>or</w:t>
      </w:r>
      <w:r>
        <w:rPr>
          <w:rFonts w:cstheme="majorHAnsi"/>
          <w:color w:val="auto"/>
          <w:sz w:val="20"/>
          <w:szCs w:val="20"/>
          <w:lang w:val="ro-RO"/>
        </w:rPr>
        <w:t xml:space="preserve"> mai multe </w:t>
      </w:r>
      <w:r w:rsidR="0079663E">
        <w:rPr>
          <w:rFonts w:cstheme="majorHAnsi"/>
          <w:color w:val="auto"/>
          <w:sz w:val="20"/>
          <w:szCs w:val="20"/>
          <w:lang w:val="ro-RO"/>
        </w:rPr>
        <w:t xml:space="preserve">reglementări în domeniul </w:t>
      </w:r>
      <w:r>
        <w:rPr>
          <w:rFonts w:cstheme="majorHAnsi"/>
          <w:color w:val="auto"/>
          <w:sz w:val="20"/>
          <w:szCs w:val="20"/>
          <w:lang w:val="ro-RO"/>
        </w:rPr>
        <w:t>prevenir</w:t>
      </w:r>
      <w:r w:rsidR="0079663E">
        <w:rPr>
          <w:rFonts w:cstheme="majorHAnsi"/>
          <w:color w:val="auto"/>
          <w:sz w:val="20"/>
          <w:szCs w:val="20"/>
          <w:lang w:val="ro-RO"/>
        </w:rPr>
        <w:t>ii faptelor de</w:t>
      </w:r>
      <w:r>
        <w:rPr>
          <w:rFonts w:cstheme="majorHAnsi"/>
          <w:color w:val="auto"/>
          <w:sz w:val="20"/>
          <w:szCs w:val="20"/>
          <w:lang w:val="ro-RO"/>
        </w:rPr>
        <w:t xml:space="preserve"> corupție</w:t>
      </w:r>
      <w:r w:rsidR="0079663E">
        <w:rPr>
          <w:rFonts w:cstheme="majorHAnsi"/>
          <w:color w:val="auto"/>
          <w:sz w:val="20"/>
          <w:szCs w:val="20"/>
          <w:lang w:val="ro-RO"/>
        </w:rPr>
        <w:t xml:space="preserve">, </w:t>
      </w:r>
      <w:r>
        <w:rPr>
          <w:rFonts w:cstheme="majorHAnsi"/>
          <w:color w:val="auto"/>
          <w:sz w:val="20"/>
          <w:szCs w:val="20"/>
          <w:lang w:val="ro-RO"/>
        </w:rPr>
        <w:t>cunoașterea viitorului partener este esențială pentru a rămâne în legalitate.</w:t>
      </w:r>
    </w:p>
    <w:p w14:paraId="574CD4F6" w14:textId="77777777" w:rsidR="004A44D2" w:rsidRPr="004A44D2" w:rsidRDefault="004A44D2" w:rsidP="004A44D2">
      <w:pPr>
        <w:jc w:val="both"/>
        <w:rPr>
          <w:lang w:val="ro-RO" w:eastAsia="en-US"/>
        </w:rPr>
      </w:pPr>
    </w:p>
    <w:p w14:paraId="78CD1FF9" w14:textId="77777777" w:rsidR="004A44D2" w:rsidRDefault="004A44D2" w:rsidP="004A44D2">
      <w:pPr>
        <w:jc w:val="both"/>
        <w:rPr>
          <w:rFonts w:asciiTheme="majorHAnsi" w:eastAsiaTheme="majorEastAsia" w:hAnsiTheme="majorHAnsi" w:cstheme="majorHAnsi"/>
          <w:b/>
          <w:bCs/>
          <w:lang w:val="ro-RO" w:eastAsia="en-US"/>
        </w:rPr>
      </w:pPr>
      <w:r>
        <w:rPr>
          <w:rFonts w:asciiTheme="majorHAnsi" w:eastAsiaTheme="majorEastAsia" w:hAnsiTheme="majorHAnsi" w:cstheme="majorHAnsi"/>
          <w:b/>
          <w:bCs/>
          <w:lang w:val="ro-RO" w:eastAsia="en-US"/>
        </w:rPr>
        <w:t>Cunoașterea viitorului partener de business prin verificări de fond (</w:t>
      </w:r>
      <w:r>
        <w:rPr>
          <w:rFonts w:asciiTheme="majorHAnsi" w:eastAsiaTheme="majorEastAsia" w:hAnsiTheme="majorHAnsi" w:cstheme="majorHAnsi"/>
          <w:b/>
          <w:bCs/>
          <w:i/>
          <w:iCs/>
          <w:lang w:val="ro-RO" w:eastAsia="en-US"/>
        </w:rPr>
        <w:t>background checks</w:t>
      </w:r>
      <w:r>
        <w:rPr>
          <w:rFonts w:asciiTheme="majorHAnsi" w:eastAsiaTheme="majorEastAsia" w:hAnsiTheme="majorHAnsi" w:cstheme="majorHAnsi"/>
          <w:b/>
          <w:bCs/>
          <w:lang w:val="ro-RO" w:eastAsia="en-US"/>
        </w:rPr>
        <w:t xml:space="preserve">) și </w:t>
      </w:r>
      <w:r w:rsidRPr="00117AC4">
        <w:rPr>
          <w:rFonts w:asciiTheme="majorHAnsi" w:eastAsiaTheme="majorEastAsia" w:hAnsiTheme="majorHAnsi" w:cstheme="majorHAnsi"/>
          <w:b/>
          <w:bCs/>
          <w:i/>
          <w:iCs/>
          <w:lang w:val="ro-RO" w:eastAsia="en-US"/>
        </w:rPr>
        <w:t>due diligence</w:t>
      </w:r>
    </w:p>
    <w:bookmarkEnd w:id="0"/>
    <w:p w14:paraId="7050995A" w14:textId="67FA2564" w:rsidR="004A44D2" w:rsidRDefault="004A44D2" w:rsidP="004A44D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Pe măsură ce o afacere se extinde și este pe cale să câștige noi clienți sau să lanseze un parteneriat, reputația ei va depinde de modul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în care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sunt gestionate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riscurile legate de terți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Efectuarea de </w:t>
      </w:r>
      <w:hyperlink r:id="rId7" w:history="1">
        <w:r w:rsidR="0080630B" w:rsidRPr="005B7D15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ro-RO"/>
          </w:rPr>
          <w:t xml:space="preserve">verificări de fond și </w:t>
        </w:r>
        <w:proofErr w:type="spellStart"/>
        <w:r w:rsidR="0080630B" w:rsidRPr="005B7D15">
          <w:rPr>
            <w:rStyle w:val="Hyperlink"/>
            <w:rFonts w:asciiTheme="majorHAnsi" w:hAnsiTheme="majorHAnsi" w:cstheme="majorHAnsi"/>
            <w:b/>
            <w:bCs/>
            <w:i/>
            <w:iCs/>
            <w:sz w:val="20"/>
            <w:szCs w:val="20"/>
            <w:lang w:val="ro-RO"/>
          </w:rPr>
          <w:t>due</w:t>
        </w:r>
        <w:proofErr w:type="spellEnd"/>
        <w:r w:rsidR="0080630B" w:rsidRPr="005B7D15">
          <w:rPr>
            <w:rStyle w:val="Hyperlink"/>
            <w:rFonts w:asciiTheme="majorHAnsi" w:hAnsiTheme="majorHAnsi" w:cstheme="majorHAnsi"/>
            <w:b/>
            <w:bCs/>
            <w:i/>
            <w:iCs/>
            <w:sz w:val="20"/>
            <w:szCs w:val="20"/>
            <w:lang w:val="ro-RO"/>
          </w:rPr>
          <w:t xml:space="preserve"> </w:t>
        </w:r>
        <w:proofErr w:type="spellStart"/>
        <w:r w:rsidR="0080630B" w:rsidRPr="005B7D15">
          <w:rPr>
            <w:rStyle w:val="Hyperlink"/>
            <w:rFonts w:asciiTheme="majorHAnsi" w:hAnsiTheme="majorHAnsi" w:cstheme="majorHAnsi"/>
            <w:b/>
            <w:bCs/>
            <w:i/>
            <w:iCs/>
            <w:sz w:val="20"/>
            <w:szCs w:val="20"/>
            <w:lang w:val="ro-RO"/>
          </w:rPr>
          <w:t>diligence</w:t>
        </w:r>
        <w:proofErr w:type="spellEnd"/>
        <w:r w:rsidR="0080630B" w:rsidRPr="005B7D15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ro-RO"/>
          </w:rPr>
          <w:t xml:space="preserve"> pentru companii și persoane fizice</w:t>
        </w:r>
      </w:hyperlink>
      <w:r w:rsidR="0080630B" w:rsidRPr="005B7D15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le permite liderilor organizației să ia decizii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mai bine informate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despre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cei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cu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care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fac afaceri, în ce calitate și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>cu ce marje de business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5F180250" w14:textId="615BA441" w:rsidR="004A44D2" w:rsidRDefault="004A44D2" w:rsidP="004A44D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D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emersul de </w:t>
      </w:r>
      <w:r w:rsidR="0079663E" w:rsidRPr="00117AC4">
        <w:rPr>
          <w:rFonts w:asciiTheme="majorHAnsi" w:hAnsiTheme="majorHAnsi" w:cstheme="majorHAnsi"/>
          <w:i/>
          <w:iCs/>
          <w:sz w:val="20"/>
          <w:szCs w:val="20"/>
          <w:lang w:val="ro-RO"/>
        </w:rPr>
        <w:t>d</w:t>
      </w:r>
      <w:r w:rsidRPr="00117AC4">
        <w:rPr>
          <w:rFonts w:asciiTheme="majorHAnsi" w:hAnsiTheme="majorHAnsi" w:cstheme="majorHAnsi"/>
          <w:i/>
          <w:iCs/>
          <w:sz w:val="20"/>
          <w:szCs w:val="20"/>
          <w:lang w:val="ro-RO"/>
        </w:rPr>
        <w:t>ue diligence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este o examinare amănunțită a potențialului partener de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business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sau a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companiei </w:t>
      </w:r>
      <w:r>
        <w:rPr>
          <w:rFonts w:asciiTheme="majorHAnsi" w:hAnsiTheme="majorHAnsi" w:cstheme="majorHAnsi"/>
          <w:sz w:val="20"/>
          <w:szCs w:val="20"/>
          <w:lang w:val="ro-RO"/>
        </w:rPr>
        <w:t>vizate pentru preluare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 și include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rapoartele financiare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reputația în piață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istoricul de business</w:t>
      </w:r>
      <w:r>
        <w:rPr>
          <w:rFonts w:asciiTheme="majorHAnsi" w:hAnsiTheme="majorHAnsi" w:cstheme="majorHAnsi"/>
          <w:sz w:val="20"/>
          <w:szCs w:val="20"/>
          <w:lang w:val="ro-RO"/>
        </w:rPr>
        <w:t>, cu scopul de a înțelege din timp o eventuală incidență a legislației anticorupție sau a altor legi</w:t>
      </w:r>
      <w:r w:rsidR="006D2659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odată ce asocierea se materializează. </w:t>
      </w:r>
    </w:p>
    <w:p w14:paraId="371D9134" w14:textId="7EC92489" w:rsidR="004A44D2" w:rsidRDefault="004A44D2" w:rsidP="004A44D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Există două acte legislative importante privind prevenirea criminalității economice, și anume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UK Bribery Act (2010)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și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US Foreign Corrupt Practices Act (FCPA)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Deși ambele sunt reglementări naționale pentru Marea Britanie și, respectiv, Statele Unite ale Americii, unicitatea lor le-a conferit în timp anvergură internațională. În plus, în iunie 2021, </w:t>
      </w:r>
      <w:r w:rsidR="0079663E">
        <w:rPr>
          <w:rFonts w:asciiTheme="majorHAnsi" w:hAnsiTheme="majorHAnsi" w:cstheme="majorHAnsi"/>
          <w:sz w:val="20"/>
          <w:szCs w:val="20"/>
          <w:lang w:val="ro-RO"/>
        </w:rPr>
        <w:t xml:space="preserve">parlamentul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german a adoptat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Germany’s Supply Chain Due Diligence Act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o nouă lege care impune companiilor cu peste 3.000 de angajați să </w:t>
      </w:r>
      <w:r w:rsidR="00CF407B">
        <w:rPr>
          <w:rFonts w:asciiTheme="majorHAnsi" w:hAnsiTheme="majorHAnsi" w:cstheme="majorHAnsi"/>
          <w:sz w:val="20"/>
          <w:szCs w:val="20"/>
          <w:lang w:val="ro-RO"/>
        </w:rPr>
        <w:t xml:space="preserve">efectueze demersuri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117AC4">
        <w:rPr>
          <w:rFonts w:asciiTheme="majorHAnsi" w:hAnsiTheme="majorHAnsi" w:cstheme="majorHAnsi"/>
          <w:i/>
          <w:iCs/>
          <w:sz w:val="20"/>
          <w:szCs w:val="20"/>
          <w:lang w:val="ro-RO"/>
        </w:rPr>
        <w:t>due diligence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în </w:t>
      </w:r>
      <w:r w:rsidR="00CF407B">
        <w:rPr>
          <w:rFonts w:asciiTheme="majorHAnsi" w:hAnsiTheme="majorHAnsi" w:cstheme="majorHAnsi"/>
          <w:sz w:val="20"/>
          <w:szCs w:val="20"/>
          <w:lang w:val="ro-RO"/>
        </w:rPr>
        <w:t>rândul furnizorilor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04583F14" w14:textId="77777777" w:rsidR="004A44D2" w:rsidRDefault="004A44D2" w:rsidP="004A44D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</w:p>
    <w:p w14:paraId="487884CF" w14:textId="6AC945B9" w:rsidR="004A44D2" w:rsidRDefault="004A44D2" w:rsidP="004A44D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De ce este importantă realizarea verificărilor de fond și a </w:t>
      </w:r>
      <w:r w:rsidR="00CF407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demersului de </w:t>
      </w:r>
      <w:r w:rsidRPr="00117AC4">
        <w:rPr>
          <w:rFonts w:asciiTheme="majorHAnsi" w:hAnsiTheme="majorHAnsi" w:cstheme="majorHAnsi"/>
          <w:b/>
          <w:bCs/>
          <w:i/>
          <w:iCs/>
          <w:sz w:val="20"/>
          <w:szCs w:val="20"/>
          <w:lang w:val="ro-RO"/>
        </w:rPr>
        <w:t>due diligence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?</w:t>
      </w:r>
    </w:p>
    <w:p w14:paraId="528BC8EC" w14:textId="0AE04C3D" w:rsidR="004A44D2" w:rsidRDefault="004A44D2" w:rsidP="004A44D2">
      <w:pPr>
        <w:spacing w:before="120" w:after="120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Verificările de fond și </w:t>
      </w:r>
      <w:r w:rsidRPr="00117AC4">
        <w:rPr>
          <w:rFonts w:asciiTheme="majorHAnsi" w:hAnsiTheme="majorHAnsi" w:cstheme="majorHAnsi"/>
          <w:i/>
          <w:iCs/>
          <w:lang w:val="ro-RO"/>
        </w:rPr>
        <w:t>due diligence</w:t>
      </w:r>
      <w:r>
        <w:rPr>
          <w:rFonts w:asciiTheme="majorHAnsi" w:hAnsiTheme="majorHAnsi" w:cstheme="majorHAnsi"/>
          <w:lang w:val="ro-RO"/>
        </w:rPr>
        <w:t xml:space="preserve"> pot fi utile în mai multe situații, cum ar fi</w:t>
      </w:r>
      <w:r>
        <w:rPr>
          <w:rStyle w:val="FootnoteReference"/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obținerea de informații detaliate, exacte și obiective cu privire la trecutul și situația prezentă a potențialilor parteneri de afaceri în procese de achiziții sau fuziuni, în timpul investigării companiilor sau a persoanelor fizice suspectate de fapte ilicite, precum și în procesele de </w:t>
      </w:r>
      <w:r w:rsidR="00CF407B">
        <w:rPr>
          <w:rFonts w:asciiTheme="majorHAnsi" w:hAnsiTheme="majorHAnsi" w:cstheme="majorHAnsi"/>
          <w:lang w:val="ro-RO"/>
        </w:rPr>
        <w:t xml:space="preserve">selectare de </w:t>
      </w:r>
      <w:r>
        <w:rPr>
          <w:rFonts w:asciiTheme="majorHAnsi" w:hAnsiTheme="majorHAnsi" w:cstheme="majorHAnsi"/>
          <w:lang w:val="ro-RO"/>
        </w:rPr>
        <w:t xml:space="preserve">noi clienți sau furnizori. În plus, verificările de fond sunt relevante și în luarea de </w:t>
      </w:r>
      <w:r>
        <w:rPr>
          <w:rFonts w:asciiTheme="majorHAnsi" w:hAnsiTheme="majorHAnsi" w:cstheme="majorHAnsi"/>
          <w:b/>
          <w:bCs/>
          <w:lang w:val="ro-RO"/>
        </w:rPr>
        <w:t>decizii strategice de business</w:t>
      </w:r>
      <w:r>
        <w:rPr>
          <w:rFonts w:asciiTheme="majorHAnsi" w:hAnsiTheme="majorHAnsi" w:cstheme="majorHAnsi"/>
          <w:lang w:val="ro-RO"/>
        </w:rPr>
        <w:t xml:space="preserve"> și pot fi utile în </w:t>
      </w:r>
      <w:r>
        <w:rPr>
          <w:rFonts w:asciiTheme="majorHAnsi" w:hAnsiTheme="majorHAnsi" w:cstheme="majorHAnsi"/>
          <w:b/>
          <w:bCs/>
          <w:lang w:val="ro-RO"/>
        </w:rPr>
        <w:t>deciziile de investiții</w:t>
      </w:r>
      <w:r>
        <w:rPr>
          <w:rFonts w:asciiTheme="majorHAnsi" w:hAnsiTheme="majorHAnsi" w:cstheme="majorHAnsi"/>
          <w:lang w:val="ro-RO"/>
        </w:rPr>
        <w:t xml:space="preserve">, de exemplu înainte de </w:t>
      </w:r>
      <w:r w:rsidR="00CF407B">
        <w:rPr>
          <w:rFonts w:asciiTheme="majorHAnsi" w:hAnsiTheme="majorHAnsi" w:cstheme="majorHAnsi"/>
          <w:lang w:val="ro-RO"/>
        </w:rPr>
        <w:t xml:space="preserve">lansarea unei </w:t>
      </w:r>
      <w:r>
        <w:rPr>
          <w:rFonts w:asciiTheme="majorHAnsi" w:hAnsiTheme="majorHAnsi" w:cstheme="majorHAnsi"/>
          <w:lang w:val="ro-RO"/>
        </w:rPr>
        <w:t>oferte publice inițiale.</w:t>
      </w:r>
    </w:p>
    <w:p w14:paraId="57A7E9C3" w14:textId="6453D2DD" w:rsidR="004A44D2" w:rsidRDefault="004A44D2" w:rsidP="004A44D2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Procesul de </w:t>
      </w:r>
      <w:r w:rsidRPr="00117AC4">
        <w:rPr>
          <w:rFonts w:asciiTheme="majorHAnsi" w:hAnsiTheme="majorHAnsi" w:cstheme="majorHAnsi"/>
          <w:i/>
          <w:iCs/>
          <w:lang w:val="ro-RO"/>
        </w:rPr>
        <w:t>due diligence</w:t>
      </w:r>
      <w:r>
        <w:rPr>
          <w:rFonts w:asciiTheme="majorHAnsi" w:hAnsiTheme="majorHAnsi" w:cstheme="majorHAnsi"/>
          <w:lang w:val="ro-RO"/>
        </w:rPr>
        <w:t xml:space="preserve"> ar trebui să parcurgă următoarele aspecte importante: identificarea membrilor din </w:t>
      </w:r>
      <w:r w:rsidR="00CF407B">
        <w:rPr>
          <w:rFonts w:asciiTheme="majorHAnsi" w:hAnsiTheme="majorHAnsi" w:cstheme="majorHAnsi"/>
          <w:b/>
          <w:bCs/>
          <w:lang w:val="ro-RO"/>
        </w:rPr>
        <w:t xml:space="preserve">echipa de conducere executivă a </w:t>
      </w:r>
      <w:r>
        <w:rPr>
          <w:rFonts w:asciiTheme="majorHAnsi" w:hAnsiTheme="majorHAnsi" w:cstheme="majorHAnsi"/>
          <w:b/>
          <w:bCs/>
          <w:lang w:val="ro-RO"/>
        </w:rPr>
        <w:t>companiei</w:t>
      </w:r>
      <w:r>
        <w:rPr>
          <w:rFonts w:asciiTheme="majorHAnsi" w:hAnsiTheme="majorHAnsi" w:cstheme="majorHAnsi"/>
          <w:lang w:val="ro-RO"/>
        </w:rPr>
        <w:t xml:space="preserve">, a acționarilor și a beneficiarilor finali și </w:t>
      </w:r>
      <w:r w:rsidR="006D2659">
        <w:rPr>
          <w:rFonts w:asciiTheme="majorHAnsi" w:hAnsiTheme="majorHAnsi" w:cstheme="majorHAnsi"/>
          <w:lang w:val="ro-RO"/>
        </w:rPr>
        <w:t xml:space="preserve">a </w:t>
      </w:r>
      <w:r>
        <w:rPr>
          <w:rFonts w:asciiTheme="majorHAnsi" w:hAnsiTheme="majorHAnsi" w:cstheme="majorHAnsi"/>
          <w:b/>
          <w:bCs/>
          <w:lang w:val="ro-RO"/>
        </w:rPr>
        <w:t>alt</w:t>
      </w:r>
      <w:r w:rsidR="006D2659">
        <w:rPr>
          <w:rFonts w:asciiTheme="majorHAnsi" w:hAnsiTheme="majorHAnsi" w:cstheme="majorHAnsi"/>
          <w:b/>
          <w:bCs/>
          <w:lang w:val="ro-RO"/>
        </w:rPr>
        <w:t>or</w:t>
      </w:r>
      <w:r>
        <w:rPr>
          <w:rFonts w:asciiTheme="majorHAnsi" w:hAnsiTheme="majorHAnsi" w:cstheme="majorHAnsi"/>
          <w:b/>
          <w:bCs/>
          <w:lang w:val="ro-RO"/>
        </w:rPr>
        <w:t xml:space="preserve"> afilieri corporative</w:t>
      </w:r>
      <w:r>
        <w:rPr>
          <w:rFonts w:asciiTheme="majorHAnsi" w:hAnsiTheme="majorHAnsi" w:cstheme="majorHAnsi"/>
          <w:lang w:val="ro-RO"/>
        </w:rPr>
        <w:t xml:space="preserve">; sediul central, </w:t>
      </w:r>
      <w:r w:rsidR="00CF407B">
        <w:rPr>
          <w:rFonts w:asciiTheme="majorHAnsi" w:hAnsiTheme="majorHAnsi" w:cstheme="majorHAnsi"/>
          <w:lang w:val="ro-RO"/>
        </w:rPr>
        <w:t xml:space="preserve">care se referă la </w:t>
      </w:r>
      <w:r>
        <w:rPr>
          <w:rFonts w:asciiTheme="majorHAnsi" w:hAnsiTheme="majorHAnsi" w:cstheme="majorHAnsi"/>
          <w:lang w:val="ro-RO"/>
        </w:rPr>
        <w:t xml:space="preserve">verificarea tuturor adreselor înregistrate; </w:t>
      </w:r>
      <w:r w:rsidR="00CF407B">
        <w:rPr>
          <w:rFonts w:asciiTheme="majorHAnsi" w:hAnsiTheme="majorHAnsi" w:cstheme="majorHAnsi"/>
          <w:lang w:val="ro-RO"/>
        </w:rPr>
        <w:t xml:space="preserve">verificări </w:t>
      </w:r>
      <w:r>
        <w:rPr>
          <w:rFonts w:asciiTheme="majorHAnsi" w:hAnsiTheme="majorHAnsi" w:cstheme="majorHAnsi"/>
          <w:lang w:val="ro-RO"/>
        </w:rPr>
        <w:t xml:space="preserve">în </w:t>
      </w:r>
      <w:r>
        <w:rPr>
          <w:rFonts w:asciiTheme="majorHAnsi" w:hAnsiTheme="majorHAnsi" w:cstheme="majorHAnsi"/>
          <w:b/>
          <w:bCs/>
          <w:lang w:val="ro-RO"/>
        </w:rPr>
        <w:t>listele de sancțiuni</w:t>
      </w:r>
      <w:r>
        <w:rPr>
          <w:rFonts w:asciiTheme="majorHAnsi" w:hAnsiTheme="majorHAnsi" w:cstheme="majorHAnsi"/>
          <w:lang w:val="ro-RO"/>
        </w:rPr>
        <w:t xml:space="preserve">, pentru identificarea persoanelor, organizațiilor sau statelor care fac obiectul </w:t>
      </w:r>
      <w:r w:rsidR="00CF407B">
        <w:rPr>
          <w:rFonts w:asciiTheme="majorHAnsi" w:hAnsiTheme="majorHAnsi" w:cstheme="majorHAnsi"/>
          <w:lang w:val="ro-RO"/>
        </w:rPr>
        <w:t xml:space="preserve">unor </w:t>
      </w:r>
      <w:r>
        <w:rPr>
          <w:rFonts w:asciiTheme="majorHAnsi" w:hAnsiTheme="majorHAnsi" w:cstheme="majorHAnsi"/>
          <w:lang w:val="ro-RO"/>
        </w:rPr>
        <w:t xml:space="preserve">sancțiuni economice emise de un guvern sau de o organizație internațională; </w:t>
      </w:r>
      <w:r>
        <w:rPr>
          <w:rFonts w:asciiTheme="majorHAnsi" w:hAnsiTheme="majorHAnsi" w:cstheme="majorHAnsi"/>
          <w:b/>
          <w:bCs/>
          <w:lang w:val="ro-RO"/>
        </w:rPr>
        <w:t>apariții negative în mass-media</w:t>
      </w:r>
      <w:r>
        <w:rPr>
          <w:rFonts w:asciiTheme="majorHAnsi" w:hAnsiTheme="majorHAnsi" w:cstheme="majorHAnsi"/>
          <w:lang w:val="ro-RO"/>
        </w:rPr>
        <w:t xml:space="preserve">, </w:t>
      </w:r>
      <w:r w:rsidR="00CF407B">
        <w:rPr>
          <w:rFonts w:asciiTheme="majorHAnsi" w:hAnsiTheme="majorHAnsi" w:cstheme="majorHAnsi"/>
          <w:lang w:val="ro-RO"/>
        </w:rPr>
        <w:t xml:space="preserve">care se referă la </w:t>
      </w:r>
      <w:r>
        <w:rPr>
          <w:rFonts w:asciiTheme="majorHAnsi" w:hAnsiTheme="majorHAnsi" w:cstheme="majorHAnsi"/>
          <w:lang w:val="ro-RO"/>
        </w:rPr>
        <w:t xml:space="preserve">acuzații apărute în publicații de știri sau în alte surse reputate, care leagă persoana sau o companie afiliată ei de activități de fraudă, spălare de bani, corupție, terorism sau de alte ilegalități; </w:t>
      </w:r>
      <w:r w:rsidR="0004185E">
        <w:rPr>
          <w:rFonts w:asciiTheme="majorHAnsi" w:hAnsiTheme="majorHAnsi" w:cstheme="majorHAnsi"/>
          <w:lang w:val="ro-RO"/>
        </w:rPr>
        <w:t xml:space="preserve">verificarea </w:t>
      </w:r>
      <w:r>
        <w:rPr>
          <w:rFonts w:asciiTheme="majorHAnsi" w:hAnsiTheme="majorHAnsi" w:cstheme="majorHAnsi"/>
          <w:b/>
          <w:bCs/>
          <w:lang w:val="ro-RO"/>
        </w:rPr>
        <w:t>persoane</w:t>
      </w:r>
      <w:r w:rsidR="0004185E">
        <w:rPr>
          <w:rFonts w:asciiTheme="majorHAnsi" w:hAnsiTheme="majorHAnsi" w:cstheme="majorHAnsi"/>
          <w:b/>
          <w:bCs/>
          <w:lang w:val="ro-RO"/>
        </w:rPr>
        <w:t>lor</w:t>
      </w:r>
      <w:r>
        <w:rPr>
          <w:rFonts w:asciiTheme="majorHAnsi" w:hAnsiTheme="majorHAnsi" w:cstheme="majorHAnsi"/>
          <w:b/>
          <w:bCs/>
          <w:lang w:val="ro-RO"/>
        </w:rPr>
        <w:t xml:space="preserve"> expuse politic</w:t>
      </w:r>
      <w:r>
        <w:rPr>
          <w:rFonts w:asciiTheme="majorHAnsi" w:hAnsiTheme="majorHAnsi" w:cstheme="majorHAnsi"/>
          <w:lang w:val="ro-RO"/>
        </w:rPr>
        <w:t xml:space="preserve"> și </w:t>
      </w:r>
      <w:r w:rsidR="0004185E">
        <w:rPr>
          <w:rFonts w:asciiTheme="majorHAnsi" w:hAnsiTheme="majorHAnsi" w:cstheme="majorHAnsi"/>
          <w:lang w:val="ro-RO"/>
        </w:rPr>
        <w:t>a</w:t>
      </w:r>
      <w:r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b/>
          <w:bCs/>
          <w:lang w:val="ro-RO"/>
        </w:rPr>
        <w:t>entități</w:t>
      </w:r>
      <w:r w:rsidR="0004185E">
        <w:rPr>
          <w:rFonts w:asciiTheme="majorHAnsi" w:hAnsiTheme="majorHAnsi" w:cstheme="majorHAnsi"/>
          <w:b/>
          <w:bCs/>
          <w:lang w:val="ro-RO"/>
        </w:rPr>
        <w:t>lor deținute</w:t>
      </w:r>
      <w:r>
        <w:rPr>
          <w:rFonts w:asciiTheme="majorHAnsi" w:hAnsiTheme="majorHAnsi" w:cstheme="majorHAnsi"/>
          <w:b/>
          <w:bCs/>
          <w:lang w:val="ro-RO"/>
        </w:rPr>
        <w:t xml:space="preserve"> de stat</w:t>
      </w:r>
      <w:r>
        <w:rPr>
          <w:rFonts w:asciiTheme="majorHAnsi" w:hAnsiTheme="majorHAnsi" w:cstheme="majorHAnsi"/>
          <w:lang w:val="ro-RO"/>
        </w:rPr>
        <w:t xml:space="preserve">; </w:t>
      </w:r>
      <w:r>
        <w:rPr>
          <w:rFonts w:asciiTheme="majorHAnsi" w:hAnsiTheme="majorHAnsi" w:cstheme="majorHAnsi"/>
          <w:b/>
          <w:bCs/>
          <w:lang w:val="ro-RO"/>
        </w:rPr>
        <w:t>rezultatele financiare</w:t>
      </w:r>
      <w:r>
        <w:rPr>
          <w:rFonts w:asciiTheme="majorHAnsi" w:hAnsiTheme="majorHAnsi" w:cstheme="majorHAnsi"/>
          <w:lang w:val="ro-RO"/>
        </w:rPr>
        <w:t xml:space="preserve"> și bilanțurile entități</w:t>
      </w:r>
      <w:r w:rsidR="0004185E">
        <w:rPr>
          <w:rFonts w:asciiTheme="majorHAnsi" w:hAnsiTheme="majorHAnsi" w:cstheme="majorHAnsi"/>
          <w:lang w:val="ro-RO"/>
        </w:rPr>
        <w:t>i,</w:t>
      </w:r>
      <w:r>
        <w:rPr>
          <w:rFonts w:asciiTheme="majorHAnsi" w:hAnsiTheme="majorHAnsi" w:cstheme="majorHAnsi"/>
          <w:lang w:val="ro-RO"/>
        </w:rPr>
        <w:t xml:space="preserve"> precum și activele și pasivele; calificarea angajaților, prin verificarea pregătirii academice, a istoricului profesional și a licențelor și certificărilor profesionale</w:t>
      </w:r>
      <w:r w:rsidR="0004185E">
        <w:rPr>
          <w:rFonts w:asciiTheme="majorHAnsi" w:hAnsiTheme="majorHAnsi" w:cstheme="majorHAnsi"/>
          <w:lang w:val="ro-RO"/>
        </w:rPr>
        <w:t xml:space="preserve"> obținute</w:t>
      </w:r>
      <w:r>
        <w:rPr>
          <w:rFonts w:asciiTheme="majorHAnsi" w:hAnsiTheme="majorHAnsi" w:cstheme="majorHAnsi"/>
          <w:lang w:val="ro-RO"/>
        </w:rPr>
        <w:t xml:space="preserve">; analiza altor date disponibile, în funcție de contextul în care se realizează </w:t>
      </w:r>
      <w:r w:rsidR="0004185E">
        <w:rPr>
          <w:rFonts w:asciiTheme="majorHAnsi" w:hAnsiTheme="majorHAnsi" w:cstheme="majorHAnsi"/>
          <w:lang w:val="ro-RO"/>
        </w:rPr>
        <w:t xml:space="preserve">demersul de </w:t>
      </w:r>
      <w:r w:rsidRPr="00117AC4">
        <w:rPr>
          <w:rFonts w:asciiTheme="majorHAnsi" w:hAnsiTheme="majorHAnsi" w:cstheme="majorHAnsi"/>
          <w:i/>
          <w:iCs/>
          <w:lang w:val="ro-RO"/>
        </w:rPr>
        <w:t>due diligence</w:t>
      </w:r>
      <w:r>
        <w:rPr>
          <w:rFonts w:asciiTheme="majorHAnsi" w:hAnsiTheme="majorHAnsi" w:cstheme="majorHAnsi"/>
          <w:lang w:val="ro-RO"/>
        </w:rPr>
        <w:t>.</w:t>
      </w:r>
    </w:p>
    <w:p w14:paraId="5FBFCA7C" w14:textId="77777777" w:rsidR="004A44D2" w:rsidRDefault="004A44D2" w:rsidP="004A44D2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5BC7DF6C" w14:textId="77777777" w:rsidR="004A44D2" w:rsidRDefault="004A44D2" w:rsidP="004A44D2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t>Reducerea riscului de activități ilegale și a implicațiilor acestora</w:t>
      </w:r>
    </w:p>
    <w:p w14:paraId="1DD30D0D" w14:textId="0EA1A2C6" w:rsidR="004A44D2" w:rsidRDefault="004A44D2" w:rsidP="004A44D2">
      <w:pPr>
        <w:spacing w:before="120" w:after="120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Atunci când adaugă un client în portofoliu sau sunt pe cale să reconfirme unul, companiile au obligația să își protejeze businessul, angajații și clienții existenți. În situația în care o organizație neglijează să </w:t>
      </w:r>
      <w:r w:rsidR="0004185E">
        <w:rPr>
          <w:rFonts w:asciiTheme="majorHAnsi" w:hAnsiTheme="majorHAnsi" w:cstheme="majorHAnsi"/>
          <w:lang w:val="ro-RO"/>
        </w:rPr>
        <w:t xml:space="preserve">efectueze </w:t>
      </w:r>
      <w:r>
        <w:rPr>
          <w:rFonts w:asciiTheme="majorHAnsi" w:hAnsiTheme="majorHAnsi" w:cstheme="majorHAnsi"/>
          <w:lang w:val="ro-RO"/>
        </w:rPr>
        <w:t xml:space="preserve">verificări de fond </w:t>
      </w:r>
      <w:r w:rsidR="0004185E">
        <w:rPr>
          <w:rFonts w:asciiTheme="majorHAnsi" w:hAnsiTheme="majorHAnsi" w:cstheme="majorHAnsi"/>
          <w:lang w:val="ro-RO"/>
        </w:rPr>
        <w:t xml:space="preserve">privind </w:t>
      </w:r>
      <w:r>
        <w:rPr>
          <w:rFonts w:asciiTheme="majorHAnsi" w:hAnsiTheme="majorHAnsi" w:cstheme="majorHAnsi"/>
          <w:lang w:val="ro-RO"/>
        </w:rPr>
        <w:t xml:space="preserve">un furnizor care a fost anterior implicat într-o schemă de fraudă, iar cazul devine public câteva săptămâni mai târziu, brandul și </w:t>
      </w:r>
      <w:r w:rsidR="0004185E">
        <w:rPr>
          <w:rFonts w:asciiTheme="majorHAnsi" w:hAnsiTheme="majorHAnsi" w:cstheme="majorHAnsi"/>
          <w:lang w:val="ro-RO"/>
        </w:rPr>
        <w:t xml:space="preserve">organizația </w:t>
      </w:r>
      <w:r>
        <w:rPr>
          <w:rFonts w:asciiTheme="majorHAnsi" w:hAnsiTheme="majorHAnsi" w:cstheme="majorHAnsi"/>
          <w:lang w:val="ro-RO"/>
        </w:rPr>
        <w:t xml:space="preserve">vor fi menționate prin asociere în </w:t>
      </w:r>
      <w:r w:rsidR="0004185E">
        <w:rPr>
          <w:rFonts w:asciiTheme="majorHAnsi" w:hAnsiTheme="majorHAnsi" w:cstheme="majorHAnsi"/>
          <w:lang w:val="ro-RO"/>
        </w:rPr>
        <w:t>mijloacele de comunicare în masă</w:t>
      </w:r>
      <w:r>
        <w:rPr>
          <w:rFonts w:asciiTheme="majorHAnsi" w:hAnsiTheme="majorHAnsi" w:cstheme="majorHAnsi"/>
          <w:lang w:val="ro-RO"/>
        </w:rPr>
        <w:t xml:space="preserve">, într-o lumină negativă, </w:t>
      </w:r>
      <w:r w:rsidR="0004185E">
        <w:rPr>
          <w:rFonts w:asciiTheme="majorHAnsi" w:hAnsiTheme="majorHAnsi" w:cstheme="majorHAnsi"/>
          <w:lang w:val="ro-RO"/>
        </w:rPr>
        <w:t xml:space="preserve">provocând potențiale </w:t>
      </w:r>
      <w:r>
        <w:rPr>
          <w:rFonts w:asciiTheme="majorHAnsi" w:hAnsiTheme="majorHAnsi" w:cstheme="majorHAnsi"/>
          <w:lang w:val="ro-RO"/>
        </w:rPr>
        <w:t xml:space="preserve">daune </w:t>
      </w:r>
      <w:r w:rsidR="0004185E">
        <w:rPr>
          <w:rFonts w:asciiTheme="majorHAnsi" w:hAnsiTheme="majorHAnsi" w:cstheme="majorHAnsi"/>
          <w:lang w:val="ro-RO"/>
        </w:rPr>
        <w:t>acordurilor</w:t>
      </w:r>
      <w:r>
        <w:rPr>
          <w:rFonts w:asciiTheme="majorHAnsi" w:hAnsiTheme="majorHAnsi" w:cstheme="majorHAnsi"/>
          <w:lang w:val="ro-RO"/>
        </w:rPr>
        <w:t xml:space="preserve"> și parteneriatelor viitoare. Reputația companiei va fi afectată permanent, iar organizația ar putea avea de gestionat </w:t>
      </w:r>
      <w:r w:rsidRPr="004A44D2">
        <w:rPr>
          <w:rFonts w:asciiTheme="majorHAnsi" w:hAnsiTheme="majorHAnsi" w:cstheme="majorHAnsi"/>
          <w:b/>
          <w:bCs/>
          <w:lang w:val="ro-RO"/>
        </w:rPr>
        <w:t xml:space="preserve">riscuri costisitoare </w:t>
      </w:r>
      <w:r>
        <w:rPr>
          <w:rFonts w:asciiTheme="majorHAnsi" w:hAnsiTheme="majorHAnsi" w:cstheme="majorHAnsi"/>
          <w:b/>
          <w:bCs/>
          <w:lang w:val="ro-RO"/>
        </w:rPr>
        <w:t>asociate</w:t>
      </w:r>
      <w:r w:rsidRPr="004A44D2">
        <w:rPr>
          <w:rFonts w:asciiTheme="majorHAnsi" w:hAnsiTheme="majorHAnsi" w:cstheme="majorHAnsi"/>
          <w:b/>
          <w:bCs/>
          <w:lang w:val="ro-RO"/>
        </w:rPr>
        <w:t xml:space="preserve"> litigii</w:t>
      </w:r>
      <w:r>
        <w:rPr>
          <w:rFonts w:asciiTheme="majorHAnsi" w:hAnsiTheme="majorHAnsi" w:cstheme="majorHAnsi"/>
          <w:b/>
          <w:bCs/>
          <w:lang w:val="ro-RO"/>
        </w:rPr>
        <w:t>lor</w:t>
      </w:r>
      <w:r w:rsidRPr="004A44D2">
        <w:rPr>
          <w:rFonts w:asciiTheme="majorHAnsi" w:hAnsiTheme="majorHAnsi" w:cstheme="majorHAnsi"/>
          <w:b/>
          <w:bCs/>
          <w:lang w:val="ro-RO"/>
        </w:rPr>
        <w:t xml:space="preserve"> și investigații</w:t>
      </w:r>
      <w:r>
        <w:rPr>
          <w:rFonts w:asciiTheme="majorHAnsi" w:hAnsiTheme="majorHAnsi" w:cstheme="majorHAnsi"/>
          <w:b/>
          <w:bCs/>
          <w:lang w:val="ro-RO"/>
        </w:rPr>
        <w:t>lor</w:t>
      </w:r>
      <w:r>
        <w:rPr>
          <w:rFonts w:asciiTheme="majorHAnsi" w:hAnsiTheme="majorHAnsi" w:cstheme="majorHAnsi"/>
          <w:lang w:val="ro-RO"/>
        </w:rPr>
        <w:t xml:space="preserve">. Realizarea unor verificări de fond asupra partenerilor de business importanți ar putea, practic, preveni materializarea </w:t>
      </w:r>
      <w:r w:rsidR="0004185E">
        <w:rPr>
          <w:rFonts w:asciiTheme="majorHAnsi" w:hAnsiTheme="majorHAnsi" w:cstheme="majorHAnsi"/>
          <w:lang w:val="ro-RO"/>
        </w:rPr>
        <w:t xml:space="preserve">unor </w:t>
      </w:r>
      <w:r>
        <w:rPr>
          <w:rFonts w:asciiTheme="majorHAnsi" w:hAnsiTheme="majorHAnsi" w:cstheme="majorHAnsi"/>
          <w:lang w:val="ro-RO"/>
        </w:rPr>
        <w:t>scenarii</w:t>
      </w:r>
      <w:r w:rsidR="0004185E">
        <w:rPr>
          <w:rFonts w:asciiTheme="majorHAnsi" w:hAnsiTheme="majorHAnsi" w:cstheme="majorHAnsi"/>
          <w:lang w:val="ro-RO"/>
        </w:rPr>
        <w:t xml:space="preserve"> nefaste</w:t>
      </w:r>
      <w:r>
        <w:rPr>
          <w:rFonts w:asciiTheme="majorHAnsi" w:hAnsiTheme="majorHAnsi" w:cstheme="majorHAnsi"/>
          <w:lang w:val="ro-RO"/>
        </w:rPr>
        <w:t>.</w:t>
      </w:r>
    </w:p>
    <w:p w14:paraId="732D7372" w14:textId="77777777" w:rsidR="00756C1D" w:rsidRPr="00732B40" w:rsidRDefault="00756C1D" w:rsidP="00A77B91">
      <w:pPr>
        <w:spacing w:before="120" w:after="120"/>
        <w:rPr>
          <w:lang w:val="ro-RO" w:eastAsia="en-US"/>
        </w:rPr>
      </w:pPr>
    </w:p>
    <w:p w14:paraId="2C21D536" w14:textId="102BD054" w:rsidR="00196BA3" w:rsidRPr="00732B40" w:rsidRDefault="00196BA3" w:rsidP="00A77B91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lang w:val="ro-RO"/>
        </w:rPr>
      </w:pPr>
    </w:p>
    <w:sectPr w:rsidR="00196BA3" w:rsidRPr="00732B40" w:rsidSect="006D2659">
      <w:headerReference w:type="default" r:id="rId8"/>
      <w:headerReference w:type="first" r:id="rId9"/>
      <w:footerReference w:type="first" r:id="rId10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67E" w14:textId="77777777" w:rsidR="001C5CF9" w:rsidRDefault="001C5CF9">
      <w:pPr>
        <w:spacing w:line="240" w:lineRule="auto"/>
      </w:pPr>
      <w:r>
        <w:separator/>
      </w:r>
    </w:p>
  </w:endnote>
  <w:endnote w:type="continuationSeparator" w:id="0">
    <w:p w14:paraId="25704765" w14:textId="77777777" w:rsidR="001C5CF9" w:rsidRDefault="001C5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25A" w14:textId="77777777" w:rsidR="001615F5" w:rsidRPr="001615F5" w:rsidRDefault="005B7D15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1D07" w14:textId="77777777" w:rsidR="001C5CF9" w:rsidRDefault="001C5CF9">
      <w:pPr>
        <w:spacing w:line="240" w:lineRule="auto"/>
      </w:pPr>
      <w:r>
        <w:separator/>
      </w:r>
    </w:p>
  </w:footnote>
  <w:footnote w:type="continuationSeparator" w:id="0">
    <w:p w14:paraId="2F947D54" w14:textId="77777777" w:rsidR="001C5CF9" w:rsidRDefault="001C5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A63" w14:textId="77777777" w:rsidR="003A0D61" w:rsidRDefault="00097D10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1FE40E" wp14:editId="2231B994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B54" w14:textId="0E145B61" w:rsidR="006A0423" w:rsidRDefault="007E3428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CE1D5FD" wp14:editId="08E50F4D">
          <wp:simplePos x="0" y="0"/>
          <wp:positionH relativeFrom="column">
            <wp:posOffset>-312420</wp:posOffset>
          </wp:positionH>
          <wp:positionV relativeFrom="paragraph">
            <wp:posOffset>199275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75E0" w14:textId="63109441" w:rsidR="006A0423" w:rsidRDefault="005B7D1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B1213B3" w14:textId="77777777" w:rsidR="006A0423" w:rsidRDefault="005B7D1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F8AA7A5" w14:textId="77777777" w:rsidR="006A0423" w:rsidRDefault="005B7D1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54E5B2D" w14:textId="77777777" w:rsidR="00AF6CE1" w:rsidRPr="00F037A0" w:rsidRDefault="005B7D1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A0CBF51" w14:textId="3BF8E9A0" w:rsidR="005443B3" w:rsidRPr="001615F5" w:rsidRDefault="005B7D15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3EA0"/>
    <w:multiLevelType w:val="hybridMultilevel"/>
    <w:tmpl w:val="9D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C5"/>
    <w:rsid w:val="0004185E"/>
    <w:rsid w:val="0004624B"/>
    <w:rsid w:val="00050AC2"/>
    <w:rsid w:val="00057167"/>
    <w:rsid w:val="00072D27"/>
    <w:rsid w:val="00087CFB"/>
    <w:rsid w:val="000956D2"/>
    <w:rsid w:val="00097D10"/>
    <w:rsid w:val="000B0C11"/>
    <w:rsid w:val="000E25A4"/>
    <w:rsid w:val="00117AC4"/>
    <w:rsid w:val="001268AB"/>
    <w:rsid w:val="001358FB"/>
    <w:rsid w:val="00190A25"/>
    <w:rsid w:val="00196BA3"/>
    <w:rsid w:val="0019793A"/>
    <w:rsid w:val="001B7D91"/>
    <w:rsid w:val="001B7F33"/>
    <w:rsid w:val="001C5CF9"/>
    <w:rsid w:val="001D5C97"/>
    <w:rsid w:val="00205105"/>
    <w:rsid w:val="00252C95"/>
    <w:rsid w:val="002717CC"/>
    <w:rsid w:val="002E7132"/>
    <w:rsid w:val="0034131C"/>
    <w:rsid w:val="00383F7B"/>
    <w:rsid w:val="00405BF2"/>
    <w:rsid w:val="00417B15"/>
    <w:rsid w:val="004A44D2"/>
    <w:rsid w:val="004D706E"/>
    <w:rsid w:val="004F4E65"/>
    <w:rsid w:val="0050245D"/>
    <w:rsid w:val="00506215"/>
    <w:rsid w:val="00520C02"/>
    <w:rsid w:val="0053076A"/>
    <w:rsid w:val="00546663"/>
    <w:rsid w:val="00587919"/>
    <w:rsid w:val="005B7D15"/>
    <w:rsid w:val="006021A1"/>
    <w:rsid w:val="006074F9"/>
    <w:rsid w:val="00625857"/>
    <w:rsid w:val="006324BF"/>
    <w:rsid w:val="006646B7"/>
    <w:rsid w:val="006A60E8"/>
    <w:rsid w:val="006B4CEC"/>
    <w:rsid w:val="006C59CB"/>
    <w:rsid w:val="006C71EA"/>
    <w:rsid w:val="006D2659"/>
    <w:rsid w:val="006D7FBD"/>
    <w:rsid w:val="006F55D6"/>
    <w:rsid w:val="0071712B"/>
    <w:rsid w:val="00732B40"/>
    <w:rsid w:val="0074720B"/>
    <w:rsid w:val="00756C1D"/>
    <w:rsid w:val="00760D0C"/>
    <w:rsid w:val="00786956"/>
    <w:rsid w:val="0079663E"/>
    <w:rsid w:val="007C2E52"/>
    <w:rsid w:val="007C6F5F"/>
    <w:rsid w:val="007C7440"/>
    <w:rsid w:val="007C7B0C"/>
    <w:rsid w:val="007E3428"/>
    <w:rsid w:val="007E71FB"/>
    <w:rsid w:val="0080630B"/>
    <w:rsid w:val="00813758"/>
    <w:rsid w:val="00820C24"/>
    <w:rsid w:val="00823FFE"/>
    <w:rsid w:val="00876E1B"/>
    <w:rsid w:val="00880FD8"/>
    <w:rsid w:val="00896825"/>
    <w:rsid w:val="008E015B"/>
    <w:rsid w:val="008E38FA"/>
    <w:rsid w:val="009058CB"/>
    <w:rsid w:val="00920A3F"/>
    <w:rsid w:val="00952FBC"/>
    <w:rsid w:val="00963BD8"/>
    <w:rsid w:val="009775E0"/>
    <w:rsid w:val="009927A7"/>
    <w:rsid w:val="0099443F"/>
    <w:rsid w:val="009A73C5"/>
    <w:rsid w:val="009F6D84"/>
    <w:rsid w:val="00A10B8A"/>
    <w:rsid w:val="00A211AB"/>
    <w:rsid w:val="00A77B91"/>
    <w:rsid w:val="00A8196A"/>
    <w:rsid w:val="00A934CF"/>
    <w:rsid w:val="00AC6705"/>
    <w:rsid w:val="00B11463"/>
    <w:rsid w:val="00B137E0"/>
    <w:rsid w:val="00B2772B"/>
    <w:rsid w:val="00B72B6F"/>
    <w:rsid w:val="00B814E6"/>
    <w:rsid w:val="00B87B54"/>
    <w:rsid w:val="00BD247C"/>
    <w:rsid w:val="00C05B41"/>
    <w:rsid w:val="00C06F10"/>
    <w:rsid w:val="00C161E7"/>
    <w:rsid w:val="00C40607"/>
    <w:rsid w:val="00C63E98"/>
    <w:rsid w:val="00C83C3A"/>
    <w:rsid w:val="00CB024B"/>
    <w:rsid w:val="00CF407B"/>
    <w:rsid w:val="00D356C1"/>
    <w:rsid w:val="00D60415"/>
    <w:rsid w:val="00D666C4"/>
    <w:rsid w:val="00D8539A"/>
    <w:rsid w:val="00DB6C10"/>
    <w:rsid w:val="00DC47A2"/>
    <w:rsid w:val="00DD10AE"/>
    <w:rsid w:val="00DE1C10"/>
    <w:rsid w:val="00DF3021"/>
    <w:rsid w:val="00DF6FF2"/>
    <w:rsid w:val="00E04CDF"/>
    <w:rsid w:val="00E24E51"/>
    <w:rsid w:val="00E335FE"/>
    <w:rsid w:val="00E44F2E"/>
    <w:rsid w:val="00E54B9C"/>
    <w:rsid w:val="00E55EBC"/>
    <w:rsid w:val="00E60EC6"/>
    <w:rsid w:val="00E706EB"/>
    <w:rsid w:val="00E81D69"/>
    <w:rsid w:val="00E843FF"/>
    <w:rsid w:val="00E9323C"/>
    <w:rsid w:val="00EB4E19"/>
    <w:rsid w:val="00ED344E"/>
    <w:rsid w:val="00EF228F"/>
    <w:rsid w:val="00F20C29"/>
    <w:rsid w:val="00F74582"/>
    <w:rsid w:val="00FA3987"/>
    <w:rsid w:val="00FB175D"/>
    <w:rsid w:val="00FD3DBD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8955"/>
  <w15:chartTrackingRefBased/>
  <w15:docId w15:val="{83D3E8C0-DDC1-4A3A-936E-358B458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C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B9C"/>
    <w:pPr>
      <w:keepNext/>
      <w:keepLines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3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A73C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9A73C5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A73C5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9A73C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Strong">
    <w:name w:val="Strong"/>
    <w:basedOn w:val="DefaultParagraphFont"/>
    <w:uiPriority w:val="22"/>
    <w:qFormat/>
    <w:rsid w:val="009A73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D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D3DBD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BD"/>
    <w:rPr>
      <w:rFonts w:ascii="Helvetica 45 Light" w:eastAsia="Times" w:hAnsi="Helvetica 45 Light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D"/>
    <w:rPr>
      <w:rFonts w:ascii="Segoe UI" w:eastAsia="Times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4C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D706E"/>
    <w:pPr>
      <w:spacing w:after="0" w:line="240" w:lineRule="auto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4D706E"/>
    <w:rPr>
      <w:i/>
      <w:iCs/>
    </w:rPr>
  </w:style>
  <w:style w:type="paragraph" w:styleId="Revision">
    <w:name w:val="Revision"/>
    <w:hidden/>
    <w:uiPriority w:val="99"/>
    <w:semiHidden/>
    <w:rsid w:val="006D7FBD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268AB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6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8AB"/>
    <w:pPr>
      <w:numPr>
        <w:ilvl w:val="1"/>
      </w:num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268AB"/>
    <w:rPr>
      <w:rFonts w:eastAsiaTheme="minorEastAsia"/>
      <w:color w:val="5A5A5A" w:themeColor="text1" w:themeTint="A5"/>
      <w:spacing w:val="15"/>
    </w:rPr>
  </w:style>
  <w:style w:type="character" w:customStyle="1" w:styleId="ui-provider">
    <w:name w:val="ui-provider"/>
    <w:basedOn w:val="DefaultParagraphFont"/>
    <w:rsid w:val="001268AB"/>
  </w:style>
  <w:style w:type="character" w:styleId="UnresolvedMention">
    <w:name w:val="Unresolved Mention"/>
    <w:basedOn w:val="DefaultParagraphFont"/>
    <w:uiPriority w:val="99"/>
    <w:semiHidden/>
    <w:unhideWhenUsed/>
    <w:rsid w:val="006C59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4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4B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C1D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6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en/pages/about-deloitte/events/background-checks-protect-business-getting-full-picture-make-decision.html?nc=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Anghel, Oana</cp:lastModifiedBy>
  <cp:revision>2</cp:revision>
  <dcterms:created xsi:type="dcterms:W3CDTF">2023-04-07T09:26:00Z</dcterms:created>
  <dcterms:modified xsi:type="dcterms:W3CDTF">2023-04-07T09:26:00Z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2023-03-10T08:41:14Z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b8488864-eb20-4fc2-9eab-2ec58c1048d8</vt:lpwstr>
  </property>
  <property fmtid="{D5CDD505-2E9C-101B-9397-08002B2CF9AE}" pid="8" name="MSIP_Label_ea60d57e-af5b-4752-ac57-3e4f28ca11dc_ContentBits">
    <vt:lpwstr>0</vt:lpwstr>
  </property>
</Properties>
</file>