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BF6A" w14:textId="65BA96C7" w:rsidR="002B1643" w:rsidRPr="00F975B3" w:rsidRDefault="002B1643" w:rsidP="006245BE">
      <w:pPr>
        <w:shd w:val="clear" w:color="auto" w:fill="FFFFFF"/>
        <w:spacing w:after="80" w:line="264" w:lineRule="auto"/>
        <w:jc w:val="center"/>
        <w:rPr>
          <w:rFonts w:asciiTheme="majorHAnsi" w:hAnsiTheme="majorHAnsi" w:cstheme="majorHAnsi"/>
          <w:b/>
          <w:bCs/>
          <w:sz w:val="24"/>
          <w:szCs w:val="24"/>
          <w:lang w:val="ro-RO"/>
        </w:rPr>
      </w:pPr>
      <w:r w:rsidRPr="00F975B3">
        <w:rPr>
          <w:rFonts w:asciiTheme="majorHAnsi" w:hAnsiTheme="majorHAnsi" w:cstheme="majorHAnsi"/>
          <w:b/>
          <w:bCs/>
          <w:sz w:val="24"/>
          <w:szCs w:val="24"/>
          <w:lang w:val="ro-RO"/>
        </w:rPr>
        <w:t xml:space="preserve">Controale </w:t>
      </w:r>
      <w:r w:rsidR="00B32655" w:rsidRPr="00B32655">
        <w:rPr>
          <w:rFonts w:asciiTheme="majorHAnsi" w:hAnsiTheme="majorHAnsi" w:cstheme="majorHAnsi"/>
          <w:b/>
          <w:bCs/>
          <w:sz w:val="24"/>
          <w:szCs w:val="24"/>
          <w:lang w:val="ro-RO"/>
        </w:rPr>
        <w:t xml:space="preserve">fiscale la persoanele fizice care vând </w:t>
      </w:r>
      <w:r w:rsidR="00B32655">
        <w:rPr>
          <w:rFonts w:asciiTheme="majorHAnsi" w:hAnsiTheme="majorHAnsi" w:cstheme="majorHAnsi"/>
          <w:b/>
          <w:bCs/>
          <w:sz w:val="24"/>
          <w:szCs w:val="24"/>
          <w:lang w:val="ro-RO"/>
        </w:rPr>
        <w:t xml:space="preserve">online </w:t>
      </w:r>
      <w:r w:rsidR="00B32655" w:rsidRPr="00B32655">
        <w:rPr>
          <w:rFonts w:asciiTheme="majorHAnsi" w:hAnsiTheme="majorHAnsi" w:cstheme="majorHAnsi"/>
          <w:b/>
          <w:bCs/>
          <w:sz w:val="24"/>
          <w:szCs w:val="24"/>
          <w:lang w:val="ro-RO"/>
        </w:rPr>
        <w:t xml:space="preserve">produse cu plata ramburs </w:t>
      </w:r>
      <w:r w:rsidRPr="00F975B3">
        <w:rPr>
          <w:rFonts w:asciiTheme="majorHAnsi" w:hAnsiTheme="majorHAnsi" w:cstheme="majorHAnsi"/>
          <w:b/>
          <w:bCs/>
          <w:sz w:val="24"/>
          <w:szCs w:val="24"/>
          <w:lang w:val="ro-RO"/>
        </w:rPr>
        <w:t xml:space="preserve">– </w:t>
      </w:r>
      <w:r w:rsidRPr="00361DBD">
        <w:rPr>
          <w:rFonts w:asciiTheme="majorHAnsi" w:hAnsiTheme="majorHAnsi" w:cstheme="majorHAnsi"/>
          <w:b/>
          <w:bCs/>
          <w:sz w:val="24"/>
          <w:szCs w:val="24"/>
          <w:lang w:val="ro-RO"/>
        </w:rPr>
        <w:t>ce trebuie să știe contribuabilii vizați?</w:t>
      </w:r>
    </w:p>
    <w:p w14:paraId="3746DF8D" w14:textId="77777777" w:rsidR="00B32655" w:rsidRDefault="00B32655" w:rsidP="006245BE">
      <w:pPr>
        <w:shd w:val="clear" w:color="auto" w:fill="FFFFFF"/>
        <w:spacing w:after="80" w:line="264" w:lineRule="auto"/>
        <w:jc w:val="both"/>
        <w:rPr>
          <w:rFonts w:asciiTheme="majorHAnsi" w:hAnsiTheme="majorHAnsi" w:cstheme="majorHAnsi"/>
          <w:i/>
          <w:iCs/>
          <w:lang w:val="ro-RO"/>
        </w:rPr>
      </w:pPr>
    </w:p>
    <w:p w14:paraId="67051C59" w14:textId="4D2C4B05" w:rsidR="002B1643" w:rsidRPr="00F975B3" w:rsidRDefault="002B1643" w:rsidP="006245BE">
      <w:pPr>
        <w:shd w:val="clear" w:color="auto" w:fill="FFFFFF"/>
        <w:spacing w:after="80" w:line="264" w:lineRule="auto"/>
        <w:jc w:val="both"/>
        <w:rPr>
          <w:rFonts w:asciiTheme="majorHAnsi" w:eastAsiaTheme="minorHAnsi" w:hAnsiTheme="majorHAnsi" w:cstheme="majorHAnsi"/>
          <w:i/>
          <w:iCs/>
          <w:lang w:val="ro-RO"/>
        </w:rPr>
      </w:pPr>
      <w:r w:rsidRPr="00F975B3">
        <w:rPr>
          <w:rFonts w:asciiTheme="majorHAnsi" w:hAnsiTheme="majorHAnsi" w:cstheme="majorHAnsi"/>
          <w:i/>
          <w:iCs/>
          <w:lang w:val="ro-RO"/>
        </w:rPr>
        <w:t>Material de opinie de Monica Țariuc, Director</w:t>
      </w:r>
      <w:r w:rsidR="00305E71" w:rsidRPr="00F975B3">
        <w:rPr>
          <w:rFonts w:asciiTheme="majorHAnsi" w:hAnsiTheme="majorHAnsi" w:cstheme="majorHAnsi"/>
          <w:i/>
          <w:iCs/>
          <w:lang w:val="ro-RO"/>
        </w:rPr>
        <w:t>,</w:t>
      </w:r>
      <w:r w:rsidRPr="00F975B3">
        <w:rPr>
          <w:rFonts w:asciiTheme="majorHAnsi" w:hAnsiTheme="majorHAnsi" w:cstheme="majorHAnsi"/>
          <w:i/>
          <w:iCs/>
          <w:lang w:val="ro-RO"/>
        </w:rPr>
        <w:t xml:space="preserve"> Global Employer Services, Deloitte România, și Cristiana Ionescu, Managing Associate, Reff &amp; Asociații | Deloitte Legal</w:t>
      </w:r>
    </w:p>
    <w:p w14:paraId="753DF02F" w14:textId="77777777" w:rsidR="00B32655" w:rsidRDefault="00B32655" w:rsidP="006245BE">
      <w:pPr>
        <w:shd w:val="clear" w:color="auto" w:fill="FFFFFF"/>
        <w:spacing w:after="80" w:line="264" w:lineRule="auto"/>
        <w:jc w:val="both"/>
        <w:rPr>
          <w:rFonts w:asciiTheme="majorHAnsi" w:eastAsia="Times New Roman" w:hAnsiTheme="majorHAnsi" w:cstheme="majorHAnsi"/>
          <w:lang w:val="ro-RO"/>
        </w:rPr>
      </w:pPr>
    </w:p>
    <w:p w14:paraId="4A1D702D" w14:textId="4C83BEDD" w:rsidR="002B1643" w:rsidRDefault="002B1643" w:rsidP="006245BE">
      <w:pPr>
        <w:shd w:val="clear" w:color="auto" w:fill="FFFFFF"/>
        <w:spacing w:after="80" w:line="264" w:lineRule="auto"/>
        <w:jc w:val="both"/>
        <w:rPr>
          <w:rFonts w:asciiTheme="majorHAnsi" w:eastAsia="Times New Roman" w:hAnsiTheme="majorHAnsi" w:cstheme="majorHAnsi"/>
          <w:lang w:val="ro-RO"/>
        </w:rPr>
      </w:pPr>
      <w:r w:rsidRPr="003F7DBB">
        <w:rPr>
          <w:rFonts w:asciiTheme="majorHAnsi" w:eastAsia="Times New Roman" w:hAnsiTheme="majorHAnsi" w:cstheme="majorHAnsi"/>
          <w:lang w:val="ro-RO"/>
        </w:rPr>
        <w:t xml:space="preserve">Informațiile colectate de Agenția Națională de Administrare Fiscală (ANAF) de la firmele de curierat, în conformitate cu reglementările adoptate la jumătatea anului trecut, constituie baza controalelor fiscale anunțate pentru perioada următoare la persoanele fizice </w:t>
      </w:r>
      <w:bookmarkStart w:id="0" w:name="_Hlk131426407"/>
      <w:r w:rsidRPr="003F7DBB">
        <w:rPr>
          <w:rFonts w:asciiTheme="majorHAnsi" w:eastAsia="Times New Roman" w:hAnsiTheme="majorHAnsi" w:cstheme="majorHAnsi"/>
          <w:lang w:val="ro-RO"/>
        </w:rPr>
        <w:t xml:space="preserve">care vând produse cu plata ramburs </w:t>
      </w:r>
      <w:bookmarkEnd w:id="0"/>
      <w:r w:rsidRPr="003F7DBB">
        <w:rPr>
          <w:rFonts w:asciiTheme="majorHAnsi" w:eastAsia="Times New Roman" w:hAnsiTheme="majorHAnsi" w:cstheme="majorHAnsi"/>
          <w:lang w:val="ro-RO"/>
        </w:rPr>
        <w:t xml:space="preserve">prin intermediul platformelor online. Însă verificările vor fi realizate de </w:t>
      </w:r>
      <w:bookmarkStart w:id="1" w:name="_Hlk131496654"/>
      <w:r w:rsidRPr="003F7DBB">
        <w:rPr>
          <w:rFonts w:asciiTheme="majorHAnsi" w:eastAsia="Times New Roman" w:hAnsiTheme="majorHAnsi" w:cstheme="majorHAnsi"/>
          <w:lang w:val="ro-RO"/>
        </w:rPr>
        <w:t xml:space="preserve">Direcția Generală Antifraudă Fiscală </w:t>
      </w:r>
      <w:bookmarkEnd w:id="1"/>
      <w:r w:rsidRPr="003F7DBB">
        <w:rPr>
          <w:rFonts w:asciiTheme="majorHAnsi" w:eastAsia="Times New Roman" w:hAnsiTheme="majorHAnsi" w:cstheme="majorHAnsi"/>
          <w:lang w:val="ro-RO"/>
        </w:rPr>
        <w:t xml:space="preserve">(DGAF) sub forma controlului documentar, </w:t>
      </w:r>
      <w:r w:rsidR="00B71110" w:rsidRPr="003A1BAB">
        <w:rPr>
          <w:rFonts w:asciiTheme="majorHAnsi" w:eastAsia="Times New Roman" w:hAnsiTheme="majorHAnsi" w:cstheme="majorHAnsi"/>
          <w:lang w:val="ro-RO"/>
        </w:rPr>
        <w:t>procedur</w:t>
      </w:r>
      <w:r w:rsidR="00B71110" w:rsidRPr="003F7DBB">
        <w:rPr>
          <w:rFonts w:asciiTheme="majorHAnsi" w:eastAsia="Times New Roman" w:hAnsiTheme="majorHAnsi" w:cstheme="majorHAnsi"/>
          <w:lang w:val="ro-RO"/>
        </w:rPr>
        <w:t xml:space="preserve">ă </w:t>
      </w:r>
      <w:r w:rsidRPr="003F7DBB">
        <w:rPr>
          <w:rFonts w:asciiTheme="majorHAnsi" w:eastAsia="Times New Roman" w:hAnsiTheme="majorHAnsi" w:cstheme="majorHAnsi"/>
          <w:lang w:val="ro-RO"/>
        </w:rPr>
        <w:t>c</w:t>
      </w:r>
      <w:r w:rsidR="00A70F1E">
        <w:rPr>
          <w:rFonts w:asciiTheme="majorHAnsi" w:eastAsia="Times New Roman" w:hAnsiTheme="majorHAnsi" w:cstheme="majorHAnsi"/>
          <w:lang w:val="ro-RO"/>
        </w:rPr>
        <w:t>e</w:t>
      </w:r>
      <w:r w:rsidRPr="003F7DBB">
        <w:rPr>
          <w:rFonts w:asciiTheme="majorHAnsi" w:eastAsia="Times New Roman" w:hAnsiTheme="majorHAnsi" w:cstheme="majorHAnsi"/>
          <w:lang w:val="ro-RO"/>
        </w:rPr>
        <w:t xml:space="preserve"> prezintă anumite particularități de care contribuabilii trebuie să țină cont. </w:t>
      </w:r>
    </w:p>
    <w:p w14:paraId="66655320" w14:textId="41EE59AE" w:rsidR="002B1643" w:rsidRPr="003F7DBB" w:rsidRDefault="002B1643" w:rsidP="006245BE">
      <w:pPr>
        <w:shd w:val="clear" w:color="auto" w:fill="FFFFFF"/>
        <w:spacing w:after="80" w:line="264" w:lineRule="auto"/>
        <w:jc w:val="both"/>
        <w:rPr>
          <w:rFonts w:asciiTheme="majorHAnsi" w:eastAsia="Times New Roman" w:hAnsiTheme="majorHAnsi" w:cstheme="majorHAnsi"/>
          <w:lang w:val="ro-RO"/>
        </w:rPr>
      </w:pPr>
      <w:r w:rsidRPr="003F7DBB">
        <w:rPr>
          <w:rFonts w:asciiTheme="majorHAnsi" w:eastAsia="Times New Roman" w:hAnsiTheme="majorHAnsi" w:cstheme="majorHAnsi"/>
          <w:lang w:val="ro-RO"/>
        </w:rPr>
        <w:t xml:space="preserve">Vânzările online realizate de persoanele fizice au intrat în vizorul autorităților fiscale în ultimii ani, astfel că acestea au decis să adopte o serie de măsuri pentru a le monitoriza și pentru a determina cazurile în care veniturile astfel obținute sunt </w:t>
      </w:r>
      <w:r w:rsidR="00D00704" w:rsidRPr="003F7DBB">
        <w:rPr>
          <w:rFonts w:asciiTheme="majorHAnsi" w:eastAsia="Times New Roman" w:hAnsiTheme="majorHAnsi" w:cstheme="majorHAnsi"/>
          <w:lang w:val="ro-RO"/>
        </w:rPr>
        <w:t>declarate</w:t>
      </w:r>
      <w:r w:rsidRPr="003F7DBB">
        <w:rPr>
          <w:rFonts w:asciiTheme="majorHAnsi" w:eastAsia="Times New Roman" w:hAnsiTheme="majorHAnsi" w:cstheme="majorHAnsi"/>
          <w:lang w:val="ro-RO"/>
        </w:rPr>
        <w:t xml:space="preserve">, și, în </w:t>
      </w:r>
      <w:r w:rsidR="00D00704" w:rsidRPr="003F7DBB">
        <w:rPr>
          <w:rFonts w:asciiTheme="majorHAnsi" w:eastAsia="Times New Roman" w:hAnsiTheme="majorHAnsi" w:cstheme="majorHAnsi"/>
          <w:lang w:val="ro-RO"/>
        </w:rPr>
        <w:t>consecință</w:t>
      </w:r>
      <w:r w:rsidRPr="003F7DBB">
        <w:rPr>
          <w:rFonts w:asciiTheme="majorHAnsi" w:eastAsia="Times New Roman" w:hAnsiTheme="majorHAnsi" w:cstheme="majorHAnsi"/>
          <w:lang w:val="ro-RO"/>
        </w:rPr>
        <w:t>, dacă taxele</w:t>
      </w:r>
      <w:r w:rsidR="00D00704" w:rsidRPr="003F7DBB">
        <w:rPr>
          <w:rFonts w:asciiTheme="majorHAnsi" w:eastAsia="Times New Roman" w:hAnsiTheme="majorHAnsi" w:cstheme="majorHAnsi"/>
          <w:lang w:val="ro-RO"/>
        </w:rPr>
        <w:t xml:space="preserve"> și impozitele</w:t>
      </w:r>
      <w:r w:rsidRPr="003F7DBB">
        <w:rPr>
          <w:rFonts w:asciiTheme="majorHAnsi" w:eastAsia="Times New Roman" w:hAnsiTheme="majorHAnsi" w:cstheme="majorHAnsi"/>
          <w:lang w:val="ro-RO"/>
        </w:rPr>
        <w:t xml:space="preserve"> aferente sunt plătite</w:t>
      </w:r>
      <w:r w:rsidR="00426453" w:rsidRPr="003F7DBB">
        <w:rPr>
          <w:rFonts w:asciiTheme="majorHAnsi" w:eastAsia="Times New Roman" w:hAnsiTheme="majorHAnsi" w:cstheme="majorHAnsi"/>
          <w:lang w:val="ro-RO"/>
        </w:rPr>
        <w:t xml:space="preserve"> către bugetul de stat</w:t>
      </w:r>
      <w:r w:rsidRPr="003F7DBB">
        <w:rPr>
          <w:rFonts w:asciiTheme="majorHAnsi" w:eastAsia="Times New Roman" w:hAnsiTheme="majorHAnsi" w:cstheme="majorHAnsi"/>
          <w:lang w:val="ro-RO"/>
        </w:rPr>
        <w:t xml:space="preserve">. </w:t>
      </w:r>
    </w:p>
    <w:p w14:paraId="5832D83A" w14:textId="423742DC" w:rsidR="002B1643" w:rsidRPr="003F7DBB" w:rsidRDefault="002B1643" w:rsidP="006245BE">
      <w:pPr>
        <w:shd w:val="clear" w:color="auto" w:fill="FFFFFF"/>
        <w:spacing w:after="80" w:line="264" w:lineRule="auto"/>
        <w:jc w:val="both"/>
        <w:rPr>
          <w:rFonts w:asciiTheme="majorHAnsi" w:eastAsia="Times New Roman" w:hAnsiTheme="majorHAnsi" w:cstheme="majorHAnsi"/>
          <w:lang w:val="ro-RO"/>
        </w:rPr>
      </w:pPr>
      <w:r w:rsidRPr="003F7DBB">
        <w:rPr>
          <w:rFonts w:asciiTheme="majorHAnsi" w:eastAsia="Times New Roman" w:hAnsiTheme="majorHAnsi" w:cstheme="majorHAnsi"/>
          <w:lang w:val="ro-RO"/>
        </w:rPr>
        <w:t>Cea mai recentă măsură de acest gen, adoptată în urmă cu aproape un an, vizează comercianții care percep plata produselor ramburs. Astfel, prin Ordonanța 67/2022</w:t>
      </w:r>
      <w:r w:rsidR="00AD373C" w:rsidRPr="003F7DBB">
        <w:rPr>
          <w:rFonts w:asciiTheme="majorHAnsi" w:eastAsia="Times New Roman" w:hAnsiTheme="majorHAnsi" w:cstheme="majorHAnsi"/>
          <w:lang w:val="ro-RO"/>
        </w:rPr>
        <w:t xml:space="preserve"> care a modificat Codul de procedură fiscală</w:t>
      </w:r>
      <w:r w:rsidRPr="003F7DBB">
        <w:rPr>
          <w:rFonts w:asciiTheme="majorHAnsi" w:eastAsia="Times New Roman" w:hAnsiTheme="majorHAnsi" w:cstheme="majorHAnsi"/>
          <w:lang w:val="ro-RO"/>
        </w:rPr>
        <w:t>, furnizorii de servicii poștale, inclusiv firmele de curierat, au fost obligați să raporteze lunar, către ANAF</w:t>
      </w:r>
      <w:r w:rsidR="0075242F">
        <w:rPr>
          <w:rFonts w:asciiTheme="majorHAnsi" w:eastAsia="Times New Roman" w:hAnsiTheme="majorHAnsi" w:cstheme="majorHAnsi"/>
          <w:lang w:val="ro-RO"/>
        </w:rPr>
        <w:t xml:space="preserve"> (sub forma unei declarații pe propria răspundere)</w:t>
      </w:r>
      <w:r w:rsidRPr="003F7DBB">
        <w:rPr>
          <w:rFonts w:asciiTheme="majorHAnsi" w:eastAsia="Times New Roman" w:hAnsiTheme="majorHAnsi" w:cstheme="majorHAnsi"/>
          <w:lang w:val="ro-RO"/>
        </w:rPr>
        <w:t>, informații referitoare la livrările de colete cu plata ramburs. Printre informațiile solicitate se numără</w:t>
      </w:r>
      <w:r w:rsidR="00151F9D" w:rsidRPr="003F7DBB">
        <w:rPr>
          <w:rFonts w:asciiTheme="majorHAnsi" w:eastAsia="Times New Roman" w:hAnsiTheme="majorHAnsi" w:cstheme="majorHAnsi"/>
          <w:lang w:val="ro-RO"/>
        </w:rPr>
        <w:t>:</w:t>
      </w:r>
      <w:r w:rsidRPr="003F7DBB">
        <w:rPr>
          <w:rFonts w:asciiTheme="majorHAnsi" w:eastAsia="Times New Roman" w:hAnsiTheme="majorHAnsi" w:cstheme="majorHAnsi"/>
          <w:lang w:val="ro-RO"/>
        </w:rPr>
        <w:t xml:space="preserve"> data trimiterii, datele de identificare a expeditorului, adres</w:t>
      </w:r>
      <w:r w:rsidR="00591B00" w:rsidRPr="003F7DBB">
        <w:rPr>
          <w:rFonts w:asciiTheme="majorHAnsi" w:eastAsia="Times New Roman" w:hAnsiTheme="majorHAnsi" w:cstheme="majorHAnsi"/>
          <w:lang w:val="ro-RO"/>
        </w:rPr>
        <w:t>ele de expediție și de livrare</w:t>
      </w:r>
      <w:r w:rsidRPr="003F7DBB">
        <w:rPr>
          <w:rFonts w:asciiTheme="majorHAnsi" w:eastAsia="Times New Roman" w:hAnsiTheme="majorHAnsi" w:cstheme="majorHAnsi"/>
          <w:lang w:val="ro-RO"/>
        </w:rPr>
        <w:t xml:space="preserve"> și contravaloarea bunurilor livrate.</w:t>
      </w:r>
      <w:r w:rsidR="00503146" w:rsidRPr="003F7DBB">
        <w:rPr>
          <w:rFonts w:asciiTheme="majorHAnsi" w:eastAsia="Times New Roman" w:hAnsiTheme="majorHAnsi" w:cstheme="majorHAnsi"/>
          <w:lang w:val="ro-RO"/>
        </w:rPr>
        <w:t xml:space="preserve"> În acest sens,</w:t>
      </w:r>
      <w:r w:rsidR="0075242F">
        <w:rPr>
          <w:rFonts w:asciiTheme="majorHAnsi" w:eastAsia="Times New Roman" w:hAnsiTheme="majorHAnsi" w:cstheme="majorHAnsi"/>
          <w:lang w:val="ro-RO"/>
        </w:rPr>
        <w:t xml:space="preserve"> </w:t>
      </w:r>
      <w:r w:rsidR="00503146" w:rsidRPr="003F7DBB">
        <w:rPr>
          <w:rFonts w:asciiTheme="majorHAnsi" w:eastAsia="Times New Roman" w:hAnsiTheme="majorHAnsi" w:cstheme="majorHAnsi"/>
          <w:lang w:val="ro-RO"/>
        </w:rPr>
        <w:t>prin Ordinul 1644/2022</w:t>
      </w:r>
      <w:r w:rsidR="00A70F1E">
        <w:rPr>
          <w:rFonts w:asciiTheme="majorHAnsi" w:eastAsia="Times New Roman" w:hAnsiTheme="majorHAnsi" w:cstheme="majorHAnsi"/>
          <w:lang w:val="ro-RO"/>
        </w:rPr>
        <w:t>,</w:t>
      </w:r>
      <w:r w:rsidR="00503146" w:rsidRPr="003F7DBB">
        <w:rPr>
          <w:rFonts w:asciiTheme="majorHAnsi" w:eastAsia="Times New Roman" w:hAnsiTheme="majorHAnsi" w:cstheme="majorHAnsi"/>
          <w:lang w:val="ro-RO"/>
        </w:rPr>
        <w:t xml:space="preserve"> </w:t>
      </w:r>
      <w:r w:rsidR="0075242F">
        <w:rPr>
          <w:rFonts w:asciiTheme="majorHAnsi" w:eastAsia="Times New Roman" w:hAnsiTheme="majorHAnsi" w:cstheme="majorHAnsi"/>
          <w:lang w:val="ro-RO"/>
        </w:rPr>
        <w:t>a</w:t>
      </w:r>
      <w:r w:rsidR="00B32655">
        <w:rPr>
          <w:rFonts w:asciiTheme="majorHAnsi" w:eastAsia="Times New Roman" w:hAnsiTheme="majorHAnsi" w:cstheme="majorHAnsi"/>
          <w:lang w:val="ro-RO"/>
        </w:rPr>
        <w:t>u</w:t>
      </w:r>
      <w:r w:rsidR="0075242F">
        <w:rPr>
          <w:rFonts w:asciiTheme="majorHAnsi" w:eastAsia="Times New Roman" w:hAnsiTheme="majorHAnsi" w:cstheme="majorHAnsi"/>
          <w:lang w:val="ro-RO"/>
        </w:rPr>
        <w:t xml:space="preserve"> fost reglementat</w:t>
      </w:r>
      <w:r w:rsidR="00B32655">
        <w:rPr>
          <w:rFonts w:asciiTheme="majorHAnsi" w:eastAsia="Times New Roman" w:hAnsiTheme="majorHAnsi" w:cstheme="majorHAnsi"/>
          <w:lang w:val="ro-RO"/>
        </w:rPr>
        <w:t>e</w:t>
      </w:r>
      <w:r w:rsidR="0075242F">
        <w:rPr>
          <w:rFonts w:asciiTheme="majorHAnsi" w:eastAsia="Times New Roman" w:hAnsiTheme="majorHAnsi" w:cstheme="majorHAnsi"/>
          <w:lang w:val="ro-RO"/>
        </w:rPr>
        <w:t xml:space="preserve"> </w:t>
      </w:r>
      <w:r w:rsidR="00503146" w:rsidRPr="003F7DBB">
        <w:rPr>
          <w:rFonts w:asciiTheme="majorHAnsi" w:eastAsia="Times New Roman" w:hAnsiTheme="majorHAnsi" w:cstheme="majorHAnsi"/>
          <w:lang w:val="ro-RO"/>
        </w:rPr>
        <w:t xml:space="preserve">modelul </w:t>
      </w:r>
      <w:r w:rsidR="00B32655">
        <w:rPr>
          <w:rFonts w:asciiTheme="majorHAnsi" w:eastAsia="Times New Roman" w:hAnsiTheme="majorHAnsi" w:cstheme="majorHAnsi"/>
          <w:lang w:val="ro-RO"/>
        </w:rPr>
        <w:t>ș</w:t>
      </w:r>
      <w:r w:rsidR="00B32655" w:rsidRPr="003F7DBB">
        <w:rPr>
          <w:rFonts w:asciiTheme="majorHAnsi" w:eastAsia="Times New Roman" w:hAnsiTheme="majorHAnsi" w:cstheme="majorHAnsi"/>
          <w:lang w:val="ro-RO"/>
        </w:rPr>
        <w:t xml:space="preserve">i </w:t>
      </w:r>
      <w:r w:rsidR="003F7DBB" w:rsidRPr="003F7DBB">
        <w:rPr>
          <w:rFonts w:asciiTheme="majorHAnsi" w:eastAsia="Times New Roman" w:hAnsiTheme="majorHAnsi" w:cstheme="majorHAnsi"/>
          <w:lang w:val="ro-RO"/>
        </w:rPr>
        <w:t>conținutul</w:t>
      </w:r>
      <w:r w:rsidR="00503146" w:rsidRPr="003F7DBB">
        <w:rPr>
          <w:rFonts w:asciiTheme="majorHAnsi" w:eastAsia="Times New Roman" w:hAnsiTheme="majorHAnsi" w:cstheme="majorHAnsi"/>
          <w:lang w:val="ro-RO"/>
        </w:rPr>
        <w:t xml:space="preserve"> formular</w:t>
      </w:r>
      <w:r w:rsidR="0075242F">
        <w:rPr>
          <w:rFonts w:asciiTheme="majorHAnsi" w:eastAsia="Times New Roman" w:hAnsiTheme="majorHAnsi" w:cstheme="majorHAnsi"/>
          <w:lang w:val="ro-RO"/>
        </w:rPr>
        <w:t xml:space="preserve">ul </w:t>
      </w:r>
      <w:r w:rsidR="00503146" w:rsidRPr="003F7DBB">
        <w:rPr>
          <w:rFonts w:asciiTheme="majorHAnsi" w:eastAsia="Times New Roman" w:hAnsiTheme="majorHAnsi" w:cstheme="majorHAnsi"/>
          <w:lang w:val="ro-RO"/>
        </w:rPr>
        <w:t xml:space="preserve">395 </w:t>
      </w:r>
      <w:r w:rsidR="003F7DBB">
        <w:rPr>
          <w:rFonts w:asciiTheme="majorHAnsi" w:eastAsia="Times New Roman" w:hAnsiTheme="majorHAnsi" w:cstheme="majorHAnsi"/>
          <w:lang w:val="ro-RO"/>
        </w:rPr>
        <w:t>„</w:t>
      </w:r>
      <w:r w:rsidR="003F7DBB" w:rsidRPr="00F6192A">
        <w:rPr>
          <w:rFonts w:asciiTheme="majorHAnsi" w:eastAsia="Times New Roman" w:hAnsiTheme="majorHAnsi" w:cstheme="majorHAnsi"/>
          <w:i/>
          <w:iCs/>
          <w:lang w:val="ro-RO"/>
        </w:rPr>
        <w:t>Declarație</w:t>
      </w:r>
      <w:r w:rsidR="00503146" w:rsidRPr="00F6192A">
        <w:rPr>
          <w:rFonts w:asciiTheme="majorHAnsi" w:eastAsia="Times New Roman" w:hAnsiTheme="majorHAnsi" w:cstheme="majorHAnsi"/>
          <w:i/>
          <w:iCs/>
          <w:lang w:val="ro-RO"/>
        </w:rPr>
        <w:t xml:space="preserve"> informativ</w:t>
      </w:r>
      <w:r w:rsidR="003F7DBB" w:rsidRPr="00F6192A">
        <w:rPr>
          <w:rFonts w:asciiTheme="majorHAnsi" w:eastAsia="Times New Roman" w:hAnsiTheme="majorHAnsi" w:cstheme="majorHAnsi"/>
          <w:i/>
          <w:iCs/>
          <w:lang w:val="ro-RO"/>
        </w:rPr>
        <w:t>ă</w:t>
      </w:r>
      <w:r w:rsidR="00503146" w:rsidRPr="00F6192A">
        <w:rPr>
          <w:rFonts w:asciiTheme="majorHAnsi" w:eastAsia="Times New Roman" w:hAnsiTheme="majorHAnsi" w:cstheme="majorHAnsi"/>
          <w:i/>
          <w:iCs/>
          <w:lang w:val="ro-RO"/>
        </w:rPr>
        <w:t xml:space="preserve"> privind trimiterile </w:t>
      </w:r>
      <w:r w:rsidR="003F7DBB" w:rsidRPr="00F6192A">
        <w:rPr>
          <w:rFonts w:asciiTheme="majorHAnsi" w:eastAsia="Times New Roman" w:hAnsiTheme="majorHAnsi" w:cstheme="majorHAnsi"/>
          <w:i/>
          <w:iCs/>
          <w:lang w:val="ro-RO"/>
        </w:rPr>
        <w:t>poștale</w:t>
      </w:r>
      <w:r w:rsidR="00503146" w:rsidRPr="00F6192A">
        <w:rPr>
          <w:rFonts w:asciiTheme="majorHAnsi" w:eastAsia="Times New Roman" w:hAnsiTheme="majorHAnsi" w:cstheme="majorHAnsi"/>
          <w:i/>
          <w:iCs/>
          <w:lang w:val="ro-RO"/>
        </w:rPr>
        <w:t xml:space="preserve"> contra ramburs efectuate de c</w:t>
      </w:r>
      <w:r w:rsidR="003F7DBB" w:rsidRPr="00F6192A">
        <w:rPr>
          <w:rFonts w:asciiTheme="majorHAnsi" w:eastAsia="Times New Roman" w:hAnsiTheme="majorHAnsi" w:cstheme="majorHAnsi"/>
          <w:i/>
          <w:iCs/>
          <w:lang w:val="ro-RO"/>
        </w:rPr>
        <w:t>ă</w:t>
      </w:r>
      <w:r w:rsidR="00503146" w:rsidRPr="00F6192A">
        <w:rPr>
          <w:rFonts w:asciiTheme="majorHAnsi" w:eastAsia="Times New Roman" w:hAnsiTheme="majorHAnsi" w:cstheme="majorHAnsi"/>
          <w:i/>
          <w:iCs/>
          <w:lang w:val="ro-RO"/>
        </w:rPr>
        <w:t xml:space="preserve">tre furnizorii de servicii </w:t>
      </w:r>
      <w:r w:rsidR="003F7DBB" w:rsidRPr="00F6192A">
        <w:rPr>
          <w:rFonts w:asciiTheme="majorHAnsi" w:eastAsia="Times New Roman" w:hAnsiTheme="majorHAnsi" w:cstheme="majorHAnsi"/>
          <w:i/>
          <w:iCs/>
          <w:lang w:val="ro-RO"/>
        </w:rPr>
        <w:t>poștale</w:t>
      </w:r>
      <w:r w:rsidR="00503146" w:rsidRPr="00F6192A">
        <w:rPr>
          <w:rFonts w:asciiTheme="majorHAnsi" w:eastAsia="Times New Roman" w:hAnsiTheme="majorHAnsi" w:cstheme="majorHAnsi"/>
          <w:i/>
          <w:iCs/>
          <w:lang w:val="ro-RO"/>
        </w:rPr>
        <w:t xml:space="preserve"> pe teritoriul </w:t>
      </w:r>
      <w:r w:rsidR="003F7DBB" w:rsidRPr="00F6192A">
        <w:rPr>
          <w:rFonts w:asciiTheme="majorHAnsi" w:eastAsia="Times New Roman" w:hAnsiTheme="majorHAnsi" w:cstheme="majorHAnsi"/>
          <w:i/>
          <w:iCs/>
          <w:lang w:val="ro-RO"/>
        </w:rPr>
        <w:t>național</w:t>
      </w:r>
      <w:r w:rsidR="00503146" w:rsidRPr="003F7DBB">
        <w:rPr>
          <w:rFonts w:asciiTheme="majorHAnsi" w:eastAsia="Times New Roman" w:hAnsiTheme="majorHAnsi" w:cstheme="majorHAnsi"/>
          <w:lang w:val="ro-RO"/>
        </w:rPr>
        <w:t>". </w:t>
      </w:r>
      <w:r w:rsidRPr="002B7E46">
        <w:rPr>
          <w:rFonts w:asciiTheme="majorHAnsi" w:eastAsia="Times New Roman" w:hAnsiTheme="majorHAnsi" w:cstheme="majorHAnsi"/>
          <w:lang w:val="ro-RO"/>
        </w:rPr>
        <w:t>Declarația</w:t>
      </w:r>
      <w:r w:rsidR="0075242F">
        <w:rPr>
          <w:rFonts w:asciiTheme="majorHAnsi" w:eastAsia="Times New Roman" w:hAnsiTheme="majorHAnsi" w:cstheme="majorHAnsi"/>
          <w:lang w:val="ro-RO"/>
        </w:rPr>
        <w:t xml:space="preserve"> 395</w:t>
      </w:r>
      <w:r w:rsidRPr="002B7E46">
        <w:rPr>
          <w:rFonts w:asciiTheme="majorHAnsi" w:eastAsia="Times New Roman" w:hAnsiTheme="majorHAnsi" w:cstheme="majorHAnsi"/>
          <w:lang w:val="ro-RO"/>
        </w:rPr>
        <w:t xml:space="preserve"> se depune în ultima zi a lunii pentru luna anterioară, începând cu livrările din decembrie 2022, raportate</w:t>
      </w:r>
      <w:r w:rsidR="00A70F1E" w:rsidRPr="002B7E46">
        <w:rPr>
          <w:rFonts w:asciiTheme="majorHAnsi" w:eastAsia="Times New Roman" w:hAnsiTheme="majorHAnsi" w:cstheme="majorHAnsi"/>
          <w:lang w:val="ro-RO"/>
        </w:rPr>
        <w:t xml:space="preserve"> cel târziu</w:t>
      </w:r>
      <w:r w:rsidRPr="002B7E46">
        <w:rPr>
          <w:rFonts w:asciiTheme="majorHAnsi" w:eastAsia="Times New Roman" w:hAnsiTheme="majorHAnsi" w:cstheme="majorHAnsi"/>
          <w:lang w:val="ro-RO"/>
        </w:rPr>
        <w:t xml:space="preserve"> la finalul lui ianuarie 2023.</w:t>
      </w:r>
      <w:r w:rsidRPr="003F7DBB">
        <w:rPr>
          <w:rFonts w:asciiTheme="majorHAnsi" w:eastAsia="Times New Roman" w:hAnsiTheme="majorHAnsi" w:cstheme="majorHAnsi"/>
          <w:lang w:val="ro-RO"/>
        </w:rPr>
        <w:t xml:space="preserve"> Pe baza declarațiilor depuse </w:t>
      </w:r>
      <w:r w:rsidR="006245BE">
        <w:rPr>
          <w:rFonts w:asciiTheme="majorHAnsi" w:eastAsia="Times New Roman" w:hAnsiTheme="majorHAnsi" w:cstheme="majorHAnsi"/>
          <w:lang w:val="ro-RO"/>
        </w:rPr>
        <w:t xml:space="preserve">din luna decembrie 2022 </w:t>
      </w:r>
      <w:r w:rsidRPr="003F7DBB">
        <w:rPr>
          <w:rFonts w:asciiTheme="majorHAnsi" w:eastAsia="Times New Roman" w:hAnsiTheme="majorHAnsi" w:cstheme="majorHAnsi"/>
          <w:lang w:val="ro-RO"/>
        </w:rPr>
        <w:t xml:space="preserve">până în prezent, reprezentanții ANAF susțin că au fost realizate </w:t>
      </w:r>
      <w:r w:rsidRPr="006245BE">
        <w:rPr>
          <w:rFonts w:asciiTheme="majorHAnsi" w:eastAsia="Times New Roman" w:hAnsiTheme="majorHAnsi" w:cstheme="majorHAnsi"/>
          <w:b/>
          <w:bCs/>
          <w:lang w:val="ro-RO"/>
        </w:rPr>
        <w:t>17 milioane de transporturi cu plata ramburs</w:t>
      </w:r>
      <w:r w:rsidRPr="003F7DBB">
        <w:rPr>
          <w:rFonts w:asciiTheme="majorHAnsi" w:eastAsia="Times New Roman" w:hAnsiTheme="majorHAnsi" w:cstheme="majorHAnsi"/>
          <w:lang w:val="ro-RO"/>
        </w:rPr>
        <w:t xml:space="preserve">, în valoare totală de aproximativ </w:t>
      </w:r>
      <w:r w:rsidRPr="006245BE">
        <w:rPr>
          <w:rFonts w:asciiTheme="majorHAnsi" w:eastAsia="Times New Roman" w:hAnsiTheme="majorHAnsi" w:cstheme="majorHAnsi"/>
          <w:b/>
          <w:bCs/>
          <w:lang w:val="ro-RO"/>
        </w:rPr>
        <w:t>cinci miliarde de lei</w:t>
      </w:r>
      <w:r w:rsidRPr="003F7DBB">
        <w:rPr>
          <w:rFonts w:asciiTheme="majorHAnsi" w:eastAsia="Times New Roman" w:hAnsiTheme="majorHAnsi" w:cstheme="majorHAnsi"/>
          <w:lang w:val="ro-RO"/>
        </w:rPr>
        <w:t xml:space="preserve">, iar </w:t>
      </w:r>
      <w:r w:rsidRPr="006245BE">
        <w:rPr>
          <w:rFonts w:asciiTheme="majorHAnsi" w:eastAsia="Times New Roman" w:hAnsiTheme="majorHAnsi" w:cstheme="majorHAnsi"/>
          <w:b/>
          <w:bCs/>
          <w:lang w:val="ro-RO"/>
        </w:rPr>
        <w:t xml:space="preserve">pentru o parte dintre acestea </w:t>
      </w:r>
      <w:r w:rsidR="00A92BDD" w:rsidRPr="006245BE">
        <w:rPr>
          <w:rFonts w:asciiTheme="majorHAnsi" w:eastAsia="Times New Roman" w:hAnsiTheme="majorHAnsi" w:cstheme="majorHAnsi"/>
          <w:b/>
          <w:bCs/>
          <w:lang w:val="ro-RO"/>
        </w:rPr>
        <w:t>nu au existat</w:t>
      </w:r>
      <w:r w:rsidRPr="006245BE">
        <w:rPr>
          <w:rFonts w:asciiTheme="majorHAnsi" w:eastAsia="Times New Roman" w:hAnsiTheme="majorHAnsi" w:cstheme="majorHAnsi"/>
          <w:b/>
          <w:bCs/>
          <w:lang w:val="ro-RO"/>
        </w:rPr>
        <w:t xml:space="preserve"> raportări fiscale</w:t>
      </w:r>
      <w:r w:rsidRPr="003F7DBB">
        <w:rPr>
          <w:rFonts w:asciiTheme="majorHAnsi" w:eastAsia="Times New Roman" w:hAnsiTheme="majorHAnsi" w:cstheme="majorHAnsi"/>
          <w:lang w:val="ro-RO"/>
        </w:rPr>
        <w:t xml:space="preserve">. </w:t>
      </w:r>
    </w:p>
    <w:p w14:paraId="319E0E99" w14:textId="2D08B659" w:rsidR="002B1643" w:rsidRPr="003F7DBB" w:rsidRDefault="002B1643" w:rsidP="006245BE">
      <w:pPr>
        <w:shd w:val="clear" w:color="auto" w:fill="FFFFFF"/>
        <w:spacing w:after="80" w:line="264" w:lineRule="auto"/>
        <w:jc w:val="both"/>
        <w:rPr>
          <w:rFonts w:asciiTheme="majorHAnsi" w:eastAsia="Times New Roman" w:hAnsiTheme="majorHAnsi" w:cstheme="majorHAnsi"/>
          <w:lang w:val="ro-RO"/>
        </w:rPr>
      </w:pPr>
      <w:bookmarkStart w:id="2" w:name="_Hlk131496628"/>
      <w:r w:rsidRPr="003F7DBB">
        <w:rPr>
          <w:rFonts w:asciiTheme="majorHAnsi" w:eastAsia="Times New Roman" w:hAnsiTheme="majorHAnsi" w:cstheme="majorHAnsi"/>
          <w:lang w:val="ro-RO"/>
        </w:rPr>
        <w:t>Acesta este contextul în care reprezentanții DGAF au anunțat demararea unor noi controale la persoanele fizice care derulează astfel de operațiuni</w:t>
      </w:r>
      <w:bookmarkEnd w:id="2"/>
      <w:r w:rsidRPr="003F7DBB">
        <w:rPr>
          <w:rFonts w:asciiTheme="majorHAnsi" w:eastAsia="Times New Roman" w:hAnsiTheme="majorHAnsi" w:cstheme="majorHAnsi"/>
          <w:lang w:val="ro-RO"/>
        </w:rPr>
        <w:t>. Potrivit acestora</w:t>
      </w:r>
      <w:bookmarkStart w:id="3" w:name="_Hlk131426474"/>
      <w:r w:rsidRPr="003F7DBB">
        <w:rPr>
          <w:rFonts w:asciiTheme="majorHAnsi" w:eastAsia="Times New Roman" w:hAnsiTheme="majorHAnsi" w:cstheme="majorHAnsi"/>
          <w:lang w:val="ro-RO"/>
        </w:rPr>
        <w:t xml:space="preserve">, în prima fază sunt vizați cei cu venituri de peste 500.000 de lei </w:t>
      </w:r>
      <w:bookmarkEnd w:id="3"/>
      <w:r w:rsidRPr="003F7DBB">
        <w:rPr>
          <w:rFonts w:asciiTheme="majorHAnsi" w:eastAsia="Times New Roman" w:hAnsiTheme="majorHAnsi" w:cstheme="majorHAnsi"/>
          <w:lang w:val="ro-RO"/>
        </w:rPr>
        <w:t>(stabilite în baza datelor raportate de firmele de curierat), în cazul cărora va fi realizat un control documentar, la sediul autorității, finalizat cu o decizie de impunere. Cei cu venituri mai mici vor primi o notificare de conformare din partea ANAF</w:t>
      </w:r>
      <w:r w:rsidR="003F43EA">
        <w:rPr>
          <w:rFonts w:asciiTheme="majorHAnsi" w:eastAsia="Times New Roman" w:hAnsiTheme="majorHAnsi" w:cstheme="majorHAnsi"/>
          <w:lang w:val="ro-RO"/>
        </w:rPr>
        <w:t>,</w:t>
      </w:r>
      <w:r w:rsidRPr="003F7DBB">
        <w:rPr>
          <w:rFonts w:asciiTheme="majorHAnsi" w:eastAsia="Times New Roman" w:hAnsiTheme="majorHAnsi" w:cstheme="majorHAnsi"/>
          <w:lang w:val="ro-RO"/>
        </w:rPr>
        <w:t xml:space="preserve"> </w:t>
      </w:r>
      <w:r w:rsidR="003F43EA">
        <w:rPr>
          <w:rFonts w:asciiTheme="majorHAnsi" w:eastAsia="Times New Roman" w:hAnsiTheme="majorHAnsi" w:cstheme="majorHAnsi"/>
          <w:lang w:val="ro-RO"/>
        </w:rPr>
        <w:t>cu posibilitatea</w:t>
      </w:r>
      <w:r w:rsidRPr="003F7DBB">
        <w:rPr>
          <w:rFonts w:asciiTheme="majorHAnsi" w:eastAsia="Times New Roman" w:hAnsiTheme="majorHAnsi" w:cstheme="majorHAnsi"/>
          <w:lang w:val="ro-RO"/>
        </w:rPr>
        <w:t xml:space="preserve"> unui control ulterior.  </w:t>
      </w:r>
    </w:p>
    <w:p w14:paraId="4529741C" w14:textId="77777777" w:rsidR="00B32655" w:rsidRDefault="00B32655" w:rsidP="006245BE">
      <w:pPr>
        <w:shd w:val="clear" w:color="auto" w:fill="FFFFFF"/>
        <w:spacing w:after="80" w:line="264" w:lineRule="auto"/>
        <w:jc w:val="both"/>
        <w:rPr>
          <w:rFonts w:asciiTheme="majorHAnsi" w:eastAsia="Times New Roman" w:hAnsiTheme="majorHAnsi" w:cstheme="majorHAnsi"/>
          <w:b/>
          <w:bCs/>
          <w:lang w:val="ro-RO"/>
        </w:rPr>
      </w:pPr>
    </w:p>
    <w:p w14:paraId="17A2E225" w14:textId="11C1716F" w:rsidR="002B1643" w:rsidRPr="003F7DBB" w:rsidRDefault="00D96976" w:rsidP="006245BE">
      <w:pPr>
        <w:shd w:val="clear" w:color="auto" w:fill="FFFFFF"/>
        <w:spacing w:after="80" w:line="264" w:lineRule="auto"/>
        <w:jc w:val="both"/>
        <w:rPr>
          <w:rFonts w:asciiTheme="majorHAnsi" w:eastAsia="Times New Roman" w:hAnsiTheme="majorHAnsi" w:cstheme="majorHAnsi"/>
          <w:b/>
          <w:bCs/>
          <w:lang w:val="ro-RO"/>
        </w:rPr>
      </w:pPr>
      <w:r>
        <w:rPr>
          <w:rFonts w:asciiTheme="majorHAnsi" w:eastAsia="Times New Roman" w:hAnsiTheme="majorHAnsi" w:cstheme="majorHAnsi"/>
          <w:b/>
          <w:bCs/>
          <w:lang w:val="ro-RO"/>
        </w:rPr>
        <w:t>Neclarități privind natura veniturilor</w:t>
      </w:r>
    </w:p>
    <w:p w14:paraId="1B1DB42A" w14:textId="2EE2E383" w:rsidR="00466EE7" w:rsidRDefault="002B1643" w:rsidP="006245BE">
      <w:pPr>
        <w:shd w:val="clear" w:color="auto" w:fill="FFFFFF"/>
        <w:spacing w:after="80" w:line="264" w:lineRule="auto"/>
        <w:jc w:val="both"/>
        <w:rPr>
          <w:rFonts w:asciiTheme="majorHAnsi" w:eastAsia="Times New Roman" w:hAnsiTheme="majorHAnsi" w:cstheme="majorHAnsi"/>
          <w:lang w:val="ro-RO"/>
        </w:rPr>
      </w:pPr>
      <w:r w:rsidRPr="003F7DBB">
        <w:rPr>
          <w:rFonts w:asciiTheme="majorHAnsi" w:eastAsia="Times New Roman" w:hAnsiTheme="majorHAnsi" w:cstheme="majorHAnsi"/>
          <w:lang w:val="ro-RO"/>
        </w:rPr>
        <w:t xml:space="preserve">Inițiativa este </w:t>
      </w:r>
      <w:r w:rsidR="001858CB">
        <w:rPr>
          <w:rFonts w:asciiTheme="majorHAnsi" w:eastAsia="Times New Roman" w:hAnsiTheme="majorHAnsi" w:cstheme="majorHAnsi"/>
          <w:lang w:val="ro-RO"/>
        </w:rPr>
        <w:t>de înțeles</w:t>
      </w:r>
      <w:r w:rsidRPr="003F7DBB">
        <w:rPr>
          <w:rFonts w:asciiTheme="majorHAnsi" w:eastAsia="Times New Roman" w:hAnsiTheme="majorHAnsi" w:cstheme="majorHAnsi"/>
          <w:lang w:val="ro-RO"/>
        </w:rPr>
        <w:t xml:space="preserve">, având în vedere că limitarea evaziunii fiscale are ca efect atât creșterea veniturilor la bugetul de stat, cât și asigurarea unui mediu concurențial funcțional, favorabil conformării voluntare. </w:t>
      </w:r>
      <w:r w:rsidR="00466EE7">
        <w:rPr>
          <w:rFonts w:asciiTheme="majorHAnsi" w:eastAsia="Times New Roman" w:hAnsiTheme="majorHAnsi" w:cstheme="majorHAnsi"/>
          <w:lang w:val="ro-RO"/>
        </w:rPr>
        <w:t xml:space="preserve">Însă, înainte de demararea unor astfel de controale, contribuabilii ar trebui informați cu privire la </w:t>
      </w:r>
      <w:r w:rsidR="00255CB6">
        <w:rPr>
          <w:rFonts w:asciiTheme="majorHAnsi" w:eastAsia="Times New Roman" w:hAnsiTheme="majorHAnsi" w:cstheme="majorHAnsi"/>
          <w:lang w:val="ro-RO"/>
        </w:rPr>
        <w:t>obligațiile care le revin în raport cu veniturile de acest gen care, î</w:t>
      </w:r>
      <w:r w:rsidR="00466EE7">
        <w:rPr>
          <w:rFonts w:asciiTheme="majorHAnsi" w:eastAsia="Times New Roman" w:hAnsiTheme="majorHAnsi" w:cstheme="majorHAnsi"/>
          <w:lang w:val="ro-RO"/>
        </w:rPr>
        <w:t xml:space="preserve">n funcție de mai multe variabile, pot fi încadrate ca venituri din alte surse, din activități independente sau, în cel mai rău caz, din activități dependente. </w:t>
      </w:r>
      <w:r w:rsidR="00255CB6">
        <w:rPr>
          <w:rFonts w:asciiTheme="majorHAnsi" w:eastAsia="Times New Roman" w:hAnsiTheme="majorHAnsi" w:cstheme="majorHAnsi"/>
          <w:lang w:val="ro-RO"/>
        </w:rPr>
        <w:t>Regimul fiscal diferă în funcție de această încadrare, la fel și obligațiile de raportare și plată, astfel că autoritățile trebuie să transmită contribuabililor ce opțiuni de organizare au (</w:t>
      </w:r>
      <w:r w:rsidR="00B32655">
        <w:rPr>
          <w:rFonts w:asciiTheme="majorHAnsi" w:eastAsia="Times New Roman" w:hAnsiTheme="majorHAnsi" w:cstheme="majorHAnsi"/>
          <w:lang w:val="ro-RO"/>
        </w:rPr>
        <w:t xml:space="preserve">de </w:t>
      </w:r>
      <w:r w:rsidR="00255CB6">
        <w:rPr>
          <w:rFonts w:asciiTheme="majorHAnsi" w:eastAsia="Times New Roman" w:hAnsiTheme="majorHAnsi" w:cstheme="majorHAnsi"/>
          <w:lang w:val="ro-RO"/>
        </w:rPr>
        <w:t>ex</w:t>
      </w:r>
      <w:r w:rsidR="00B32655">
        <w:rPr>
          <w:rFonts w:asciiTheme="majorHAnsi" w:eastAsia="Times New Roman" w:hAnsiTheme="majorHAnsi" w:cstheme="majorHAnsi"/>
          <w:lang w:val="ro-RO"/>
        </w:rPr>
        <w:t xml:space="preserve">emplu, </w:t>
      </w:r>
      <w:r w:rsidR="00255CB6">
        <w:rPr>
          <w:rFonts w:asciiTheme="majorHAnsi" w:eastAsia="Times New Roman" w:hAnsiTheme="majorHAnsi" w:cstheme="majorHAnsi"/>
          <w:lang w:val="ro-RO"/>
        </w:rPr>
        <w:t xml:space="preserve">PFA, microîntreprindere etc.), astfel încât, pe viitor, să se poată conforma reglementărilor în vigoare. </w:t>
      </w:r>
    </w:p>
    <w:p w14:paraId="5ECA61C2" w14:textId="7771316C" w:rsidR="002B1643" w:rsidRPr="003F7DBB" w:rsidRDefault="00255CB6" w:rsidP="006245BE">
      <w:pPr>
        <w:shd w:val="clear" w:color="auto" w:fill="FFFFFF"/>
        <w:spacing w:after="80" w:line="264" w:lineRule="auto"/>
        <w:jc w:val="both"/>
        <w:rPr>
          <w:rFonts w:asciiTheme="majorHAnsi" w:eastAsia="Times New Roman" w:hAnsiTheme="majorHAnsi" w:cstheme="majorHAnsi"/>
          <w:lang w:val="ro-RO"/>
        </w:rPr>
      </w:pPr>
      <w:r>
        <w:rPr>
          <w:rFonts w:asciiTheme="majorHAnsi" w:eastAsia="Times New Roman" w:hAnsiTheme="majorHAnsi" w:cstheme="majorHAnsi"/>
          <w:lang w:val="ro-RO"/>
        </w:rPr>
        <w:t xml:space="preserve">În </w:t>
      </w:r>
      <w:r w:rsidR="002E08EE">
        <w:rPr>
          <w:rFonts w:asciiTheme="majorHAnsi" w:eastAsia="Times New Roman" w:hAnsiTheme="majorHAnsi" w:cstheme="majorHAnsi"/>
          <w:lang w:val="ro-RO"/>
        </w:rPr>
        <w:t>plus, modul în care se derulează aceste controale ridică semne de întrebare. Î</w:t>
      </w:r>
      <w:r w:rsidR="00FF25A7">
        <w:rPr>
          <w:rFonts w:asciiTheme="majorHAnsi" w:eastAsia="Times New Roman" w:hAnsiTheme="majorHAnsi" w:cstheme="majorHAnsi"/>
          <w:lang w:val="ro-RO"/>
        </w:rPr>
        <w:t xml:space="preserve">n </w:t>
      </w:r>
      <w:r w:rsidR="002B1643" w:rsidRPr="003F7DBB">
        <w:rPr>
          <w:rFonts w:asciiTheme="majorHAnsi" w:eastAsia="Times New Roman" w:hAnsiTheme="majorHAnsi" w:cstheme="majorHAnsi"/>
          <w:lang w:val="ro-RO"/>
        </w:rPr>
        <w:t>practica ultimilor ani</w:t>
      </w:r>
      <w:r w:rsidR="00FF25A7">
        <w:rPr>
          <w:rFonts w:asciiTheme="majorHAnsi" w:eastAsia="Times New Roman" w:hAnsiTheme="majorHAnsi" w:cstheme="majorHAnsi"/>
          <w:lang w:val="ro-RO"/>
        </w:rPr>
        <w:t xml:space="preserve"> </w:t>
      </w:r>
      <w:r w:rsidR="002E08EE">
        <w:rPr>
          <w:rFonts w:asciiTheme="majorHAnsi" w:eastAsia="Times New Roman" w:hAnsiTheme="majorHAnsi" w:cstheme="majorHAnsi"/>
          <w:lang w:val="ro-RO"/>
        </w:rPr>
        <w:t xml:space="preserve">se constată </w:t>
      </w:r>
      <w:r w:rsidR="00FF25A7">
        <w:rPr>
          <w:rFonts w:asciiTheme="majorHAnsi" w:eastAsia="Times New Roman" w:hAnsiTheme="majorHAnsi" w:cstheme="majorHAnsi"/>
          <w:lang w:val="ro-RO"/>
        </w:rPr>
        <w:t xml:space="preserve">o accentuare a </w:t>
      </w:r>
      <w:r w:rsidR="009A4E5D">
        <w:rPr>
          <w:rFonts w:asciiTheme="majorHAnsi" w:eastAsia="Times New Roman" w:hAnsiTheme="majorHAnsi" w:cstheme="majorHAnsi"/>
          <w:lang w:val="ro-RO"/>
        </w:rPr>
        <w:t>verificărilor documentare efectuate de DGAF</w:t>
      </w:r>
      <w:r w:rsidR="00760979">
        <w:rPr>
          <w:rFonts w:asciiTheme="majorHAnsi" w:eastAsia="Times New Roman" w:hAnsiTheme="majorHAnsi" w:cstheme="majorHAnsi"/>
          <w:lang w:val="ro-RO"/>
        </w:rPr>
        <w:t>, în detrimentul unor proceduri mai elaborate de control.</w:t>
      </w:r>
      <w:r w:rsidR="009E2BA5">
        <w:rPr>
          <w:rFonts w:asciiTheme="majorHAnsi" w:eastAsia="Times New Roman" w:hAnsiTheme="majorHAnsi" w:cstheme="majorHAnsi"/>
          <w:lang w:val="ro-RO"/>
        </w:rPr>
        <w:t xml:space="preserve"> </w:t>
      </w:r>
      <w:r w:rsidR="00792AD7">
        <w:rPr>
          <w:rFonts w:asciiTheme="majorHAnsi" w:eastAsia="Times New Roman" w:hAnsiTheme="majorHAnsi" w:cstheme="majorHAnsi"/>
          <w:lang w:val="ro-RO"/>
        </w:rPr>
        <w:t xml:space="preserve">Verificarea documentară </w:t>
      </w:r>
      <w:r w:rsidR="00696C0F">
        <w:rPr>
          <w:rFonts w:asciiTheme="majorHAnsi" w:eastAsia="Times New Roman" w:hAnsiTheme="majorHAnsi" w:cstheme="majorHAnsi"/>
          <w:lang w:val="ro-RO"/>
        </w:rPr>
        <w:t>constituie</w:t>
      </w:r>
      <w:r w:rsidR="00792AD7">
        <w:rPr>
          <w:rFonts w:asciiTheme="majorHAnsi" w:eastAsia="Times New Roman" w:hAnsiTheme="majorHAnsi" w:cstheme="majorHAnsi"/>
          <w:lang w:val="ro-RO"/>
        </w:rPr>
        <w:t xml:space="preserve"> o </w:t>
      </w:r>
      <w:r w:rsidR="00DE51E1">
        <w:rPr>
          <w:rFonts w:asciiTheme="majorHAnsi" w:eastAsia="Times New Roman" w:hAnsiTheme="majorHAnsi" w:cstheme="majorHAnsi"/>
          <w:lang w:val="ro-RO"/>
        </w:rPr>
        <w:t>procedură de control simplificată</w:t>
      </w:r>
      <w:r w:rsidR="00792AD7">
        <w:rPr>
          <w:rFonts w:asciiTheme="majorHAnsi" w:eastAsia="Times New Roman" w:hAnsiTheme="majorHAnsi" w:cstheme="majorHAnsi"/>
          <w:lang w:val="ro-RO"/>
        </w:rPr>
        <w:t xml:space="preserve"> (realizată de </w:t>
      </w:r>
      <w:r w:rsidR="002E08EE">
        <w:rPr>
          <w:rFonts w:asciiTheme="majorHAnsi" w:eastAsia="Times New Roman" w:hAnsiTheme="majorHAnsi" w:cstheme="majorHAnsi"/>
          <w:lang w:val="ro-RO"/>
        </w:rPr>
        <w:t>inspectorul</w:t>
      </w:r>
      <w:r w:rsidR="00792AD7">
        <w:rPr>
          <w:rFonts w:asciiTheme="majorHAnsi" w:eastAsia="Times New Roman" w:hAnsiTheme="majorHAnsi" w:cstheme="majorHAnsi"/>
          <w:lang w:val="ro-RO"/>
        </w:rPr>
        <w:t xml:space="preserve"> fiscal de la biroul său</w:t>
      </w:r>
      <w:r w:rsidR="00081904">
        <w:rPr>
          <w:rFonts w:asciiTheme="majorHAnsi" w:eastAsia="Times New Roman" w:hAnsiTheme="majorHAnsi" w:cstheme="majorHAnsi"/>
          <w:lang w:val="ro-RO"/>
        </w:rPr>
        <w:t>)</w:t>
      </w:r>
      <w:r w:rsidR="00F975B3">
        <w:rPr>
          <w:rFonts w:asciiTheme="majorHAnsi" w:eastAsia="Times New Roman" w:hAnsiTheme="majorHAnsi" w:cstheme="majorHAnsi"/>
          <w:lang w:val="ro-RO"/>
        </w:rPr>
        <w:t xml:space="preserve">, </w:t>
      </w:r>
      <w:r w:rsidR="008873BB">
        <w:rPr>
          <w:rFonts w:asciiTheme="majorHAnsi" w:eastAsia="Times New Roman" w:hAnsiTheme="majorHAnsi" w:cstheme="majorHAnsi"/>
          <w:lang w:val="ro-RO"/>
        </w:rPr>
        <w:t xml:space="preserve">în desfășurarea căreia </w:t>
      </w:r>
      <w:r w:rsidR="002B1643" w:rsidRPr="003F7DBB">
        <w:rPr>
          <w:rFonts w:asciiTheme="majorHAnsi" w:eastAsia="Times New Roman" w:hAnsiTheme="majorHAnsi" w:cstheme="majorHAnsi"/>
          <w:lang w:val="ro-RO"/>
        </w:rPr>
        <w:t>contribuabilii nu beneficiază de drepturile conferite în cazul unei inspecții fiscale clasice (</w:t>
      </w:r>
      <w:r w:rsidR="00A91B32">
        <w:rPr>
          <w:rFonts w:asciiTheme="majorHAnsi" w:eastAsia="Times New Roman" w:hAnsiTheme="majorHAnsi" w:cstheme="majorHAnsi"/>
          <w:lang w:val="ro-RO"/>
        </w:rPr>
        <w:t xml:space="preserve">spre exemplu, </w:t>
      </w:r>
      <w:r w:rsidR="007712D5">
        <w:rPr>
          <w:rFonts w:asciiTheme="majorHAnsi" w:eastAsia="Times New Roman" w:hAnsiTheme="majorHAnsi" w:cstheme="majorHAnsi"/>
          <w:lang w:val="ro-RO"/>
        </w:rPr>
        <w:t xml:space="preserve">nu </w:t>
      </w:r>
      <w:r w:rsidR="00E67E6E">
        <w:rPr>
          <w:rFonts w:asciiTheme="majorHAnsi" w:eastAsia="Times New Roman" w:hAnsiTheme="majorHAnsi" w:cstheme="majorHAnsi"/>
          <w:lang w:val="ro-RO"/>
        </w:rPr>
        <w:t>sunt</w:t>
      </w:r>
      <w:r w:rsidR="007712D5">
        <w:rPr>
          <w:rFonts w:asciiTheme="majorHAnsi" w:eastAsia="Times New Roman" w:hAnsiTheme="majorHAnsi" w:cstheme="majorHAnsi"/>
          <w:lang w:val="ro-RO"/>
        </w:rPr>
        <w:t xml:space="preserve"> notifica</w:t>
      </w:r>
      <w:r w:rsidR="00E67E6E">
        <w:rPr>
          <w:rFonts w:asciiTheme="majorHAnsi" w:eastAsia="Times New Roman" w:hAnsiTheme="majorHAnsi" w:cstheme="majorHAnsi"/>
          <w:lang w:val="ro-RO"/>
        </w:rPr>
        <w:t>ți</w:t>
      </w:r>
      <w:r w:rsidR="007712D5">
        <w:rPr>
          <w:rFonts w:asciiTheme="majorHAnsi" w:eastAsia="Times New Roman" w:hAnsiTheme="majorHAnsi" w:cstheme="majorHAnsi"/>
          <w:lang w:val="ro-RO"/>
        </w:rPr>
        <w:t xml:space="preserve"> cu privire la </w:t>
      </w:r>
      <w:r w:rsidR="006B0E64">
        <w:rPr>
          <w:rFonts w:asciiTheme="majorHAnsi" w:eastAsia="Times New Roman" w:hAnsiTheme="majorHAnsi" w:cstheme="majorHAnsi"/>
          <w:lang w:val="ro-RO"/>
        </w:rPr>
        <w:t xml:space="preserve">începerea </w:t>
      </w:r>
      <w:r w:rsidR="007712D5">
        <w:rPr>
          <w:rFonts w:asciiTheme="majorHAnsi" w:eastAsia="Times New Roman" w:hAnsiTheme="majorHAnsi" w:cstheme="majorHAnsi"/>
          <w:lang w:val="ro-RO"/>
        </w:rPr>
        <w:t>activit</w:t>
      </w:r>
      <w:r w:rsidR="006B0E64">
        <w:rPr>
          <w:rFonts w:asciiTheme="majorHAnsi" w:eastAsia="Times New Roman" w:hAnsiTheme="majorHAnsi" w:cstheme="majorHAnsi"/>
          <w:lang w:val="ro-RO"/>
        </w:rPr>
        <w:t>ății</w:t>
      </w:r>
      <w:r w:rsidR="007712D5">
        <w:rPr>
          <w:rFonts w:asciiTheme="majorHAnsi" w:eastAsia="Times New Roman" w:hAnsiTheme="majorHAnsi" w:cstheme="majorHAnsi"/>
          <w:lang w:val="ro-RO"/>
        </w:rPr>
        <w:t xml:space="preserve"> de control,</w:t>
      </w:r>
      <w:r w:rsidR="00250EF0">
        <w:rPr>
          <w:rFonts w:asciiTheme="majorHAnsi" w:eastAsia="Times New Roman" w:hAnsiTheme="majorHAnsi" w:cstheme="majorHAnsi"/>
          <w:lang w:val="ro-RO"/>
        </w:rPr>
        <w:t xml:space="preserve"> </w:t>
      </w:r>
      <w:r w:rsidR="002E08EE">
        <w:rPr>
          <w:rFonts w:asciiTheme="majorHAnsi" w:eastAsia="Times New Roman" w:hAnsiTheme="majorHAnsi" w:cstheme="majorHAnsi"/>
          <w:lang w:val="ro-RO"/>
        </w:rPr>
        <w:t xml:space="preserve">aflând acest lucru </w:t>
      </w:r>
      <w:r w:rsidR="00250EF0">
        <w:rPr>
          <w:rFonts w:asciiTheme="majorHAnsi" w:eastAsia="Times New Roman" w:hAnsiTheme="majorHAnsi" w:cstheme="majorHAnsi"/>
          <w:lang w:val="ro-RO"/>
        </w:rPr>
        <w:t xml:space="preserve">doar </w:t>
      </w:r>
      <w:r w:rsidR="002E08EE">
        <w:rPr>
          <w:rFonts w:asciiTheme="majorHAnsi" w:eastAsia="Times New Roman" w:hAnsiTheme="majorHAnsi" w:cstheme="majorHAnsi"/>
          <w:lang w:val="ro-RO"/>
        </w:rPr>
        <w:t xml:space="preserve">când, </w:t>
      </w:r>
      <w:r w:rsidR="00273CB0">
        <w:rPr>
          <w:rFonts w:asciiTheme="majorHAnsi" w:eastAsia="Times New Roman" w:hAnsiTheme="majorHAnsi" w:cstheme="majorHAnsi"/>
          <w:lang w:val="ro-RO"/>
        </w:rPr>
        <w:t xml:space="preserve">ca urmare a identificării unor </w:t>
      </w:r>
      <w:r w:rsidR="00FC7F30">
        <w:rPr>
          <w:rFonts w:asciiTheme="majorHAnsi" w:eastAsia="Times New Roman" w:hAnsiTheme="majorHAnsi" w:cstheme="majorHAnsi"/>
          <w:lang w:val="ro-RO"/>
        </w:rPr>
        <w:t>neconcordanțe între declarațiile fiscale</w:t>
      </w:r>
      <w:r w:rsidR="00B32655">
        <w:rPr>
          <w:rFonts w:asciiTheme="majorHAnsi" w:eastAsia="Times New Roman" w:hAnsiTheme="majorHAnsi" w:cstheme="majorHAnsi"/>
          <w:lang w:val="ro-RO"/>
        </w:rPr>
        <w:t xml:space="preserve"> sau a lipsei </w:t>
      </w:r>
      <w:r w:rsidR="00FC7F30">
        <w:rPr>
          <w:rFonts w:asciiTheme="majorHAnsi" w:eastAsia="Times New Roman" w:hAnsiTheme="majorHAnsi" w:cstheme="majorHAnsi"/>
          <w:lang w:val="ro-RO"/>
        </w:rPr>
        <w:t>unor astfel de declarații</w:t>
      </w:r>
      <w:r w:rsidR="004447BD">
        <w:rPr>
          <w:rFonts w:asciiTheme="majorHAnsi" w:eastAsia="Times New Roman" w:hAnsiTheme="majorHAnsi" w:cstheme="majorHAnsi"/>
          <w:lang w:val="ro-RO"/>
        </w:rPr>
        <w:t xml:space="preserve">, sunt notificați să dea explicații). </w:t>
      </w:r>
      <w:r w:rsidR="002B1643" w:rsidRPr="003F7DBB">
        <w:rPr>
          <w:rFonts w:asciiTheme="majorHAnsi" w:eastAsia="Times New Roman" w:hAnsiTheme="majorHAnsi" w:cstheme="majorHAnsi"/>
          <w:lang w:val="ro-RO"/>
        </w:rPr>
        <w:t>În plus, deseori aceștia sunt obligați la plata unor sume suplimentare stabilite prin decizie de impunere, dar pe criterii discutabile. Astfel de practici au devenit posibile în urmă cu câțiva ani</w:t>
      </w:r>
      <w:r w:rsidR="00B32655">
        <w:rPr>
          <w:rFonts w:asciiTheme="majorHAnsi" w:eastAsia="Times New Roman" w:hAnsiTheme="majorHAnsi" w:cstheme="majorHAnsi"/>
          <w:lang w:val="ro-RO"/>
        </w:rPr>
        <w:t>,</w:t>
      </w:r>
      <w:r w:rsidR="002B1643" w:rsidRPr="003F7DBB">
        <w:rPr>
          <w:rFonts w:asciiTheme="majorHAnsi" w:eastAsia="Times New Roman" w:hAnsiTheme="majorHAnsi" w:cstheme="majorHAnsi"/>
          <w:lang w:val="ro-RO"/>
        </w:rPr>
        <w:t xml:space="preserve"> când, în urma unor modificări ale legislației fiscale, DGAF, o autoritate care până atunci nu avea atribuții de administrare, control și stabilire a creanțelor fiscale, a obținut dreptul de a emite decizii de impunere similare cu cele emise de ANAF în urma unei inspecții fiscale. </w:t>
      </w:r>
    </w:p>
    <w:p w14:paraId="6B11CE8D" w14:textId="0718B67F" w:rsidR="00361DBD" w:rsidRDefault="002B1643" w:rsidP="006245BE">
      <w:pPr>
        <w:shd w:val="clear" w:color="auto" w:fill="FFFFFF"/>
        <w:spacing w:after="80" w:line="264" w:lineRule="auto"/>
        <w:jc w:val="both"/>
        <w:rPr>
          <w:rFonts w:asciiTheme="majorHAnsi" w:hAnsiTheme="majorHAnsi" w:cstheme="majorHAnsi"/>
          <w:lang w:val="ro-RO"/>
        </w:rPr>
      </w:pPr>
      <w:bookmarkStart w:id="4" w:name="_Hlk131496512"/>
      <w:r w:rsidRPr="003F7DBB">
        <w:rPr>
          <w:rFonts w:asciiTheme="majorHAnsi" w:eastAsia="Times New Roman" w:hAnsiTheme="majorHAnsi" w:cstheme="majorHAnsi"/>
          <w:lang w:val="ro-RO"/>
        </w:rPr>
        <w:lastRenderedPageBreak/>
        <w:t xml:space="preserve">În aceste condiții s-au derulat, ulterior, numeroase controale, </w:t>
      </w:r>
      <w:r w:rsidRPr="003F7DBB">
        <w:rPr>
          <w:rFonts w:asciiTheme="majorHAnsi" w:hAnsiTheme="majorHAnsi" w:cstheme="majorHAnsi"/>
          <w:lang w:val="ro-RO"/>
        </w:rPr>
        <w:t>preponderent în rândul persoanelor fizice din categoria influencerilor, a comercianților activi pe platformele de social media etc</w:t>
      </w:r>
      <w:r w:rsidR="00B32655">
        <w:rPr>
          <w:rFonts w:asciiTheme="majorHAnsi" w:hAnsiTheme="majorHAnsi" w:cstheme="majorHAnsi"/>
          <w:lang w:val="ro-RO"/>
        </w:rPr>
        <w:t>.</w:t>
      </w:r>
      <w:r w:rsidRPr="003F7DBB">
        <w:rPr>
          <w:rFonts w:asciiTheme="majorHAnsi" w:hAnsiTheme="majorHAnsi" w:cstheme="majorHAnsi"/>
          <w:lang w:val="ro-RO"/>
        </w:rPr>
        <w:t xml:space="preserve">, în urma cărora DGAF a stabilit o serie de </w:t>
      </w:r>
      <w:r w:rsidR="00696C0F">
        <w:rPr>
          <w:rFonts w:asciiTheme="majorHAnsi" w:hAnsiTheme="majorHAnsi" w:cstheme="majorHAnsi"/>
          <w:lang w:val="ro-RO"/>
        </w:rPr>
        <w:t>obligații fiscale</w:t>
      </w:r>
      <w:r w:rsidRPr="003F7DBB">
        <w:rPr>
          <w:rFonts w:asciiTheme="majorHAnsi" w:hAnsiTheme="majorHAnsi" w:cstheme="majorHAnsi"/>
          <w:lang w:val="ro-RO"/>
        </w:rPr>
        <w:t xml:space="preserve"> suplimentare.</w:t>
      </w:r>
      <w:r w:rsidR="00361DBD">
        <w:rPr>
          <w:rFonts w:asciiTheme="majorHAnsi" w:hAnsiTheme="majorHAnsi" w:cstheme="majorHAnsi"/>
          <w:lang w:val="ro-RO"/>
        </w:rPr>
        <w:t xml:space="preserve"> </w:t>
      </w:r>
    </w:p>
    <w:bookmarkEnd w:id="4"/>
    <w:p w14:paraId="151531C9" w14:textId="596DABB1" w:rsidR="002B1643" w:rsidRPr="0054544C" w:rsidRDefault="002E08EE" w:rsidP="006245BE">
      <w:pPr>
        <w:shd w:val="clear" w:color="auto" w:fill="FFFFFF"/>
        <w:spacing w:after="80" w:line="264" w:lineRule="auto"/>
        <w:jc w:val="both"/>
        <w:rPr>
          <w:rFonts w:asciiTheme="majorHAnsi" w:hAnsiTheme="majorHAnsi" w:cstheme="majorHAnsi"/>
          <w:lang w:val="ro-RO"/>
        </w:rPr>
      </w:pPr>
      <w:r>
        <w:rPr>
          <w:rFonts w:asciiTheme="majorHAnsi" w:hAnsiTheme="majorHAnsi" w:cstheme="majorHAnsi"/>
          <w:lang w:val="ro-RO"/>
        </w:rPr>
        <w:t>Totodată, este important d</w:t>
      </w:r>
      <w:r w:rsidR="00361DBD">
        <w:rPr>
          <w:rFonts w:asciiTheme="majorHAnsi" w:hAnsiTheme="majorHAnsi" w:cstheme="majorHAnsi"/>
          <w:lang w:val="ro-RO"/>
        </w:rPr>
        <w:t>e menționat</w:t>
      </w:r>
      <w:r w:rsidR="002B1643" w:rsidRPr="003F7DBB">
        <w:rPr>
          <w:rFonts w:asciiTheme="majorHAnsi" w:hAnsiTheme="majorHAnsi" w:cstheme="majorHAnsi"/>
          <w:lang w:val="ro-RO"/>
        </w:rPr>
        <w:t xml:space="preserve"> că deciziile Direcției Antifraudă sunt emise „sub rezerva verificării ulterioare”, ceea ce înseamnă că persoana în cauză poate fi (și ar trebui să fie) ulterior supusă unei inspecții fiscale de către ANAF, care să confirme sau să infirme obligațiile stabilite de DGAF. Însă, până la acel moment incert (nu este clar dacă și când va surveni)</w:t>
      </w:r>
      <w:r w:rsidR="00F975B3">
        <w:rPr>
          <w:rFonts w:asciiTheme="majorHAnsi" w:hAnsiTheme="majorHAnsi" w:cstheme="majorHAnsi"/>
          <w:lang w:val="ro-RO"/>
        </w:rPr>
        <w:t>,</w:t>
      </w:r>
      <w:r w:rsidR="002B1643" w:rsidRPr="003F7DBB">
        <w:rPr>
          <w:rFonts w:asciiTheme="majorHAnsi" w:hAnsiTheme="majorHAnsi" w:cstheme="majorHAnsi"/>
          <w:lang w:val="ro-RO"/>
        </w:rPr>
        <w:t xml:space="preserve"> contribuabilul trebuie să plătească sumele impuse, indiferent dacă le contestă sau nu și, în plus, rămâne sub amenințarea perpetuă a unei inspecții fiscale viitoare.</w:t>
      </w:r>
      <w:r w:rsidR="00915699">
        <w:rPr>
          <w:rFonts w:asciiTheme="majorHAnsi" w:hAnsiTheme="majorHAnsi" w:cstheme="majorHAnsi"/>
          <w:lang w:val="ro-RO"/>
        </w:rPr>
        <w:t xml:space="preserve"> </w:t>
      </w:r>
      <w:bookmarkStart w:id="5" w:name="_Hlk131496538"/>
      <w:r w:rsidR="00351E4A">
        <w:rPr>
          <w:rFonts w:asciiTheme="majorHAnsi" w:hAnsiTheme="majorHAnsi" w:cstheme="majorHAnsi"/>
          <w:lang w:val="ro-RO"/>
        </w:rPr>
        <w:t>O</w:t>
      </w:r>
      <w:r w:rsidR="00915699">
        <w:rPr>
          <w:rFonts w:asciiTheme="majorHAnsi" w:hAnsiTheme="majorHAnsi" w:cstheme="majorHAnsi"/>
          <w:lang w:val="ro-RO"/>
        </w:rPr>
        <w:t xml:space="preserve">bligațiile fiscale astfel stabilite </w:t>
      </w:r>
      <w:r>
        <w:rPr>
          <w:rFonts w:asciiTheme="majorHAnsi" w:hAnsiTheme="majorHAnsi" w:cstheme="majorHAnsi"/>
          <w:lang w:val="ro-RO"/>
        </w:rPr>
        <w:t xml:space="preserve">pot genera </w:t>
      </w:r>
      <w:r w:rsidR="00351E4A">
        <w:rPr>
          <w:rFonts w:asciiTheme="majorHAnsi" w:hAnsiTheme="majorHAnsi" w:cstheme="majorHAnsi"/>
          <w:lang w:val="ro-RO"/>
        </w:rPr>
        <w:t xml:space="preserve">accesorii </w:t>
      </w:r>
      <w:r w:rsidR="00351E4A" w:rsidRPr="003F7DBB">
        <w:rPr>
          <w:rFonts w:asciiTheme="majorHAnsi" w:eastAsia="Times New Roman" w:hAnsiTheme="majorHAnsi" w:cstheme="majorHAnsi"/>
          <w:lang w:val="ro-RO"/>
        </w:rPr>
        <w:t>(dobânzi și penalități) care pot ajunge la 36,5% pe an</w:t>
      </w:r>
      <w:r w:rsidR="00351E4A">
        <w:rPr>
          <w:rFonts w:asciiTheme="majorHAnsi" w:hAnsiTheme="majorHAnsi" w:cstheme="majorHAnsi"/>
          <w:lang w:val="ro-RO"/>
        </w:rPr>
        <w:t xml:space="preserve">. </w:t>
      </w:r>
      <w:r w:rsidR="00F975B3">
        <w:rPr>
          <w:rFonts w:asciiTheme="majorHAnsi" w:hAnsiTheme="majorHAnsi" w:cstheme="majorHAnsi"/>
          <w:lang w:val="ro-RO"/>
        </w:rPr>
        <w:t>Nu în ultimul rând, p</w:t>
      </w:r>
      <w:r w:rsidR="004B3BB1">
        <w:rPr>
          <w:rFonts w:asciiTheme="majorHAnsi" w:hAnsiTheme="majorHAnsi" w:cstheme="majorHAnsi"/>
          <w:lang w:val="ro-RO"/>
        </w:rPr>
        <w:t>entru toate aceste sume (debit principal și accesorii)</w:t>
      </w:r>
      <w:r w:rsidR="00351E4A">
        <w:rPr>
          <w:rFonts w:asciiTheme="majorHAnsi" w:hAnsiTheme="majorHAnsi" w:cstheme="majorHAnsi"/>
          <w:lang w:val="ro-RO"/>
        </w:rPr>
        <w:t>,</w:t>
      </w:r>
      <w:r w:rsidR="002B1643" w:rsidRPr="003F7DBB">
        <w:rPr>
          <w:rFonts w:asciiTheme="majorHAnsi" w:hAnsiTheme="majorHAnsi" w:cstheme="majorHAnsi"/>
          <w:lang w:val="ro-RO"/>
        </w:rPr>
        <w:t xml:space="preserve"> contribuabilul intră</w:t>
      </w:r>
      <w:r w:rsidR="00F975B3">
        <w:rPr>
          <w:rFonts w:asciiTheme="majorHAnsi" w:hAnsiTheme="majorHAnsi" w:cstheme="majorHAnsi"/>
          <w:lang w:val="ro-RO"/>
        </w:rPr>
        <w:t>,</w:t>
      </w:r>
      <w:r w:rsidR="002B1643" w:rsidRPr="003F7DBB">
        <w:rPr>
          <w:rFonts w:asciiTheme="majorHAnsi" w:hAnsiTheme="majorHAnsi" w:cstheme="majorHAnsi"/>
          <w:lang w:val="ro-RO"/>
        </w:rPr>
        <w:t xml:space="preserve"> </w:t>
      </w:r>
      <w:r w:rsidR="00F975B3">
        <w:rPr>
          <w:rFonts w:asciiTheme="majorHAnsi" w:hAnsiTheme="majorHAnsi" w:cstheme="majorHAnsi"/>
          <w:lang w:val="ro-RO"/>
        </w:rPr>
        <w:t>î</w:t>
      </w:r>
      <w:r w:rsidR="00F975B3" w:rsidRPr="003F7DBB">
        <w:rPr>
          <w:rFonts w:asciiTheme="majorHAnsi" w:hAnsiTheme="majorHAnsi" w:cstheme="majorHAnsi"/>
          <w:lang w:val="ro-RO"/>
        </w:rPr>
        <w:t xml:space="preserve">n caz de neplată, </w:t>
      </w:r>
      <w:r w:rsidR="002B1643" w:rsidRPr="003F7DBB">
        <w:rPr>
          <w:rFonts w:asciiTheme="majorHAnsi" w:hAnsiTheme="majorHAnsi" w:cstheme="majorHAnsi"/>
          <w:lang w:val="ro-RO"/>
        </w:rPr>
        <w:t>în procedură de executare</w:t>
      </w:r>
      <w:r w:rsidR="00A525A7">
        <w:rPr>
          <w:rFonts w:asciiTheme="majorHAnsi" w:hAnsiTheme="majorHAnsi" w:cstheme="majorHAnsi"/>
          <w:lang w:val="ro-RO"/>
        </w:rPr>
        <w:t xml:space="preserve"> silită</w:t>
      </w:r>
      <w:r w:rsidR="002B1643" w:rsidRPr="003F7DBB">
        <w:rPr>
          <w:rFonts w:asciiTheme="majorHAnsi" w:hAnsiTheme="majorHAnsi" w:cstheme="majorHAnsi"/>
          <w:lang w:val="ro-RO"/>
        </w:rPr>
        <w:t xml:space="preserve"> </w:t>
      </w:r>
      <w:r w:rsidR="002B1643" w:rsidRPr="003F7DBB">
        <w:rPr>
          <w:rFonts w:asciiTheme="majorHAnsi" w:eastAsia="Times New Roman" w:hAnsiTheme="majorHAnsi" w:cstheme="majorHAnsi"/>
          <w:lang w:val="ro-RO"/>
        </w:rPr>
        <w:t>(poprire, sechestru</w:t>
      </w:r>
      <w:r w:rsidR="0054544C">
        <w:rPr>
          <w:rFonts w:asciiTheme="majorHAnsi" w:eastAsia="Times New Roman" w:hAnsiTheme="majorHAnsi" w:cstheme="majorHAnsi"/>
          <w:lang w:val="ro-RO"/>
        </w:rPr>
        <w:t xml:space="preserve"> etc.</w:t>
      </w:r>
      <w:r w:rsidR="002B1643" w:rsidRPr="003F7DBB">
        <w:rPr>
          <w:rFonts w:asciiTheme="majorHAnsi" w:eastAsia="Times New Roman" w:hAnsiTheme="majorHAnsi" w:cstheme="majorHAnsi"/>
          <w:lang w:val="ro-RO"/>
        </w:rPr>
        <w:t>)</w:t>
      </w:r>
      <w:r w:rsidR="00F975B3">
        <w:rPr>
          <w:rFonts w:asciiTheme="majorHAnsi" w:eastAsia="Times New Roman" w:hAnsiTheme="majorHAnsi" w:cstheme="majorHAnsi"/>
          <w:lang w:val="ro-RO"/>
        </w:rPr>
        <w:t>.</w:t>
      </w:r>
      <w:r w:rsidR="002B1643" w:rsidRPr="003F7DBB">
        <w:rPr>
          <w:rFonts w:asciiTheme="majorHAnsi" w:eastAsia="Times New Roman" w:hAnsiTheme="majorHAnsi" w:cstheme="majorHAnsi"/>
          <w:lang w:val="ro-RO"/>
        </w:rPr>
        <w:t xml:space="preserve"> </w:t>
      </w:r>
      <w:bookmarkEnd w:id="5"/>
    </w:p>
    <w:p w14:paraId="5B270DB4" w14:textId="77777777" w:rsidR="00B32655" w:rsidRDefault="00B32655" w:rsidP="006245BE">
      <w:pPr>
        <w:spacing w:after="80" w:line="264" w:lineRule="auto"/>
        <w:jc w:val="both"/>
        <w:rPr>
          <w:rFonts w:asciiTheme="majorHAnsi" w:eastAsia="Times New Roman" w:hAnsiTheme="majorHAnsi" w:cstheme="majorHAnsi"/>
          <w:b/>
          <w:bCs/>
          <w:lang w:val="ro-RO"/>
        </w:rPr>
      </w:pPr>
    </w:p>
    <w:p w14:paraId="3ECA0D24" w14:textId="4E7AE16E" w:rsidR="00667D70" w:rsidRDefault="006141EC" w:rsidP="006245BE">
      <w:pPr>
        <w:spacing w:after="80" w:line="264" w:lineRule="auto"/>
        <w:jc w:val="both"/>
        <w:rPr>
          <w:rFonts w:asciiTheme="majorHAnsi" w:eastAsia="Times New Roman" w:hAnsiTheme="majorHAnsi" w:cstheme="majorHAnsi"/>
          <w:b/>
          <w:bCs/>
          <w:lang w:val="ro-RO"/>
        </w:rPr>
      </w:pPr>
      <w:r>
        <w:rPr>
          <w:rFonts w:asciiTheme="majorHAnsi" w:eastAsia="Times New Roman" w:hAnsiTheme="majorHAnsi" w:cstheme="majorHAnsi"/>
          <w:b/>
          <w:bCs/>
          <w:lang w:val="ro-RO"/>
        </w:rPr>
        <w:t>Aspecte de interes pentru persoanele vizate</w:t>
      </w:r>
    </w:p>
    <w:p w14:paraId="76E3F609" w14:textId="4C60BECF" w:rsidR="004B6CC6" w:rsidRDefault="00932198" w:rsidP="006245BE">
      <w:pPr>
        <w:spacing w:after="80" w:line="264" w:lineRule="auto"/>
        <w:jc w:val="both"/>
        <w:rPr>
          <w:rFonts w:asciiTheme="majorHAnsi" w:eastAsia="Times New Roman" w:hAnsiTheme="majorHAnsi" w:cstheme="majorHAnsi"/>
          <w:lang w:val="ro-RO"/>
        </w:rPr>
      </w:pPr>
      <w:r w:rsidRPr="00AD62E6">
        <w:rPr>
          <w:rFonts w:asciiTheme="majorHAnsi" w:eastAsia="Times New Roman" w:hAnsiTheme="majorHAnsi" w:cstheme="majorHAnsi"/>
          <w:lang w:val="ro-RO"/>
        </w:rPr>
        <w:t xml:space="preserve">Așadar, </w:t>
      </w:r>
      <w:r>
        <w:rPr>
          <w:rFonts w:asciiTheme="majorHAnsi" w:eastAsia="Times New Roman" w:hAnsiTheme="majorHAnsi" w:cstheme="majorHAnsi"/>
          <w:lang w:val="ro-RO"/>
        </w:rPr>
        <w:t>peroanele fizice care vând produse online cu plata ramburs trebuie să ia în calcul probabilitatea de a fi contactate de reprezentanții DGAF pentru verific</w:t>
      </w:r>
      <w:r w:rsidR="00E72962">
        <w:rPr>
          <w:rFonts w:asciiTheme="majorHAnsi" w:eastAsia="Times New Roman" w:hAnsiTheme="majorHAnsi" w:cstheme="majorHAnsi"/>
          <w:lang w:val="ro-RO"/>
        </w:rPr>
        <w:t>are</w:t>
      </w:r>
      <w:r w:rsidR="00B32655">
        <w:rPr>
          <w:rFonts w:asciiTheme="majorHAnsi" w:eastAsia="Times New Roman" w:hAnsiTheme="majorHAnsi" w:cstheme="majorHAnsi"/>
          <w:lang w:val="ro-RO"/>
        </w:rPr>
        <w:t>a</w:t>
      </w:r>
      <w:r w:rsidR="00E72962">
        <w:rPr>
          <w:rFonts w:asciiTheme="majorHAnsi" w:eastAsia="Times New Roman" w:hAnsiTheme="majorHAnsi" w:cstheme="majorHAnsi"/>
          <w:lang w:val="ro-RO"/>
        </w:rPr>
        <w:t xml:space="preserve"> respectării prevederilor fiscale pentru </w:t>
      </w:r>
      <w:r>
        <w:rPr>
          <w:rFonts w:asciiTheme="majorHAnsi" w:eastAsia="Times New Roman" w:hAnsiTheme="majorHAnsi" w:cstheme="majorHAnsi"/>
          <w:lang w:val="ro-RO"/>
        </w:rPr>
        <w:t>venituril</w:t>
      </w:r>
      <w:r w:rsidR="00E72962">
        <w:rPr>
          <w:rFonts w:asciiTheme="majorHAnsi" w:eastAsia="Times New Roman" w:hAnsiTheme="majorHAnsi" w:cstheme="majorHAnsi"/>
          <w:lang w:val="ro-RO"/>
        </w:rPr>
        <w:t xml:space="preserve">e </w:t>
      </w:r>
      <w:r>
        <w:rPr>
          <w:rFonts w:asciiTheme="majorHAnsi" w:eastAsia="Times New Roman" w:hAnsiTheme="majorHAnsi" w:cstheme="majorHAnsi"/>
          <w:lang w:val="ro-RO"/>
        </w:rPr>
        <w:t xml:space="preserve">încasate. În cazul în care nu știu ce obligații le revin, pot contacta autoritățile pentru a încerca să obțină informații </w:t>
      </w:r>
      <w:r w:rsidR="004B6CC6">
        <w:rPr>
          <w:rFonts w:asciiTheme="majorHAnsi" w:eastAsia="Times New Roman" w:hAnsiTheme="majorHAnsi" w:cstheme="majorHAnsi"/>
          <w:lang w:val="ro-RO"/>
        </w:rPr>
        <w:t xml:space="preserve">în acest scop, sau cel puțin pentru a reuși să demonstreze buna-credință în cazul unui control. În plus, contribuabilii trebuie să se informeze cu privire la drepturile pe care le au și să acționeze în consecință. </w:t>
      </w:r>
    </w:p>
    <w:p w14:paraId="0C55182E" w14:textId="0277047D" w:rsidR="000840F2" w:rsidRPr="002527C9" w:rsidRDefault="004B6CC6" w:rsidP="006245BE">
      <w:pPr>
        <w:tabs>
          <w:tab w:val="clear" w:pos="567"/>
          <w:tab w:val="clear" w:pos="851"/>
          <w:tab w:val="clear" w:pos="1985"/>
        </w:tabs>
        <w:spacing w:after="80" w:line="264" w:lineRule="auto"/>
        <w:jc w:val="both"/>
        <w:rPr>
          <w:rFonts w:asciiTheme="majorHAnsi" w:eastAsia="Times New Roman" w:hAnsiTheme="majorHAnsi" w:cstheme="majorHAnsi"/>
          <w:lang w:val="ro-RO"/>
        </w:rPr>
      </w:pPr>
      <w:r w:rsidRPr="00AD62E6">
        <w:rPr>
          <w:rFonts w:asciiTheme="majorHAnsi" w:eastAsia="Times New Roman" w:hAnsiTheme="majorHAnsi" w:cstheme="majorHAnsi"/>
          <w:lang w:val="ro-RO"/>
        </w:rPr>
        <w:t>Din momentul în care primește o notificare de la autorit</w:t>
      </w:r>
      <w:r w:rsidRPr="00AD62E6">
        <w:rPr>
          <w:rFonts w:asciiTheme="majorHAnsi" w:eastAsia="Times New Roman" w:hAnsiTheme="majorHAnsi" w:cstheme="majorHAnsi" w:hint="eastAsia"/>
          <w:lang w:val="ro-RO"/>
        </w:rPr>
        <w:t>ă</w:t>
      </w:r>
      <w:r w:rsidRPr="00AD62E6">
        <w:rPr>
          <w:rFonts w:asciiTheme="majorHAnsi" w:eastAsia="Times New Roman" w:hAnsiTheme="majorHAnsi" w:cstheme="majorHAnsi"/>
          <w:lang w:val="ro-RO"/>
        </w:rPr>
        <w:t>ți prin care i se solicit</w:t>
      </w:r>
      <w:r w:rsidRPr="00AD62E6">
        <w:rPr>
          <w:rFonts w:asciiTheme="majorHAnsi" w:eastAsia="Times New Roman" w:hAnsiTheme="majorHAnsi" w:cstheme="majorHAnsi" w:hint="eastAsia"/>
          <w:lang w:val="ro-RO"/>
        </w:rPr>
        <w:t>ă</w:t>
      </w:r>
      <w:r w:rsidRPr="00AD62E6">
        <w:rPr>
          <w:rFonts w:asciiTheme="majorHAnsi" w:eastAsia="Times New Roman" w:hAnsiTheme="majorHAnsi" w:cstheme="majorHAnsi"/>
          <w:lang w:val="ro-RO"/>
        </w:rPr>
        <w:t xml:space="preserve"> documente și explicații referitoare la astfel de venituri, </w:t>
      </w:r>
      <w:r w:rsidR="000840F2">
        <w:rPr>
          <w:rFonts w:asciiTheme="majorHAnsi" w:eastAsia="Times New Roman" w:hAnsiTheme="majorHAnsi" w:cstheme="majorHAnsi"/>
          <w:lang w:val="ro-RO"/>
        </w:rPr>
        <w:t>persoana vizată</w:t>
      </w:r>
      <w:r w:rsidRPr="00AD62E6">
        <w:rPr>
          <w:rFonts w:asciiTheme="majorHAnsi" w:eastAsia="Times New Roman" w:hAnsiTheme="majorHAnsi" w:cstheme="majorHAnsi"/>
          <w:lang w:val="ro-RO"/>
        </w:rPr>
        <w:t xml:space="preserve"> are la dispoziție </w:t>
      </w:r>
      <w:r>
        <w:rPr>
          <w:rFonts w:asciiTheme="majorHAnsi" w:eastAsia="Times New Roman" w:hAnsiTheme="majorHAnsi" w:cstheme="majorHAnsi"/>
          <w:lang w:val="ro-RO"/>
        </w:rPr>
        <w:t>30 de zile să le transmită</w:t>
      </w:r>
      <w:r w:rsidR="00D96976">
        <w:rPr>
          <w:rFonts w:asciiTheme="majorHAnsi" w:eastAsia="Times New Roman" w:hAnsiTheme="majorHAnsi" w:cstheme="majorHAnsi"/>
          <w:lang w:val="ro-RO"/>
        </w:rPr>
        <w:t>, însă a</w:t>
      </w:r>
      <w:r w:rsidR="000840F2">
        <w:rPr>
          <w:rFonts w:asciiTheme="majorHAnsi" w:eastAsia="Times New Roman" w:hAnsiTheme="majorHAnsi" w:cstheme="majorHAnsi"/>
          <w:lang w:val="ro-RO"/>
        </w:rPr>
        <w:t xml:space="preserve">cest termen poate fi </w:t>
      </w:r>
      <w:r w:rsidRPr="00AD62E6">
        <w:rPr>
          <w:rFonts w:asciiTheme="majorHAnsi" w:hAnsiTheme="majorHAnsi" w:cstheme="majorHAnsi"/>
          <w:lang w:val="ro-RO"/>
        </w:rPr>
        <w:t>prelungi</w:t>
      </w:r>
      <w:r w:rsidR="000840F2">
        <w:rPr>
          <w:rFonts w:asciiTheme="majorHAnsi" w:hAnsiTheme="majorHAnsi" w:cstheme="majorHAnsi"/>
          <w:lang w:val="ro-RO"/>
        </w:rPr>
        <w:t xml:space="preserve">t de autorități </w:t>
      </w:r>
      <w:r w:rsidRPr="00AD62E6">
        <w:rPr>
          <w:rFonts w:asciiTheme="majorHAnsi" w:hAnsiTheme="majorHAnsi" w:cstheme="majorHAnsi"/>
          <w:lang w:val="ro-RO"/>
        </w:rPr>
        <w:t>la cererea motivat</w:t>
      </w:r>
      <w:r w:rsidRPr="00AD62E6">
        <w:rPr>
          <w:rFonts w:asciiTheme="majorHAnsi" w:hAnsiTheme="majorHAnsi" w:cstheme="majorHAnsi" w:hint="eastAsia"/>
          <w:lang w:val="ro-RO"/>
        </w:rPr>
        <w:t>ă</w:t>
      </w:r>
      <w:r w:rsidRPr="00AD62E6">
        <w:rPr>
          <w:rFonts w:asciiTheme="majorHAnsi" w:hAnsiTheme="majorHAnsi" w:cstheme="majorHAnsi"/>
          <w:lang w:val="ro-RO"/>
        </w:rPr>
        <w:t xml:space="preserve"> a</w:t>
      </w:r>
      <w:r w:rsidR="000840F2">
        <w:rPr>
          <w:rFonts w:asciiTheme="majorHAnsi" w:hAnsiTheme="majorHAnsi" w:cstheme="majorHAnsi"/>
          <w:lang w:val="ro-RO"/>
        </w:rPr>
        <w:t xml:space="preserve"> contribuabilului.</w:t>
      </w:r>
    </w:p>
    <w:p w14:paraId="585F09B8" w14:textId="04E2223F" w:rsidR="00BE3729" w:rsidRPr="006245BE" w:rsidRDefault="000840F2" w:rsidP="006245BE">
      <w:pPr>
        <w:spacing w:after="80" w:line="264" w:lineRule="auto"/>
        <w:jc w:val="both"/>
        <w:rPr>
          <w:rFonts w:asciiTheme="majorHAnsi" w:hAnsiTheme="majorHAnsi" w:cstheme="majorHAnsi"/>
          <w:lang w:val="ro-RO"/>
        </w:rPr>
      </w:pPr>
      <w:r>
        <w:rPr>
          <w:rFonts w:asciiTheme="majorHAnsi" w:hAnsiTheme="majorHAnsi" w:cstheme="majorHAnsi"/>
          <w:lang w:val="ro-RO"/>
        </w:rPr>
        <w:t xml:space="preserve">De asemenea, trebuie precizat că </w:t>
      </w:r>
      <w:r w:rsidR="00A94665">
        <w:rPr>
          <w:rFonts w:asciiTheme="majorHAnsi" w:hAnsiTheme="majorHAnsi" w:cstheme="majorHAnsi"/>
          <w:lang w:val="ro-RO"/>
        </w:rPr>
        <w:t>d</w:t>
      </w:r>
      <w:r w:rsidR="00BE3729">
        <w:rPr>
          <w:rFonts w:asciiTheme="majorHAnsi" w:hAnsiTheme="majorHAnsi" w:cstheme="majorHAnsi"/>
          <w:lang w:val="ro-RO"/>
        </w:rPr>
        <w:t xml:space="preserve">ecizia de impunere emisă fără audierea contribuabilului este nulă, cu excepția cazului în care </w:t>
      </w:r>
      <w:r>
        <w:rPr>
          <w:rFonts w:asciiTheme="majorHAnsi" w:hAnsiTheme="majorHAnsi" w:cstheme="majorHAnsi"/>
          <w:lang w:val="ro-RO"/>
        </w:rPr>
        <w:t xml:space="preserve">acesta din urmă </w:t>
      </w:r>
      <w:r w:rsidR="00BE3729">
        <w:rPr>
          <w:rFonts w:asciiTheme="majorHAnsi" w:hAnsiTheme="majorHAnsi" w:cstheme="majorHAnsi"/>
          <w:lang w:val="ro-RO"/>
        </w:rPr>
        <w:t>renunță la audiere</w:t>
      </w:r>
      <w:r>
        <w:rPr>
          <w:rFonts w:asciiTheme="majorHAnsi" w:hAnsiTheme="majorHAnsi" w:cstheme="majorHAnsi"/>
          <w:lang w:val="ro-RO"/>
        </w:rPr>
        <w:t xml:space="preserve">. Nu în ultimul rând, contribuabilul trebuie să știe că are dreptul să conteste pe cale administrativă </w:t>
      </w:r>
      <w:r w:rsidR="00A94665">
        <w:rPr>
          <w:rFonts w:asciiTheme="majorHAnsi" w:hAnsiTheme="majorHAnsi" w:cstheme="majorHAnsi"/>
          <w:lang w:val="ro-RO"/>
        </w:rPr>
        <w:t>d</w:t>
      </w:r>
      <w:r w:rsidR="00FF4879">
        <w:rPr>
          <w:rFonts w:asciiTheme="majorHAnsi" w:hAnsiTheme="majorHAnsi" w:cstheme="majorHAnsi"/>
          <w:lang w:val="ro-RO"/>
        </w:rPr>
        <w:t>ecizi</w:t>
      </w:r>
      <w:r>
        <w:rPr>
          <w:rFonts w:asciiTheme="majorHAnsi" w:hAnsiTheme="majorHAnsi" w:cstheme="majorHAnsi"/>
          <w:lang w:val="ro-RO"/>
        </w:rPr>
        <w:t>a</w:t>
      </w:r>
      <w:r w:rsidR="00FF4879">
        <w:rPr>
          <w:rFonts w:asciiTheme="majorHAnsi" w:hAnsiTheme="majorHAnsi" w:cstheme="majorHAnsi"/>
          <w:lang w:val="ro-RO"/>
        </w:rPr>
        <w:t xml:space="preserve"> de impunere, în termen de 45 de zile de la comunicarea acesteia</w:t>
      </w:r>
      <w:r w:rsidR="00A94665">
        <w:rPr>
          <w:rFonts w:asciiTheme="majorHAnsi" w:hAnsiTheme="majorHAnsi" w:cstheme="majorHAnsi"/>
          <w:lang w:val="ro-RO"/>
        </w:rPr>
        <w:t>.</w:t>
      </w:r>
    </w:p>
    <w:p w14:paraId="69F4B11D" w14:textId="72486C9A" w:rsidR="00866CB8" w:rsidRPr="003F7DBB" w:rsidRDefault="00866CB8" w:rsidP="006245BE">
      <w:pPr>
        <w:shd w:val="clear" w:color="auto" w:fill="FFFFFF"/>
        <w:spacing w:after="80" w:line="264" w:lineRule="auto"/>
        <w:jc w:val="both"/>
        <w:rPr>
          <w:rFonts w:asciiTheme="majorHAnsi" w:eastAsia="Times New Roman" w:hAnsiTheme="majorHAnsi" w:cstheme="majorHAnsi"/>
          <w:lang w:val="ro-RO"/>
        </w:rPr>
      </w:pPr>
      <w:r w:rsidRPr="003F7DBB">
        <w:rPr>
          <w:rFonts w:asciiTheme="majorHAnsi" w:eastAsia="Times New Roman" w:hAnsiTheme="majorHAnsi" w:cstheme="majorHAnsi"/>
          <w:lang w:val="ro-RO"/>
        </w:rPr>
        <w:t xml:space="preserve">În concluzie, persoanele fizice care derulează operațiuni comerciale online și care și-au respectat obligațiile fiscale aferente (sau </w:t>
      </w:r>
      <w:r w:rsidR="000840F2">
        <w:rPr>
          <w:rFonts w:asciiTheme="majorHAnsi" w:eastAsia="Times New Roman" w:hAnsiTheme="majorHAnsi" w:cstheme="majorHAnsi"/>
          <w:lang w:val="ro-RO"/>
        </w:rPr>
        <w:t xml:space="preserve">consideră că </w:t>
      </w:r>
      <w:r w:rsidRPr="003F7DBB">
        <w:rPr>
          <w:rFonts w:asciiTheme="majorHAnsi" w:eastAsia="Times New Roman" w:hAnsiTheme="majorHAnsi" w:cstheme="majorHAnsi"/>
          <w:lang w:val="ro-RO"/>
        </w:rPr>
        <w:t xml:space="preserve">nu intră în sfera de aplicare a impozitării) trebuie să fie pregătite cu documentele </w:t>
      </w:r>
      <w:r w:rsidR="000840F2">
        <w:rPr>
          <w:rFonts w:asciiTheme="majorHAnsi" w:eastAsia="Times New Roman" w:hAnsiTheme="majorHAnsi" w:cstheme="majorHAnsi"/>
          <w:lang w:val="ro-RO"/>
        </w:rPr>
        <w:t>ș</w:t>
      </w:r>
      <w:r w:rsidRPr="003F7DBB">
        <w:rPr>
          <w:rFonts w:asciiTheme="majorHAnsi" w:eastAsia="Times New Roman" w:hAnsiTheme="majorHAnsi" w:cstheme="majorHAnsi"/>
          <w:lang w:val="ro-RO"/>
        </w:rPr>
        <w:t xml:space="preserve">i explicațiile necesare, astfel încât să nu riște o decizie de impunere emisă în grabă, cu consecințe financiare importante. Pe de altă parte, este necesară și o revizuire a legislației, astfel încât emiterea unei decizii de impunere să aibă la bază o procedură clară, unitară, fără să lase loc la interpretări cu privire la obiectivitatea emitentului. </w:t>
      </w:r>
    </w:p>
    <w:p w14:paraId="5E17E284" w14:textId="77777777" w:rsidR="00866CB8" w:rsidRPr="002527C9" w:rsidRDefault="00866CB8" w:rsidP="006245BE">
      <w:pPr>
        <w:tabs>
          <w:tab w:val="clear" w:pos="567"/>
          <w:tab w:val="clear" w:pos="851"/>
          <w:tab w:val="clear" w:pos="1985"/>
        </w:tabs>
        <w:spacing w:after="80" w:line="264" w:lineRule="auto"/>
        <w:jc w:val="both"/>
        <w:rPr>
          <w:rFonts w:asciiTheme="majorHAnsi" w:hAnsiTheme="majorHAnsi" w:cstheme="majorHAnsi"/>
          <w:lang w:val="ro-RO"/>
        </w:rPr>
      </w:pPr>
    </w:p>
    <w:sectPr w:rsidR="00866CB8" w:rsidRPr="002527C9" w:rsidSect="007C7B0C">
      <w:headerReference w:type="default" r:id="rId10"/>
      <w:headerReference w:type="first" r:id="rId11"/>
      <w:footerReference w:type="first" r:id="rId12"/>
      <w:pgSz w:w="11901" w:h="16840" w:code="9"/>
      <w:pgMar w:top="1440" w:right="1134" w:bottom="454" w:left="1418" w:header="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C877A" w14:textId="77777777" w:rsidR="00D1215E" w:rsidRDefault="00D1215E">
      <w:pPr>
        <w:spacing w:line="240" w:lineRule="auto"/>
      </w:pPr>
      <w:r>
        <w:separator/>
      </w:r>
    </w:p>
  </w:endnote>
  <w:endnote w:type="continuationSeparator" w:id="0">
    <w:p w14:paraId="12CAD974" w14:textId="77777777" w:rsidR="00D1215E" w:rsidRDefault="00D12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4D"/>
    <w:family w:val="auto"/>
    <w:notTrueType/>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725A" w14:textId="77777777" w:rsidR="001615F5" w:rsidRPr="001615F5" w:rsidRDefault="00000000"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502A9" w14:textId="77777777" w:rsidR="00D1215E" w:rsidRDefault="00D1215E">
      <w:pPr>
        <w:spacing w:line="240" w:lineRule="auto"/>
      </w:pPr>
      <w:r>
        <w:separator/>
      </w:r>
    </w:p>
  </w:footnote>
  <w:footnote w:type="continuationSeparator" w:id="0">
    <w:p w14:paraId="6BAB9E6B" w14:textId="77777777" w:rsidR="00D1215E" w:rsidRDefault="00D121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A1A63" w14:textId="77777777" w:rsidR="003A0D61" w:rsidRDefault="00097D10" w:rsidP="005443B3">
    <w:pPr>
      <w:pStyle w:val="Legalentity"/>
      <w:spacing w:after="140" w:line="240" w:lineRule="auto"/>
      <w:rPr>
        <w:sz w:val="18"/>
      </w:rPr>
    </w:pPr>
    <w:r>
      <w:rPr>
        <w:noProof/>
        <w:lang w:val="en-US" w:eastAsia="en-US"/>
      </w:rPr>
      <w:drawing>
        <wp:anchor distT="0" distB="0" distL="114300" distR="114300" simplePos="0" relativeHeight="251659264" behindDoc="0" locked="0" layoutInCell="1" allowOverlap="1" wp14:anchorId="591FE40E" wp14:editId="2231B994">
          <wp:simplePos x="0" y="0"/>
          <wp:positionH relativeFrom="column">
            <wp:posOffset>0</wp:posOffset>
          </wp:positionH>
          <wp:positionV relativeFrom="paragraph">
            <wp:posOffset>368300</wp:posOffset>
          </wp:positionV>
          <wp:extent cx="1630680" cy="304800"/>
          <wp:effectExtent l="0" t="0" r="7620" b="0"/>
          <wp:wrapNone/>
          <wp:docPr id="34" name="Picture 34"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AB54" w14:textId="0E145B61" w:rsidR="006A0423" w:rsidRDefault="007E3428" w:rsidP="003023E6">
    <w:pPr>
      <w:pStyle w:val="Legalentity"/>
      <w:spacing w:after="140" w:line="240" w:lineRule="auto"/>
      <w:rPr>
        <w:rFonts w:ascii="FrutigerNextPro-Light" w:hAnsi="FrutigerNextPro-Light"/>
        <w:color w:val="002776"/>
      </w:rPr>
    </w:pPr>
    <w:r>
      <w:rPr>
        <w:noProof/>
        <w:lang w:val="en-US" w:eastAsia="en-US"/>
      </w:rPr>
      <w:drawing>
        <wp:anchor distT="0" distB="0" distL="114300" distR="114300" simplePos="0" relativeHeight="251661312" behindDoc="1" locked="0" layoutInCell="1" allowOverlap="1" wp14:anchorId="4CE1D5FD" wp14:editId="12626FE4">
          <wp:simplePos x="0" y="0"/>
          <wp:positionH relativeFrom="column">
            <wp:posOffset>-312420</wp:posOffset>
          </wp:positionH>
          <wp:positionV relativeFrom="paragraph">
            <wp:posOffset>33020</wp:posOffset>
          </wp:positionV>
          <wp:extent cx="2216150" cy="901700"/>
          <wp:effectExtent l="0" t="0" r="0" b="0"/>
          <wp:wrapNone/>
          <wp:docPr id="35"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775E0" w14:textId="63109441" w:rsidR="006A0423" w:rsidRDefault="00000000" w:rsidP="003023E6">
    <w:pPr>
      <w:pStyle w:val="Legalentity"/>
      <w:spacing w:after="140" w:line="240" w:lineRule="auto"/>
      <w:rPr>
        <w:rFonts w:ascii="FrutigerNextPro-Light" w:hAnsi="FrutigerNextPro-Light"/>
        <w:color w:val="002776"/>
      </w:rPr>
    </w:pPr>
  </w:p>
  <w:p w14:paraId="5B1213B3" w14:textId="77777777" w:rsidR="006A0423" w:rsidRDefault="00000000" w:rsidP="003023E6">
    <w:pPr>
      <w:pStyle w:val="Legalentity"/>
      <w:spacing w:after="140" w:line="240" w:lineRule="auto"/>
      <w:rPr>
        <w:rFonts w:ascii="FrutigerNextPro-Light" w:hAnsi="FrutigerNextPro-Light"/>
        <w:color w:val="002776"/>
      </w:rPr>
    </w:pPr>
  </w:p>
  <w:p w14:paraId="5F8AA7A5" w14:textId="77777777" w:rsidR="006A0423" w:rsidRDefault="00000000" w:rsidP="003023E6">
    <w:pPr>
      <w:pStyle w:val="Legalentity"/>
      <w:spacing w:after="140" w:line="240" w:lineRule="auto"/>
      <w:rPr>
        <w:rFonts w:ascii="FrutigerNextPro-Light" w:hAnsi="FrutigerNextPro-Light"/>
        <w:color w:val="002776"/>
      </w:rPr>
    </w:pPr>
  </w:p>
  <w:p w14:paraId="654E5B2D" w14:textId="77777777" w:rsidR="00AF6CE1" w:rsidRPr="00F037A0" w:rsidRDefault="00000000" w:rsidP="003023E6">
    <w:pPr>
      <w:pStyle w:val="Legalentity"/>
      <w:spacing w:after="140" w:line="240" w:lineRule="auto"/>
      <w:rPr>
        <w:rFonts w:ascii="FrutigerNextPro-Light" w:hAnsi="FrutigerNextPro-Light"/>
        <w:color w:val="002776"/>
      </w:rPr>
    </w:pPr>
  </w:p>
  <w:p w14:paraId="0A0CBF51" w14:textId="3BF8E9A0" w:rsidR="005443B3" w:rsidRPr="001615F5" w:rsidRDefault="00000000">
    <w:pPr>
      <w:pStyle w:val="Header"/>
      <w:rPr>
        <w:sz w:val="11"/>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17C2"/>
    <w:multiLevelType w:val="multilevel"/>
    <w:tmpl w:val="506A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355887"/>
    <w:multiLevelType w:val="hybridMultilevel"/>
    <w:tmpl w:val="42645FC8"/>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00081"/>
    <w:multiLevelType w:val="hybridMultilevel"/>
    <w:tmpl w:val="550AE578"/>
    <w:lvl w:ilvl="0" w:tplc="6DB29E5A">
      <w:start w:val="1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19550348">
    <w:abstractNumId w:val="0"/>
  </w:num>
  <w:num w:numId="2" w16cid:durableId="1672444533">
    <w:abstractNumId w:val="1"/>
  </w:num>
  <w:num w:numId="3" w16cid:durableId="16724165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C5"/>
    <w:rsid w:val="0000113C"/>
    <w:rsid w:val="000265DD"/>
    <w:rsid w:val="00036DB8"/>
    <w:rsid w:val="00050AC2"/>
    <w:rsid w:val="00081904"/>
    <w:rsid w:val="000840F2"/>
    <w:rsid w:val="00087CFB"/>
    <w:rsid w:val="000956D2"/>
    <w:rsid w:val="00096AA9"/>
    <w:rsid w:val="00097D10"/>
    <w:rsid w:val="000A5E84"/>
    <w:rsid w:val="000A6B4D"/>
    <w:rsid w:val="000E42C8"/>
    <w:rsid w:val="000E7064"/>
    <w:rsid w:val="000E7379"/>
    <w:rsid w:val="000F04D1"/>
    <w:rsid w:val="00136889"/>
    <w:rsid w:val="00151F9D"/>
    <w:rsid w:val="00161BF6"/>
    <w:rsid w:val="001858CB"/>
    <w:rsid w:val="00196BA3"/>
    <w:rsid w:val="001A029F"/>
    <w:rsid w:val="001A7C7A"/>
    <w:rsid w:val="001B2E2A"/>
    <w:rsid w:val="001C3A84"/>
    <w:rsid w:val="0020364C"/>
    <w:rsid w:val="00247FF4"/>
    <w:rsid w:val="00250EF0"/>
    <w:rsid w:val="002527C9"/>
    <w:rsid w:val="00252C95"/>
    <w:rsid w:val="00255CB6"/>
    <w:rsid w:val="00260536"/>
    <w:rsid w:val="00273CB0"/>
    <w:rsid w:val="002761DA"/>
    <w:rsid w:val="00285DBA"/>
    <w:rsid w:val="002B1643"/>
    <w:rsid w:val="002B7E46"/>
    <w:rsid w:val="002C682A"/>
    <w:rsid w:val="002E08EE"/>
    <w:rsid w:val="00305E71"/>
    <w:rsid w:val="003101E0"/>
    <w:rsid w:val="0033451F"/>
    <w:rsid w:val="00337DA9"/>
    <w:rsid w:val="00351E4A"/>
    <w:rsid w:val="0035526C"/>
    <w:rsid w:val="00361DBD"/>
    <w:rsid w:val="00383F7B"/>
    <w:rsid w:val="003A1868"/>
    <w:rsid w:val="003F43EA"/>
    <w:rsid w:val="003F53F5"/>
    <w:rsid w:val="003F7DBB"/>
    <w:rsid w:val="00426453"/>
    <w:rsid w:val="004272A3"/>
    <w:rsid w:val="004273D2"/>
    <w:rsid w:val="004440E3"/>
    <w:rsid w:val="004447BD"/>
    <w:rsid w:val="00444B57"/>
    <w:rsid w:val="004561CD"/>
    <w:rsid w:val="00466EE7"/>
    <w:rsid w:val="004A4CC4"/>
    <w:rsid w:val="004A4FF7"/>
    <w:rsid w:val="004B3BB1"/>
    <w:rsid w:val="004B6CC6"/>
    <w:rsid w:val="004C745C"/>
    <w:rsid w:val="004E707C"/>
    <w:rsid w:val="004F4E65"/>
    <w:rsid w:val="004F5E43"/>
    <w:rsid w:val="0050245D"/>
    <w:rsid w:val="00503146"/>
    <w:rsid w:val="00520C02"/>
    <w:rsid w:val="005375E0"/>
    <w:rsid w:val="0054544C"/>
    <w:rsid w:val="00585FBF"/>
    <w:rsid w:val="00587919"/>
    <w:rsid w:val="00590995"/>
    <w:rsid w:val="00591B00"/>
    <w:rsid w:val="005B35D3"/>
    <w:rsid w:val="005B5EDA"/>
    <w:rsid w:val="006074F9"/>
    <w:rsid w:val="006141EC"/>
    <w:rsid w:val="006245BE"/>
    <w:rsid w:val="006324BF"/>
    <w:rsid w:val="0065698D"/>
    <w:rsid w:val="00667D70"/>
    <w:rsid w:val="00696C0F"/>
    <w:rsid w:val="006B0286"/>
    <w:rsid w:val="006B0E64"/>
    <w:rsid w:val="006B4CEC"/>
    <w:rsid w:val="006E7C31"/>
    <w:rsid w:val="006F55D6"/>
    <w:rsid w:val="00737766"/>
    <w:rsid w:val="00745C38"/>
    <w:rsid w:val="0075242F"/>
    <w:rsid w:val="00754883"/>
    <w:rsid w:val="00760979"/>
    <w:rsid w:val="007712D5"/>
    <w:rsid w:val="00792AD7"/>
    <w:rsid w:val="00797307"/>
    <w:rsid w:val="007B05CC"/>
    <w:rsid w:val="007C7440"/>
    <w:rsid w:val="007C7B0C"/>
    <w:rsid w:val="007E3428"/>
    <w:rsid w:val="007F4CFF"/>
    <w:rsid w:val="008009A5"/>
    <w:rsid w:val="00820C24"/>
    <w:rsid w:val="00821602"/>
    <w:rsid w:val="00863BAF"/>
    <w:rsid w:val="00866CB8"/>
    <w:rsid w:val="00876E1B"/>
    <w:rsid w:val="00880FD8"/>
    <w:rsid w:val="008873BB"/>
    <w:rsid w:val="008E4C43"/>
    <w:rsid w:val="008F1C0F"/>
    <w:rsid w:val="009058CB"/>
    <w:rsid w:val="00915699"/>
    <w:rsid w:val="00920A3F"/>
    <w:rsid w:val="00927D1F"/>
    <w:rsid w:val="00932198"/>
    <w:rsid w:val="00950790"/>
    <w:rsid w:val="00963BD8"/>
    <w:rsid w:val="009775E0"/>
    <w:rsid w:val="009927A7"/>
    <w:rsid w:val="009A4E5D"/>
    <w:rsid w:val="009A73C5"/>
    <w:rsid w:val="009C1650"/>
    <w:rsid w:val="009E2BA5"/>
    <w:rsid w:val="009F1F8C"/>
    <w:rsid w:val="00A10B8A"/>
    <w:rsid w:val="00A16522"/>
    <w:rsid w:val="00A525A7"/>
    <w:rsid w:val="00A61CD4"/>
    <w:rsid w:val="00A64DEB"/>
    <w:rsid w:val="00A70F1E"/>
    <w:rsid w:val="00A7604F"/>
    <w:rsid w:val="00A86090"/>
    <w:rsid w:val="00A91B32"/>
    <w:rsid w:val="00A92BDD"/>
    <w:rsid w:val="00A934CF"/>
    <w:rsid w:val="00A94665"/>
    <w:rsid w:val="00AC6705"/>
    <w:rsid w:val="00AD373C"/>
    <w:rsid w:val="00AD62E6"/>
    <w:rsid w:val="00AE3751"/>
    <w:rsid w:val="00AF73E9"/>
    <w:rsid w:val="00B03344"/>
    <w:rsid w:val="00B11463"/>
    <w:rsid w:val="00B32655"/>
    <w:rsid w:val="00B52BA8"/>
    <w:rsid w:val="00B6500D"/>
    <w:rsid w:val="00B71110"/>
    <w:rsid w:val="00B814E6"/>
    <w:rsid w:val="00B9016B"/>
    <w:rsid w:val="00BA367C"/>
    <w:rsid w:val="00BD214F"/>
    <w:rsid w:val="00BE3729"/>
    <w:rsid w:val="00BE5BAE"/>
    <w:rsid w:val="00C06F10"/>
    <w:rsid w:val="00C161E7"/>
    <w:rsid w:val="00C46F79"/>
    <w:rsid w:val="00CB7A02"/>
    <w:rsid w:val="00CB7B15"/>
    <w:rsid w:val="00CE2302"/>
    <w:rsid w:val="00CE5149"/>
    <w:rsid w:val="00CF2A2C"/>
    <w:rsid w:val="00D00704"/>
    <w:rsid w:val="00D1215E"/>
    <w:rsid w:val="00D356C1"/>
    <w:rsid w:val="00D6477F"/>
    <w:rsid w:val="00D664AA"/>
    <w:rsid w:val="00D84BCE"/>
    <w:rsid w:val="00D96976"/>
    <w:rsid w:val="00DB3E2C"/>
    <w:rsid w:val="00DC3042"/>
    <w:rsid w:val="00DD10AE"/>
    <w:rsid w:val="00DE51E1"/>
    <w:rsid w:val="00DF0D21"/>
    <w:rsid w:val="00E04CDF"/>
    <w:rsid w:val="00E335FE"/>
    <w:rsid w:val="00E60EC6"/>
    <w:rsid w:val="00E67E6E"/>
    <w:rsid w:val="00E706EB"/>
    <w:rsid w:val="00E72962"/>
    <w:rsid w:val="00EC2381"/>
    <w:rsid w:val="00ED344E"/>
    <w:rsid w:val="00EF228F"/>
    <w:rsid w:val="00EF5235"/>
    <w:rsid w:val="00F10980"/>
    <w:rsid w:val="00F12DA5"/>
    <w:rsid w:val="00F6192A"/>
    <w:rsid w:val="00F975B3"/>
    <w:rsid w:val="00FB54FC"/>
    <w:rsid w:val="00FC7F30"/>
    <w:rsid w:val="00FD3DBD"/>
    <w:rsid w:val="00FF25A7"/>
    <w:rsid w:val="00FF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78955"/>
  <w15:chartTrackingRefBased/>
  <w15:docId w15:val="{83D3E8C0-DDC1-4A3A-936E-358B4587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3C5"/>
    <w:pPr>
      <w:tabs>
        <w:tab w:val="left" w:pos="284"/>
        <w:tab w:val="left" w:pos="567"/>
        <w:tab w:val="left" w:pos="851"/>
        <w:tab w:val="left" w:pos="1985"/>
        <w:tab w:val="left" w:pos="3119"/>
        <w:tab w:val="left" w:pos="4253"/>
        <w:tab w:val="right" w:pos="7655"/>
      </w:tabs>
      <w:spacing w:after="0" w:line="280" w:lineRule="exact"/>
    </w:pPr>
    <w:rPr>
      <w:rFonts w:ascii="Helvetica 45 Light" w:eastAsia="Times" w:hAnsi="Helvetica 45 Light"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3C5"/>
    <w:pPr>
      <w:tabs>
        <w:tab w:val="clear" w:pos="284"/>
        <w:tab w:val="clear" w:pos="567"/>
        <w:tab w:val="clear" w:pos="851"/>
        <w:tab w:val="clear" w:pos="1985"/>
        <w:tab w:val="clear" w:pos="3119"/>
        <w:tab w:val="clear" w:pos="4253"/>
        <w:tab w:val="clear" w:pos="7655"/>
      </w:tabs>
      <w:spacing w:before="100" w:beforeAutospacing="1" w:after="100" w:afterAutospacing="1" w:line="240" w:lineRule="auto"/>
    </w:pPr>
    <w:rPr>
      <w:rFonts w:ascii="Times New Roman" w:eastAsia="Times New Roman" w:hAnsi="Times New Roman"/>
      <w:sz w:val="24"/>
      <w:szCs w:val="24"/>
      <w:lang w:val="en-US" w:eastAsia="en-US"/>
    </w:rPr>
  </w:style>
  <w:style w:type="character" w:styleId="Hyperlink">
    <w:name w:val="Hyperlink"/>
    <w:basedOn w:val="DefaultParagraphFont"/>
    <w:uiPriority w:val="99"/>
    <w:unhideWhenUsed/>
    <w:rsid w:val="009A73C5"/>
    <w:rPr>
      <w:color w:val="0000FF"/>
      <w:u w:val="single"/>
    </w:rPr>
  </w:style>
  <w:style w:type="paragraph" w:styleId="Footer">
    <w:name w:val="footer"/>
    <w:basedOn w:val="Normal"/>
    <w:link w:val="FooterChar"/>
    <w:semiHidden/>
    <w:rsid w:val="009A73C5"/>
    <w:pPr>
      <w:tabs>
        <w:tab w:val="clear" w:pos="284"/>
        <w:tab w:val="clear" w:pos="567"/>
        <w:tab w:val="clear" w:pos="851"/>
        <w:tab w:val="clear" w:pos="7655"/>
      </w:tabs>
      <w:spacing w:line="160" w:lineRule="exact"/>
    </w:pPr>
    <w:rPr>
      <w:sz w:val="12"/>
    </w:rPr>
  </w:style>
  <w:style w:type="character" w:customStyle="1" w:styleId="FooterChar">
    <w:name w:val="Footer Char"/>
    <w:basedOn w:val="DefaultParagraphFont"/>
    <w:link w:val="Footer"/>
    <w:semiHidden/>
    <w:rsid w:val="009A73C5"/>
    <w:rPr>
      <w:rFonts w:ascii="Helvetica 45 Light" w:eastAsia="Times" w:hAnsi="Helvetica 45 Light" w:cs="Times New Roman"/>
      <w:sz w:val="12"/>
      <w:szCs w:val="20"/>
      <w:lang w:val="en-GB" w:eastAsia="en-GB"/>
    </w:rPr>
  </w:style>
  <w:style w:type="paragraph" w:styleId="Header">
    <w:name w:val="header"/>
    <w:basedOn w:val="Normal"/>
    <w:link w:val="HeaderChar"/>
    <w:semiHidden/>
    <w:rsid w:val="009A73C5"/>
    <w:pPr>
      <w:tabs>
        <w:tab w:val="clear" w:pos="284"/>
        <w:tab w:val="clear" w:pos="567"/>
        <w:tab w:val="clear" w:pos="851"/>
        <w:tab w:val="clear" w:pos="1985"/>
        <w:tab w:val="clear" w:pos="3119"/>
        <w:tab w:val="clear" w:pos="4253"/>
        <w:tab w:val="clear" w:pos="7655"/>
        <w:tab w:val="center" w:pos="4320"/>
        <w:tab w:val="right" w:pos="8640"/>
      </w:tabs>
    </w:pPr>
  </w:style>
  <w:style w:type="character" w:customStyle="1" w:styleId="HeaderChar">
    <w:name w:val="Header Char"/>
    <w:basedOn w:val="DefaultParagraphFont"/>
    <w:link w:val="Header"/>
    <w:semiHidden/>
    <w:rsid w:val="009A73C5"/>
    <w:rPr>
      <w:rFonts w:ascii="Helvetica 45 Light" w:eastAsia="Times" w:hAnsi="Helvetica 45 Light" w:cs="Times New Roman"/>
      <w:sz w:val="20"/>
      <w:szCs w:val="20"/>
      <w:lang w:val="en-GB" w:eastAsia="en-GB"/>
    </w:rPr>
  </w:style>
  <w:style w:type="paragraph" w:customStyle="1" w:styleId="Legalentity">
    <w:name w:val="Legal entity"/>
    <w:basedOn w:val="Normal"/>
    <w:rsid w:val="009A73C5"/>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after="90" w:line="180" w:lineRule="atLeast"/>
      <w:textAlignment w:val="center"/>
    </w:pPr>
    <w:rPr>
      <w:rFonts w:ascii="ArialMT" w:eastAsia="Times New Roman" w:hAnsi="ArialMT"/>
      <w:color w:val="000000"/>
      <w:sz w:val="15"/>
    </w:rPr>
  </w:style>
  <w:style w:type="character" w:styleId="Strong">
    <w:name w:val="Strong"/>
    <w:basedOn w:val="DefaultParagraphFont"/>
    <w:uiPriority w:val="22"/>
    <w:qFormat/>
    <w:rsid w:val="009A73C5"/>
    <w:rPr>
      <w:b/>
      <w:bCs/>
    </w:rPr>
  </w:style>
  <w:style w:type="character" w:styleId="CommentReference">
    <w:name w:val="annotation reference"/>
    <w:basedOn w:val="DefaultParagraphFont"/>
    <w:uiPriority w:val="99"/>
    <w:semiHidden/>
    <w:unhideWhenUsed/>
    <w:rsid w:val="00FD3DBD"/>
    <w:rPr>
      <w:sz w:val="16"/>
      <w:szCs w:val="16"/>
    </w:rPr>
  </w:style>
  <w:style w:type="paragraph" w:styleId="CommentText">
    <w:name w:val="annotation text"/>
    <w:basedOn w:val="Normal"/>
    <w:link w:val="CommentTextChar"/>
    <w:uiPriority w:val="99"/>
    <w:unhideWhenUsed/>
    <w:rsid w:val="00FD3DBD"/>
    <w:pPr>
      <w:spacing w:line="240" w:lineRule="auto"/>
    </w:pPr>
  </w:style>
  <w:style w:type="character" w:customStyle="1" w:styleId="CommentTextChar">
    <w:name w:val="Comment Text Char"/>
    <w:basedOn w:val="DefaultParagraphFont"/>
    <w:link w:val="CommentText"/>
    <w:uiPriority w:val="99"/>
    <w:rsid w:val="00FD3DBD"/>
    <w:rPr>
      <w:rFonts w:ascii="Helvetica 45 Light" w:eastAsia="Times" w:hAnsi="Helvetica 45 Light"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D3DBD"/>
    <w:rPr>
      <w:b/>
      <w:bCs/>
    </w:rPr>
  </w:style>
  <w:style w:type="character" w:customStyle="1" w:styleId="CommentSubjectChar">
    <w:name w:val="Comment Subject Char"/>
    <w:basedOn w:val="CommentTextChar"/>
    <w:link w:val="CommentSubject"/>
    <w:uiPriority w:val="99"/>
    <w:semiHidden/>
    <w:rsid w:val="00FD3DBD"/>
    <w:rPr>
      <w:rFonts w:ascii="Helvetica 45 Light" w:eastAsia="Times" w:hAnsi="Helvetica 45 Light" w:cs="Times New Roman"/>
      <w:b/>
      <w:bCs/>
      <w:sz w:val="20"/>
      <w:szCs w:val="20"/>
      <w:lang w:val="en-GB" w:eastAsia="en-GB"/>
    </w:rPr>
  </w:style>
  <w:style w:type="paragraph" w:styleId="BalloonText">
    <w:name w:val="Balloon Text"/>
    <w:basedOn w:val="Normal"/>
    <w:link w:val="BalloonTextChar"/>
    <w:uiPriority w:val="99"/>
    <w:semiHidden/>
    <w:unhideWhenUsed/>
    <w:rsid w:val="00FD3D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DBD"/>
    <w:rPr>
      <w:rFonts w:ascii="Segoe UI" w:eastAsia="Times" w:hAnsi="Segoe UI" w:cs="Segoe UI"/>
      <w:sz w:val="18"/>
      <w:szCs w:val="18"/>
      <w:lang w:val="en-GB" w:eastAsia="en-GB"/>
    </w:rPr>
  </w:style>
  <w:style w:type="character" w:styleId="FollowedHyperlink">
    <w:name w:val="FollowedHyperlink"/>
    <w:basedOn w:val="DefaultParagraphFont"/>
    <w:uiPriority w:val="99"/>
    <w:semiHidden/>
    <w:unhideWhenUsed/>
    <w:rsid w:val="00E04CDF"/>
    <w:rPr>
      <w:color w:val="954F72" w:themeColor="followedHyperlink"/>
      <w:u w:val="single"/>
    </w:rPr>
  </w:style>
  <w:style w:type="paragraph" w:styleId="Revision">
    <w:name w:val="Revision"/>
    <w:hidden/>
    <w:uiPriority w:val="99"/>
    <w:semiHidden/>
    <w:rsid w:val="00A7604F"/>
    <w:pPr>
      <w:spacing w:after="0" w:line="240" w:lineRule="auto"/>
    </w:pPr>
    <w:rPr>
      <w:rFonts w:ascii="Helvetica 45 Light" w:eastAsia="Times" w:hAnsi="Helvetica 45 Light" w:cs="Times New Roman"/>
      <w:sz w:val="20"/>
      <w:szCs w:val="20"/>
      <w:lang w:val="en-GB" w:eastAsia="en-GB"/>
    </w:rPr>
  </w:style>
  <w:style w:type="character" w:styleId="Emphasis">
    <w:name w:val="Emphasis"/>
    <w:basedOn w:val="DefaultParagraphFont"/>
    <w:uiPriority w:val="20"/>
    <w:qFormat/>
    <w:rsid w:val="00667D70"/>
    <w:rPr>
      <w:i/>
      <w:iCs/>
    </w:rPr>
  </w:style>
  <w:style w:type="character" w:customStyle="1" w:styleId="social-action-barbutton-text">
    <w:name w:val="social-action-bar__button-text"/>
    <w:basedOn w:val="DefaultParagraphFont"/>
    <w:rsid w:val="00667D70"/>
  </w:style>
  <w:style w:type="character" w:customStyle="1" w:styleId="social-sharebutton-text-square">
    <w:name w:val="social-share__button-text-square"/>
    <w:basedOn w:val="DefaultParagraphFont"/>
    <w:rsid w:val="00667D70"/>
  </w:style>
  <w:style w:type="character" w:customStyle="1" w:styleId="font-normal">
    <w:name w:val="font-normal"/>
    <w:basedOn w:val="DefaultParagraphFont"/>
    <w:rsid w:val="00667D70"/>
  </w:style>
  <w:style w:type="paragraph" w:styleId="ListParagraph">
    <w:name w:val="List Paragraph"/>
    <w:basedOn w:val="Normal"/>
    <w:uiPriority w:val="34"/>
    <w:qFormat/>
    <w:rsid w:val="00614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13389">
      <w:bodyDiv w:val="1"/>
      <w:marLeft w:val="0"/>
      <w:marRight w:val="0"/>
      <w:marTop w:val="0"/>
      <w:marBottom w:val="0"/>
      <w:divBdr>
        <w:top w:val="none" w:sz="0" w:space="0" w:color="auto"/>
        <w:left w:val="none" w:sz="0" w:space="0" w:color="auto"/>
        <w:bottom w:val="none" w:sz="0" w:space="0" w:color="auto"/>
        <w:right w:val="none" w:sz="0" w:space="0" w:color="auto"/>
      </w:divBdr>
      <w:divsChild>
        <w:div w:id="495341267">
          <w:marLeft w:val="0"/>
          <w:marRight w:val="0"/>
          <w:marTop w:val="0"/>
          <w:marBottom w:val="0"/>
          <w:divBdr>
            <w:top w:val="none" w:sz="0" w:space="0" w:color="auto"/>
            <w:left w:val="none" w:sz="0" w:space="0" w:color="auto"/>
            <w:bottom w:val="none" w:sz="0" w:space="0" w:color="auto"/>
            <w:right w:val="none" w:sz="0" w:space="0" w:color="auto"/>
          </w:divBdr>
          <w:divsChild>
            <w:div w:id="1533565999">
              <w:marLeft w:val="0"/>
              <w:marRight w:val="0"/>
              <w:marTop w:val="0"/>
              <w:marBottom w:val="0"/>
              <w:divBdr>
                <w:top w:val="none" w:sz="0" w:space="0" w:color="auto"/>
                <w:left w:val="none" w:sz="0" w:space="0" w:color="auto"/>
                <w:bottom w:val="none" w:sz="0" w:space="0" w:color="auto"/>
                <w:right w:val="none" w:sz="0" w:space="0" w:color="auto"/>
              </w:divBdr>
            </w:div>
          </w:divsChild>
        </w:div>
        <w:div w:id="1173450764">
          <w:marLeft w:val="0"/>
          <w:marRight w:val="0"/>
          <w:marTop w:val="0"/>
          <w:marBottom w:val="0"/>
          <w:divBdr>
            <w:top w:val="single" w:sz="6" w:space="0" w:color="auto"/>
            <w:left w:val="single" w:sz="24" w:space="0" w:color="auto"/>
            <w:bottom w:val="single" w:sz="24" w:space="0" w:color="auto"/>
            <w:right w:val="single" w:sz="24" w:space="0" w:color="auto"/>
          </w:divBdr>
          <w:divsChild>
            <w:div w:id="1143813646">
              <w:marLeft w:val="0"/>
              <w:marRight w:val="0"/>
              <w:marTop w:val="0"/>
              <w:marBottom w:val="0"/>
              <w:divBdr>
                <w:top w:val="none" w:sz="0" w:space="0" w:color="auto"/>
                <w:left w:val="none" w:sz="0" w:space="0" w:color="auto"/>
                <w:bottom w:val="none" w:sz="0" w:space="0" w:color="auto"/>
                <w:right w:val="none" w:sz="0" w:space="0" w:color="auto"/>
              </w:divBdr>
              <w:divsChild>
                <w:div w:id="1104575058">
                  <w:marLeft w:val="0"/>
                  <w:marRight w:val="0"/>
                  <w:marTop w:val="0"/>
                  <w:marBottom w:val="0"/>
                  <w:divBdr>
                    <w:top w:val="none" w:sz="0" w:space="0" w:color="auto"/>
                    <w:left w:val="none" w:sz="0" w:space="0" w:color="auto"/>
                    <w:bottom w:val="none" w:sz="0" w:space="0" w:color="auto"/>
                    <w:right w:val="none" w:sz="0" w:space="0" w:color="auto"/>
                  </w:divBdr>
                  <w:divsChild>
                    <w:div w:id="1684437193">
                      <w:marLeft w:val="0"/>
                      <w:marRight w:val="0"/>
                      <w:marTop w:val="0"/>
                      <w:marBottom w:val="0"/>
                      <w:divBdr>
                        <w:top w:val="none" w:sz="0" w:space="0" w:color="auto"/>
                        <w:left w:val="none" w:sz="0" w:space="0" w:color="auto"/>
                        <w:bottom w:val="none" w:sz="0" w:space="0" w:color="auto"/>
                        <w:right w:val="none" w:sz="0" w:space="0" w:color="auto"/>
                      </w:divBdr>
                      <w:divsChild>
                        <w:div w:id="1844928501">
                          <w:marLeft w:val="0"/>
                          <w:marRight w:val="0"/>
                          <w:marTop w:val="0"/>
                          <w:marBottom w:val="0"/>
                          <w:divBdr>
                            <w:top w:val="none" w:sz="0" w:space="0" w:color="auto"/>
                            <w:left w:val="none" w:sz="0" w:space="0" w:color="auto"/>
                            <w:bottom w:val="none" w:sz="0" w:space="0" w:color="auto"/>
                            <w:right w:val="none" w:sz="0" w:space="0" w:color="auto"/>
                          </w:divBdr>
                        </w:div>
                      </w:divsChild>
                    </w:div>
                    <w:div w:id="1694333390">
                      <w:marLeft w:val="0"/>
                      <w:marRight w:val="0"/>
                      <w:marTop w:val="0"/>
                      <w:marBottom w:val="0"/>
                      <w:divBdr>
                        <w:top w:val="none" w:sz="0" w:space="0" w:color="auto"/>
                        <w:left w:val="none" w:sz="0" w:space="0" w:color="auto"/>
                        <w:bottom w:val="none" w:sz="0" w:space="0" w:color="auto"/>
                        <w:right w:val="none" w:sz="0" w:space="0" w:color="auto"/>
                      </w:divBdr>
                    </w:div>
                    <w:div w:id="2111390523">
                      <w:marLeft w:val="0"/>
                      <w:marRight w:val="0"/>
                      <w:marTop w:val="0"/>
                      <w:marBottom w:val="0"/>
                      <w:divBdr>
                        <w:top w:val="none" w:sz="0" w:space="0" w:color="auto"/>
                        <w:left w:val="none" w:sz="0" w:space="0" w:color="auto"/>
                        <w:bottom w:val="none" w:sz="0" w:space="0" w:color="auto"/>
                        <w:right w:val="none" w:sz="0" w:space="0" w:color="auto"/>
                      </w:divBdr>
                    </w:div>
                  </w:divsChild>
                </w:div>
                <w:div w:id="15174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1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3f279f7-e909-4e55-9286-4382d4a9e5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2342075A095045A24E82F626A9E419" ma:contentTypeVersion="3" ma:contentTypeDescription="Create a new document." ma:contentTypeScope="" ma:versionID="296467c09c2f120a13110efa5d976e9d">
  <xsd:schema xmlns:xsd="http://www.w3.org/2001/XMLSchema" xmlns:xs="http://www.w3.org/2001/XMLSchema" xmlns:p="http://schemas.microsoft.com/office/2006/metadata/properties" xmlns:ns3="f3f279f7-e909-4e55-9286-4382d4a9e5b3" targetNamespace="http://schemas.microsoft.com/office/2006/metadata/properties" ma:root="true" ma:fieldsID="79234d8a8335cb2b7e0775214ab14be0" ns3:_="">
    <xsd:import namespace="f3f279f7-e909-4e55-9286-4382d4a9e5b3"/>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279f7-e909-4e55-9286-4382d4a9e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4E9FE7-DF1E-4E6A-824D-4CFA4BF420B0}">
  <ds:schemaRefs>
    <ds:schemaRef ds:uri="http://schemas.microsoft.com/office/2006/metadata/properties"/>
    <ds:schemaRef ds:uri="http://schemas.microsoft.com/office/infopath/2007/PartnerControls"/>
    <ds:schemaRef ds:uri="f3f279f7-e909-4e55-9286-4382d4a9e5b3"/>
  </ds:schemaRefs>
</ds:datastoreItem>
</file>

<file path=customXml/itemProps2.xml><?xml version="1.0" encoding="utf-8"?>
<ds:datastoreItem xmlns:ds="http://schemas.openxmlformats.org/officeDocument/2006/customXml" ds:itemID="{65D56345-B3D1-4D2E-8435-770B0FC5C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279f7-e909-4e55-9286-4382d4a9e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860278-5E7D-48D6-AD12-E9A9895716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Creanga, Ana</dc:creator>
  <cp:keywords/>
  <dc:description/>
  <cp:lastModifiedBy>Anghel, Oana</cp:lastModifiedBy>
  <cp:revision>6</cp:revision>
  <cp:lastPrinted>2023-04-03T12:40:00Z</cp:lastPrinted>
  <dcterms:created xsi:type="dcterms:W3CDTF">2023-04-04T07:26:00Z</dcterms:created>
  <dcterms:modified xsi:type="dcterms:W3CDTF">2023-04-04T08:04:00Z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2023-03-30T14:18:18Z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2d0117ca-9fc1-4d7b-b026-40f72b172a37</vt:lpwstr>
  </property>
  <property fmtid="{D5CDD505-2E9C-101B-9397-08002B2CF9AE}" pid="8" name="MSIP_Label_ea60d57e-af5b-4752-ac57-3e4f28ca11dc_ContentBits">
    <vt:lpwstr>0</vt:lpwstr>
  </property>
  <property fmtid="{D5CDD505-2E9C-101B-9397-08002B2CF9AE}" pid="9" name="ContentTypeId">
    <vt:lpwstr>0x010100192342075A095045A24E82F626A9E419</vt:lpwstr>
  </property>
</Properties>
</file>