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C298" w14:textId="54E3285A" w:rsidR="00707E56" w:rsidRDefault="00707E56" w:rsidP="00707E56">
      <w:pPr>
        <w:tabs>
          <w:tab w:val="left" w:pos="0"/>
          <w:tab w:val="left" w:pos="9180"/>
        </w:tabs>
        <w:spacing w:after="0" w:line="240" w:lineRule="auto"/>
        <w:ind w:right="27"/>
        <w:jc w:val="both"/>
        <w:rPr>
          <w:rFonts w:ascii="Arial" w:hAnsi="Arial" w:cs="Arial"/>
          <w:b/>
          <w:i/>
          <w:lang w:val="ro-RO"/>
        </w:rPr>
      </w:pPr>
      <w:r w:rsidRPr="00DE79F2">
        <w:rPr>
          <w:rFonts w:ascii="Arial" w:hAnsi="Arial" w:cs="Arial"/>
          <w:b/>
          <w:i/>
          <w:lang w:val="ro-RO"/>
        </w:rPr>
        <w:t>Proiectul „Formarea profesională şi consolidarea capacității la nivelul sistemului judiciar”</w:t>
      </w:r>
    </w:p>
    <w:p w14:paraId="298FD672" w14:textId="065E6B04" w:rsidR="00682B5B" w:rsidRPr="00DE79F2" w:rsidRDefault="00682B5B" w:rsidP="00682B5B">
      <w:pPr>
        <w:tabs>
          <w:tab w:val="left" w:pos="0"/>
          <w:tab w:val="left" w:pos="9180"/>
        </w:tabs>
        <w:spacing w:after="0" w:line="240" w:lineRule="auto"/>
        <w:ind w:right="27"/>
        <w:jc w:val="center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/>
          <w:i/>
          <w:lang w:val="ro-RO"/>
        </w:rPr>
        <w:t>Draft agenda</w:t>
      </w:r>
    </w:p>
    <w:p w14:paraId="739CFA94" w14:textId="77777777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  <w:r w:rsidRPr="00DE79F2">
        <w:rPr>
          <w:rFonts w:ascii="Arial" w:hAnsi="Arial" w:cs="Arial"/>
          <w:b/>
          <w:bCs/>
          <w:i/>
          <w:iCs/>
        </w:rPr>
        <w:t>Procedură fiscală, în mod special executare silită fiscală și TVA</w:t>
      </w:r>
    </w:p>
    <w:p w14:paraId="6845FB18" w14:textId="77777777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  <w:r w:rsidRPr="00DE79F2">
        <w:rPr>
          <w:rFonts w:ascii="Arial" w:hAnsi="Arial" w:cs="Arial"/>
          <w:b/>
          <w:bCs/>
          <w:i/>
          <w:iCs/>
        </w:rPr>
        <w:t>(Tax procedure — in particular tax enforcement and VAT)</w:t>
      </w:r>
    </w:p>
    <w:p w14:paraId="5FBEC752" w14:textId="77777777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</w:p>
    <w:p w14:paraId="34F17B71" w14:textId="114D7C5E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  <w:r w:rsidRPr="00DE79F2">
        <w:rPr>
          <w:rFonts w:ascii="Arial" w:hAnsi="Arial" w:cs="Arial"/>
          <w:b/>
          <w:bCs/>
          <w:i/>
          <w:iCs/>
        </w:rPr>
        <w:t xml:space="preserve">București, </w:t>
      </w:r>
      <w:r w:rsidR="00DD75B2">
        <w:rPr>
          <w:rFonts w:ascii="Arial" w:hAnsi="Arial" w:cs="Arial"/>
          <w:b/>
          <w:bCs/>
          <w:i/>
          <w:iCs/>
        </w:rPr>
        <w:t>9-9 decembrie</w:t>
      </w:r>
      <w:r w:rsidRPr="00DE79F2">
        <w:rPr>
          <w:rFonts w:ascii="Arial" w:hAnsi="Arial" w:cs="Arial"/>
          <w:b/>
          <w:bCs/>
          <w:i/>
          <w:iCs/>
        </w:rPr>
        <w:t xml:space="preserve"> 2022 (Bucharest, </w:t>
      </w:r>
      <w:r w:rsidR="00DD75B2">
        <w:rPr>
          <w:rFonts w:ascii="Arial" w:hAnsi="Arial" w:cs="Arial"/>
          <w:b/>
          <w:bCs/>
          <w:i/>
          <w:iCs/>
        </w:rPr>
        <w:t>8-9 December</w:t>
      </w:r>
      <w:r w:rsidRPr="00DE79F2">
        <w:rPr>
          <w:rFonts w:ascii="Arial" w:hAnsi="Arial" w:cs="Arial"/>
          <w:b/>
          <w:bCs/>
          <w:i/>
          <w:iCs/>
        </w:rPr>
        <w:t xml:space="preserve"> 2022)</w:t>
      </w:r>
    </w:p>
    <w:p w14:paraId="2F19720C" w14:textId="77777777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  <w:r w:rsidRPr="00DE79F2">
        <w:rPr>
          <w:rFonts w:ascii="Arial" w:hAnsi="Arial" w:cs="Arial"/>
          <w:b/>
          <w:bCs/>
          <w:i/>
          <w:iCs/>
        </w:rPr>
        <w:t>Hotel Yesterday, strada Economu Cezărescu nr. 8</w:t>
      </w:r>
    </w:p>
    <w:p w14:paraId="7E390195" w14:textId="77777777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  <w:r w:rsidRPr="00DE79F2">
        <w:rPr>
          <w:rFonts w:ascii="Arial" w:hAnsi="Arial" w:cs="Arial"/>
          <w:b/>
          <w:bCs/>
          <w:i/>
          <w:iCs/>
        </w:rPr>
        <w:t>(Yestarday Hotel, Economu Cezărăscu Street, No 8)</w:t>
      </w:r>
    </w:p>
    <w:p w14:paraId="6BFEBF6A" w14:textId="77777777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</w:p>
    <w:p w14:paraId="1CDD2D01" w14:textId="77777777" w:rsidR="00DE79F2" w:rsidRPr="00DE79F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center"/>
        <w:rPr>
          <w:rFonts w:ascii="Arial" w:hAnsi="Arial" w:cs="Arial"/>
          <w:b/>
          <w:bCs/>
          <w:i/>
          <w:iCs/>
        </w:rPr>
      </w:pPr>
    </w:p>
    <w:p w14:paraId="6C144A24" w14:textId="77777777" w:rsidR="00DE79F2" w:rsidRPr="00DD75B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 xml:space="preserve">Experți/Experts </w:t>
      </w:r>
    </w:p>
    <w:p w14:paraId="616D2B8E" w14:textId="77777777" w:rsidR="00DE79F2" w:rsidRPr="00DD75B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</w:p>
    <w:p w14:paraId="342CD6C1" w14:textId="34EE4154" w:rsidR="00DE79F2" w:rsidRPr="00DD75B2" w:rsidRDefault="00DE79F2" w:rsidP="00DE79F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 xml:space="preserve">POHRIB Alina </w:t>
      </w:r>
      <w:r w:rsidR="00DD75B2" w:rsidRPr="00DD75B2">
        <w:rPr>
          <w:rFonts w:ascii="Arial" w:hAnsi="Arial" w:cs="Arial"/>
          <w:b/>
          <w:bCs/>
        </w:rPr>
        <w:t>–</w:t>
      </w:r>
      <w:r w:rsidRPr="00DD75B2">
        <w:rPr>
          <w:rFonts w:ascii="Arial" w:hAnsi="Arial" w:cs="Arial"/>
          <w:b/>
          <w:bCs/>
        </w:rPr>
        <w:t xml:space="preserve"> judecător</w:t>
      </w:r>
      <w:r w:rsidR="00DD75B2" w:rsidRPr="00DD75B2">
        <w:rPr>
          <w:rFonts w:ascii="Arial" w:hAnsi="Arial" w:cs="Arial"/>
          <w:b/>
          <w:bCs/>
        </w:rPr>
        <w:t>,</w:t>
      </w:r>
      <w:r w:rsidRPr="00DD75B2">
        <w:rPr>
          <w:rFonts w:ascii="Arial" w:hAnsi="Arial" w:cs="Arial"/>
          <w:b/>
          <w:bCs/>
        </w:rPr>
        <w:t xml:space="preserve"> Curtea de Apel București (judge, Bucharest Court of Appeal)</w:t>
      </w:r>
    </w:p>
    <w:p w14:paraId="31D1C574" w14:textId="12FEFE9C" w:rsidR="00DD75B2" w:rsidRPr="00DD75B2" w:rsidRDefault="00DD75B2" w:rsidP="00DD75B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>DRĂGUȚESCU Mihai -expert selectat în cadrul proiectului (selected expert for the project</w:t>
      </w:r>
    </w:p>
    <w:p w14:paraId="7F9F23F3" w14:textId="77777777" w:rsidR="00DD75B2" w:rsidRPr="00DD75B2" w:rsidRDefault="00DD75B2" w:rsidP="00DD75B2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>SUCCIO Roberto - judecător Curtea Supremă, Italia (judge, Suprem Court, Italy)</w:t>
      </w:r>
    </w:p>
    <w:p w14:paraId="0920F931" w14:textId="47372010" w:rsidR="00707E56" w:rsidRDefault="00707E56" w:rsidP="00707E56">
      <w:pPr>
        <w:tabs>
          <w:tab w:val="left" w:pos="0"/>
          <w:tab w:val="left" w:pos="9180"/>
        </w:tabs>
        <w:spacing w:after="0" w:line="240" w:lineRule="auto"/>
        <w:ind w:right="27"/>
        <w:jc w:val="center"/>
        <w:rPr>
          <w:rFonts w:ascii="Arial" w:hAnsi="Arial" w:cs="Arial"/>
          <w:b/>
          <w:lang w:val="ro-RO"/>
        </w:rPr>
      </w:pPr>
    </w:p>
    <w:tbl>
      <w:tblPr>
        <w:tblW w:w="9914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1994"/>
        <w:gridCol w:w="7920"/>
      </w:tblGrid>
      <w:tr w:rsidR="00DD75B2" w:rsidRPr="00DD75B2" w14:paraId="73F4E524" w14:textId="77777777" w:rsidTr="004C2C87">
        <w:trPr>
          <w:trHeight w:val="567"/>
        </w:trPr>
        <w:tc>
          <w:tcPr>
            <w:tcW w:w="99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324AA050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  <w:color w:val="FFFFFF"/>
              </w:rPr>
              <w:t>Prima zi (First Day)</w:t>
            </w:r>
          </w:p>
        </w:tc>
      </w:tr>
      <w:tr w:rsidR="00DD75B2" w:rsidRPr="00DD75B2" w14:paraId="11188C3D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078C3E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09.00-09.20</w:t>
            </w:r>
          </w:p>
          <w:p w14:paraId="5D9BEB3B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09.20-09.45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9C25ED" w14:textId="77777777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Sosirea și înregistrarea participanților (Welcome. Registration of the participants)</w:t>
            </w:r>
          </w:p>
          <w:p w14:paraId="1E67D9BB" w14:textId="77777777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>Prezentarea formatorilor și a participanților. Scopul și obiectivele seminarului (Presentation of the trainers and participants. The aim and objectives of the seminar)</w:t>
            </w:r>
          </w:p>
        </w:tc>
      </w:tr>
      <w:tr w:rsidR="00DD75B2" w:rsidRPr="00DD75B2" w14:paraId="47CFF5C5" w14:textId="77777777" w:rsidTr="00A977CF">
        <w:trPr>
          <w:trHeight w:val="604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C8C790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09.45-10.30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9CE37D" w14:textId="77777777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Aplicarea TVA în Uniunea Europeană: un sondaj (EU VAT enforcement: a survey)</w:t>
            </w:r>
          </w:p>
        </w:tc>
      </w:tr>
      <w:tr w:rsidR="00DD75B2" w:rsidRPr="00DD75B2" w14:paraId="02217C06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146BB9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10.30-11.00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A7553EC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Pauză de cafea (Coffee break)</w:t>
            </w:r>
          </w:p>
        </w:tc>
      </w:tr>
      <w:tr w:rsidR="00DD75B2" w:rsidRPr="00DD75B2" w14:paraId="5A072329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9FAC3F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11.00-12.30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9FE453" w14:textId="77777777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>Mecanismul TVA – Partea I (The VAT Mechanism – Part I)</w:t>
            </w:r>
          </w:p>
        </w:tc>
      </w:tr>
      <w:tr w:rsidR="00DD75B2" w:rsidRPr="00DD75B2" w14:paraId="2BAADF8E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DCC205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12.30-13.30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0C29C2" w14:textId="77777777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>Pauza de prânz/Lunch break</w:t>
            </w:r>
          </w:p>
        </w:tc>
      </w:tr>
      <w:tr w:rsidR="00DD75B2" w:rsidRPr="00DD75B2" w14:paraId="687120B5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4F0986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13.30-15.00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2D49B2" w14:textId="6ADDAE69" w:rsidR="00DD75B2" w:rsidRPr="00DD75B2" w:rsidRDefault="00806B15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>Persoana impozabilă și operațiuni impozabile– Partea I (Taxable person and taxable transactions– Part I)</w:t>
            </w:r>
          </w:p>
        </w:tc>
      </w:tr>
      <w:tr w:rsidR="00DD75B2" w:rsidRPr="00DD75B2" w14:paraId="5E0EE680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00A0EF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15.00-15.30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2AE137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Pauză de cafea (Coffee break)</w:t>
            </w:r>
          </w:p>
        </w:tc>
      </w:tr>
      <w:tr w:rsidR="00DD75B2" w:rsidRPr="00DD75B2" w14:paraId="0E2B63A2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ADAF70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lastRenderedPageBreak/>
              <w:t>15.30-17.00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E304DF4" w14:textId="6F2A7FB4" w:rsidR="00DD75B2" w:rsidRPr="00DD75B2" w:rsidRDefault="00806B15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>Persoana impozabilă și operațiuni impozabile– Partea 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D75B2">
              <w:rPr>
                <w:rFonts w:ascii="Arial" w:hAnsi="Arial" w:cs="Arial"/>
                <w:b/>
                <w:bCs/>
              </w:rPr>
              <w:t xml:space="preserve"> (Taxable person and taxable transactions– Part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D75B2">
              <w:rPr>
                <w:rFonts w:ascii="Arial" w:hAnsi="Arial" w:cs="Arial"/>
                <w:b/>
                <w:bCs/>
              </w:rPr>
              <w:t>I)</w:t>
            </w:r>
          </w:p>
        </w:tc>
      </w:tr>
    </w:tbl>
    <w:p w14:paraId="28D5EF50" w14:textId="5D80B1A7" w:rsidR="00DD75B2" w:rsidRDefault="00DD75B2" w:rsidP="00707E56">
      <w:pPr>
        <w:tabs>
          <w:tab w:val="left" w:pos="0"/>
          <w:tab w:val="left" w:pos="9180"/>
        </w:tabs>
        <w:spacing w:after="0" w:line="240" w:lineRule="auto"/>
        <w:ind w:right="27"/>
        <w:jc w:val="center"/>
        <w:rPr>
          <w:rFonts w:ascii="Arial" w:hAnsi="Arial" w:cs="Arial"/>
          <w:b/>
          <w:lang w:val="ro-RO"/>
        </w:rPr>
      </w:pPr>
    </w:p>
    <w:p w14:paraId="2D2C3D18" w14:textId="15308B00" w:rsidR="002E2E74" w:rsidRDefault="002E2E74" w:rsidP="00707E56">
      <w:pPr>
        <w:tabs>
          <w:tab w:val="left" w:pos="0"/>
          <w:tab w:val="left" w:pos="9180"/>
        </w:tabs>
        <w:spacing w:after="0" w:line="240" w:lineRule="auto"/>
        <w:ind w:right="27"/>
        <w:jc w:val="center"/>
        <w:rPr>
          <w:rFonts w:ascii="Arial" w:hAnsi="Arial" w:cs="Arial"/>
          <w:b/>
          <w:lang w:val="ro-RO"/>
        </w:rPr>
      </w:pPr>
    </w:p>
    <w:p w14:paraId="03BED952" w14:textId="77777777" w:rsidR="002E2E74" w:rsidRPr="00DD75B2" w:rsidRDefault="002E2E74" w:rsidP="002E2E74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>POHRIB Alina – judecător, Curtea de Apel București (judge, Bucharest Court of Appeal)</w:t>
      </w:r>
    </w:p>
    <w:p w14:paraId="4BA3C095" w14:textId="77777777" w:rsidR="002E2E74" w:rsidRPr="00DD75B2" w:rsidRDefault="002E2E74" w:rsidP="002E2E74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>CRISTEA Bogdan - judecător, Curtea de Apel București (judge, Bucharest Court of Appeal)</w:t>
      </w:r>
    </w:p>
    <w:p w14:paraId="642001E3" w14:textId="77777777" w:rsidR="002E2E74" w:rsidRPr="00DD75B2" w:rsidRDefault="002E2E74" w:rsidP="002E2E74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>DRĂGUȚESCU Mihai -expert selectat în cadrul proiectului (selected expert for the project</w:t>
      </w:r>
    </w:p>
    <w:p w14:paraId="3AF5565B" w14:textId="77777777" w:rsidR="002E2E74" w:rsidRPr="00DD75B2" w:rsidRDefault="002E2E74" w:rsidP="002E2E74">
      <w:pPr>
        <w:tabs>
          <w:tab w:val="left" w:pos="0"/>
          <w:tab w:val="left" w:pos="9180"/>
        </w:tabs>
        <w:autoSpaceDE w:val="0"/>
        <w:autoSpaceDN w:val="0"/>
        <w:adjustRightInd w:val="0"/>
        <w:spacing w:after="0"/>
        <w:ind w:right="27"/>
        <w:jc w:val="both"/>
        <w:rPr>
          <w:rFonts w:ascii="Arial" w:hAnsi="Arial" w:cs="Arial"/>
          <w:b/>
          <w:bCs/>
        </w:rPr>
      </w:pPr>
      <w:r w:rsidRPr="00DD75B2">
        <w:rPr>
          <w:rFonts w:ascii="Arial" w:hAnsi="Arial" w:cs="Arial"/>
          <w:b/>
          <w:bCs/>
        </w:rPr>
        <w:t>SUCCIO Roberto - judecător Curtea Supremă, Italia (judge, Suprem Court, Italy)</w:t>
      </w:r>
    </w:p>
    <w:p w14:paraId="02514B35" w14:textId="77777777" w:rsidR="002E2E74" w:rsidRDefault="002E2E74" w:rsidP="00707E56">
      <w:pPr>
        <w:tabs>
          <w:tab w:val="left" w:pos="0"/>
          <w:tab w:val="left" w:pos="9180"/>
        </w:tabs>
        <w:spacing w:after="0" w:line="240" w:lineRule="auto"/>
        <w:ind w:right="27"/>
        <w:jc w:val="center"/>
        <w:rPr>
          <w:rFonts w:ascii="Arial" w:hAnsi="Arial" w:cs="Arial"/>
          <w:b/>
          <w:lang w:val="ro-RO"/>
        </w:rPr>
      </w:pPr>
    </w:p>
    <w:tbl>
      <w:tblPr>
        <w:tblW w:w="9914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1994"/>
        <w:gridCol w:w="7920"/>
      </w:tblGrid>
      <w:tr w:rsidR="00DD75B2" w:rsidRPr="00DD75B2" w14:paraId="045CD933" w14:textId="77777777" w:rsidTr="004C2C87">
        <w:trPr>
          <w:trHeight w:val="567"/>
        </w:trPr>
        <w:tc>
          <w:tcPr>
            <w:tcW w:w="99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9999"/>
            <w:vAlign w:val="center"/>
          </w:tcPr>
          <w:p w14:paraId="717A8568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  <w:color w:val="FFFFFF"/>
              </w:rPr>
              <w:t>A doua zi (Second Day)</w:t>
            </w:r>
          </w:p>
        </w:tc>
      </w:tr>
      <w:tr w:rsidR="00DD75B2" w:rsidRPr="00DD75B2" w14:paraId="41936341" w14:textId="77777777" w:rsidTr="004C2C87">
        <w:trPr>
          <w:trHeight w:val="864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9053B16" w14:textId="3F457C38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09.00-</w:t>
            </w:r>
            <w:r w:rsidR="003F3CCA">
              <w:rPr>
                <w:rFonts w:ascii="Arial" w:hAnsi="Arial" w:cs="Arial"/>
              </w:rPr>
              <w:t>10.30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B8B8B8" w14:textId="433BDEC3" w:rsidR="00DD75B2" w:rsidRPr="00DD75B2" w:rsidRDefault="00806B15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>Regimul deducerilor în materia TVA (VAT deductions)</w:t>
            </w:r>
          </w:p>
        </w:tc>
      </w:tr>
      <w:tr w:rsidR="00DD75B2" w:rsidRPr="00DD75B2" w14:paraId="07002C5C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E9091E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10.30-11.00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A0FB0D8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>Pauză de cafea (Coffee break)</w:t>
            </w:r>
          </w:p>
        </w:tc>
      </w:tr>
      <w:tr w:rsidR="00DD75B2" w:rsidRPr="00DD75B2" w14:paraId="37E1A818" w14:textId="77777777" w:rsidTr="004C2C87">
        <w:trPr>
          <w:trHeight w:val="56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CB26964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11.00-12.00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81DBFF" w14:textId="77777777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Rolul CJUE în sistemul fiscal al UE (The role of ECJ in the EU Tax system)</w:t>
            </w:r>
          </w:p>
        </w:tc>
      </w:tr>
      <w:tr w:rsidR="00DD75B2" w:rsidRPr="00DD75B2" w14:paraId="4F230CEC" w14:textId="77777777" w:rsidTr="004C2C87">
        <w:trPr>
          <w:trHeight w:val="503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3256BD" w14:textId="513B2647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.00-13.30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363F31" w14:textId="77777777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Pauza de prânz/Lunch break</w:t>
            </w:r>
          </w:p>
        </w:tc>
      </w:tr>
      <w:tr w:rsidR="00DD75B2" w:rsidRPr="00DD75B2" w14:paraId="29747DEC" w14:textId="77777777" w:rsidTr="003F3CCA">
        <w:trPr>
          <w:trHeight w:val="695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B39693" w14:textId="3574135D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13.30-15.00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A43AE7" w14:textId="5F457911" w:rsidR="00DD75B2" w:rsidRPr="00DD75B2" w:rsidRDefault="00DD75B2" w:rsidP="00DD75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DD75B2">
              <w:rPr>
                <w:rFonts w:ascii="Arial" w:hAnsi="Arial" w:cs="Arial"/>
                <w:b/>
                <w:bCs/>
              </w:rPr>
              <w:t xml:space="preserve">Aspecte de procedură în materie </w:t>
            </w:r>
            <w:r>
              <w:rPr>
                <w:rFonts w:ascii="Arial" w:hAnsi="Arial" w:cs="Arial"/>
                <w:b/>
                <w:bCs/>
              </w:rPr>
              <w:t>fiscal</w:t>
            </w:r>
            <w:r w:rsidR="003F3CCA">
              <w:rPr>
                <w:rFonts w:ascii="Arial" w:hAnsi="Arial" w:cs="Arial"/>
                <w:b/>
                <w:bCs/>
              </w:rPr>
              <w:t>ă</w:t>
            </w:r>
            <w:r>
              <w:rPr>
                <w:rFonts w:ascii="Arial" w:hAnsi="Arial" w:cs="Arial"/>
                <w:b/>
                <w:bCs/>
              </w:rPr>
              <w:t xml:space="preserve"> I </w:t>
            </w:r>
            <w:r w:rsidRPr="00DD75B2">
              <w:rPr>
                <w:rFonts w:ascii="Arial" w:hAnsi="Arial" w:cs="Arial"/>
                <w:b/>
                <w:bCs/>
              </w:rPr>
              <w:t>(Procedural aspects in tax matters</w:t>
            </w:r>
            <w:r>
              <w:rPr>
                <w:rFonts w:ascii="Arial" w:hAnsi="Arial" w:cs="Arial"/>
                <w:b/>
                <w:bCs/>
              </w:rPr>
              <w:t xml:space="preserve"> I)</w:t>
            </w:r>
          </w:p>
        </w:tc>
      </w:tr>
      <w:tr w:rsidR="00DD75B2" w:rsidRPr="00DD75B2" w14:paraId="4ADFFC6D" w14:textId="77777777" w:rsidTr="00A977CF">
        <w:trPr>
          <w:trHeight w:val="497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7D94" w14:textId="5C625903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15.00-15.30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519578" w14:textId="77777777" w:rsidR="00DD75B2" w:rsidRPr="00DD75B2" w:rsidRDefault="00DD75B2" w:rsidP="004C2C87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Pauză de cafea (Coffee break)</w:t>
            </w:r>
          </w:p>
        </w:tc>
      </w:tr>
      <w:tr w:rsidR="00DD75B2" w:rsidRPr="00DD75B2" w14:paraId="6042C61D" w14:textId="77777777" w:rsidTr="004C2C87">
        <w:trPr>
          <w:trHeight w:val="834"/>
        </w:trPr>
        <w:tc>
          <w:tcPr>
            <w:tcW w:w="1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E3C7BA" w14:textId="5928582F" w:rsidR="00DD75B2" w:rsidRPr="00DD75B2" w:rsidRDefault="00DD75B2" w:rsidP="004C2C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15.30-17.00</w:t>
            </w:r>
            <w:r w:rsidRPr="00DD75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26A701" w14:textId="07427192" w:rsidR="00DD75B2" w:rsidRDefault="00DD75B2" w:rsidP="00DD75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284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 xml:space="preserve">Aspecte de procedură în materie </w:t>
            </w:r>
            <w:r>
              <w:rPr>
                <w:rFonts w:ascii="Arial" w:hAnsi="Arial" w:cs="Arial"/>
                <w:b/>
                <w:bCs/>
              </w:rPr>
              <w:t>fiscal</w:t>
            </w:r>
            <w:r w:rsidR="003F3CCA">
              <w:rPr>
                <w:rFonts w:ascii="Arial" w:hAnsi="Arial" w:cs="Arial"/>
                <w:b/>
                <w:bCs/>
              </w:rPr>
              <w:t>ă</w:t>
            </w:r>
            <w:r>
              <w:rPr>
                <w:rFonts w:ascii="Arial" w:hAnsi="Arial" w:cs="Arial"/>
                <w:b/>
                <w:bCs/>
              </w:rPr>
              <w:t xml:space="preserve"> II </w:t>
            </w:r>
            <w:r w:rsidRPr="00DD75B2">
              <w:rPr>
                <w:rFonts w:ascii="Arial" w:hAnsi="Arial" w:cs="Arial"/>
                <w:b/>
                <w:bCs/>
              </w:rPr>
              <w:t>(Procedural aspects in tax matters</w:t>
            </w:r>
            <w:r>
              <w:rPr>
                <w:rFonts w:ascii="Arial" w:hAnsi="Arial" w:cs="Arial"/>
                <w:b/>
                <w:bCs/>
              </w:rPr>
              <w:t xml:space="preserve"> II)</w:t>
            </w:r>
          </w:p>
          <w:p w14:paraId="0CB03DE2" w14:textId="452770FE" w:rsidR="00DD75B2" w:rsidRPr="00DD75B2" w:rsidRDefault="00DD75B2" w:rsidP="00DD75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284"/>
              <w:rPr>
                <w:rFonts w:ascii="Arial" w:hAnsi="Arial" w:cs="Arial"/>
                <w:b/>
                <w:bCs/>
              </w:rPr>
            </w:pPr>
            <w:r w:rsidRPr="00DD75B2">
              <w:rPr>
                <w:rFonts w:ascii="Arial" w:hAnsi="Arial" w:cs="Arial"/>
                <w:b/>
                <w:bCs/>
              </w:rPr>
              <w:t>Concluzii. Feedback participanți (Conclusions. Feedback from participants)</w:t>
            </w:r>
          </w:p>
        </w:tc>
      </w:tr>
    </w:tbl>
    <w:p w14:paraId="71C6C4D8" w14:textId="77777777" w:rsidR="00DD75B2" w:rsidRDefault="00DD75B2" w:rsidP="00707E56">
      <w:pPr>
        <w:tabs>
          <w:tab w:val="left" w:pos="0"/>
          <w:tab w:val="left" w:pos="9180"/>
        </w:tabs>
        <w:spacing w:after="0" w:line="240" w:lineRule="auto"/>
        <w:ind w:right="27"/>
        <w:jc w:val="center"/>
        <w:rPr>
          <w:rFonts w:ascii="Arial" w:hAnsi="Arial" w:cs="Arial"/>
          <w:b/>
          <w:lang w:val="ro-RO"/>
        </w:rPr>
      </w:pPr>
    </w:p>
    <w:sectPr w:rsidR="00DD75B2" w:rsidSect="000E61E2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5096" w14:textId="77777777" w:rsidR="008512BB" w:rsidRDefault="008512BB" w:rsidP="00ED4C0E">
      <w:pPr>
        <w:spacing w:after="0" w:line="240" w:lineRule="auto"/>
      </w:pPr>
      <w:r>
        <w:separator/>
      </w:r>
    </w:p>
  </w:endnote>
  <w:endnote w:type="continuationSeparator" w:id="0">
    <w:p w14:paraId="61570B03" w14:textId="77777777" w:rsidR="008512BB" w:rsidRDefault="008512BB" w:rsidP="00ED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0529" w14:textId="77777777" w:rsidR="0052782F" w:rsidRDefault="0052782F" w:rsidP="006C219D">
    <w:pPr>
      <w:pStyle w:val="Footer"/>
      <w:rPr>
        <w:rFonts w:ascii="Arial" w:hAnsi="Arial" w:cs="Arial"/>
      </w:rPr>
    </w:pPr>
  </w:p>
  <w:p w14:paraId="77A0B1E9" w14:textId="77777777" w:rsidR="0052782F" w:rsidRPr="0085756F" w:rsidRDefault="0052782F" w:rsidP="00B535CA">
    <w:pPr>
      <w:pStyle w:val="Footer"/>
      <w:ind w:left="-990"/>
      <w:rPr>
        <w:rFonts w:ascii="Arial" w:hAnsi="Arial" w:cs="Arial"/>
        <w:lang w:val="ro-RO"/>
      </w:rPr>
    </w:pPr>
    <w:r w:rsidRPr="0085756F">
      <w:rPr>
        <w:rFonts w:ascii="Arial" w:hAnsi="Arial" w:cs="Arial"/>
        <w:lang w:val="ro-RO"/>
      </w:rPr>
      <w:t xml:space="preserve">Proiect </w:t>
    </w:r>
    <w:r w:rsidR="0085756F" w:rsidRPr="0085756F">
      <w:rPr>
        <w:rFonts w:ascii="Arial" w:hAnsi="Arial" w:cs="Arial"/>
        <w:lang w:val="ro-RO"/>
      </w:rPr>
      <w:t>finanțat</w:t>
    </w:r>
    <w:r w:rsidRPr="0085756F">
      <w:rPr>
        <w:rFonts w:ascii="Arial" w:hAnsi="Arial" w:cs="Arial"/>
        <w:lang w:val="ro-RO"/>
      </w:rPr>
      <w:t xml:space="preserve"> prin Mecanismul Financiar Norvegian 2014-2021  </w:t>
    </w:r>
  </w:p>
  <w:p w14:paraId="6AD62470" w14:textId="77777777" w:rsidR="00B535CA" w:rsidRDefault="0052782F" w:rsidP="00B535CA">
    <w:pPr>
      <w:pStyle w:val="Footer"/>
      <w:ind w:left="-990"/>
      <w:rPr>
        <w:rFonts w:ascii="Arial" w:hAnsi="Arial" w:cs="Arial"/>
      </w:rPr>
    </w:pPr>
    <w:r w:rsidRPr="002D4C54">
      <w:rPr>
        <w:rFonts w:ascii="Arial" w:hAnsi="Arial" w:cs="Arial"/>
      </w:rPr>
      <w:t>www.eeagrants.</w:t>
    </w:r>
    <w:r>
      <w:rPr>
        <w:rFonts w:ascii="Arial" w:hAnsi="Arial" w:cs="Arial"/>
      </w:rPr>
      <w:t xml:space="preserve">ro  </w:t>
    </w:r>
  </w:p>
  <w:p w14:paraId="3440D300" w14:textId="77777777" w:rsidR="0052782F" w:rsidRDefault="0052782F" w:rsidP="0052782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35EB79A6" w14:textId="77777777" w:rsidR="006C219D" w:rsidRPr="00B535CA" w:rsidRDefault="0023587F" w:rsidP="00B535CA">
    <w:pPr>
      <w:pStyle w:val="Footer"/>
      <w:ind w:left="-990"/>
      <w:rPr>
        <w:rFonts w:ascii="Arial" w:hAnsi="Arial" w:cs="Arial"/>
        <w:b/>
      </w:rPr>
    </w:pPr>
    <w:r w:rsidRPr="00B535CA">
      <w:rPr>
        <w:b/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66143BDB" wp14:editId="3149354C">
          <wp:simplePos x="0" y="0"/>
          <wp:positionH relativeFrom="margin">
            <wp:posOffset>1352551</wp:posOffset>
          </wp:positionH>
          <wp:positionV relativeFrom="paragraph">
            <wp:posOffset>10160</wp:posOffset>
          </wp:positionV>
          <wp:extent cx="800100" cy="7524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5CA" w:rsidRPr="00B535CA">
      <w:rPr>
        <w:rFonts w:ascii="Arial" w:hAnsi="Arial" w:cs="Arial"/>
        <w:b/>
      </w:rPr>
      <w:t>Operator de Program</w:t>
    </w:r>
    <w:r w:rsidR="00B535CA" w:rsidRPr="00B535CA">
      <w:rPr>
        <w:b/>
        <w:noProof/>
        <w:lang w:val="ro-RO" w:eastAsia="ro-RO"/>
      </w:rPr>
      <w:drawing>
        <wp:anchor distT="0" distB="0" distL="114300" distR="114300" simplePos="0" relativeHeight="251671552" behindDoc="0" locked="0" layoutInCell="1" allowOverlap="1" wp14:anchorId="608E7E4C" wp14:editId="559013B5">
          <wp:simplePos x="0" y="0"/>
          <wp:positionH relativeFrom="column">
            <wp:posOffset>4562475</wp:posOffset>
          </wp:positionH>
          <wp:positionV relativeFrom="paragraph">
            <wp:posOffset>10160</wp:posOffset>
          </wp:positionV>
          <wp:extent cx="1771650" cy="666750"/>
          <wp:effectExtent l="0" t="0" r="0" b="0"/>
          <wp:wrapThrough wrapText="bothSides">
            <wp:wrapPolygon edited="0">
              <wp:start x="0" y="0"/>
              <wp:lineTo x="0" y="20983"/>
              <wp:lineTo x="21368" y="20983"/>
              <wp:lineTo x="21368" y="0"/>
              <wp:lineTo x="0" y="0"/>
            </wp:wrapPolygon>
          </wp:wrapThrough>
          <wp:docPr id="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CA" w:rsidRPr="00B535CA">
      <w:rPr>
        <w:b/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1350E863" wp14:editId="21EFEB71">
          <wp:simplePos x="0" y="0"/>
          <wp:positionH relativeFrom="column">
            <wp:posOffset>3495676</wp:posOffset>
          </wp:positionH>
          <wp:positionV relativeFrom="paragraph">
            <wp:posOffset>20955</wp:posOffset>
          </wp:positionV>
          <wp:extent cx="800100" cy="7613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503" cy="766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5CA" w:rsidRPr="00B535CA">
      <w:rPr>
        <w:b/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0C2820DA" wp14:editId="7A80F3A7">
          <wp:simplePos x="0" y="0"/>
          <wp:positionH relativeFrom="margin">
            <wp:posOffset>2295525</wp:posOffset>
          </wp:positionH>
          <wp:positionV relativeFrom="paragraph">
            <wp:posOffset>78388</wp:posOffset>
          </wp:positionV>
          <wp:extent cx="933236" cy="6286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236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19D" w:rsidRPr="00B535CA">
      <w:rPr>
        <w:rFonts w:ascii="Arial" w:hAnsi="Arial" w:cs="Arial"/>
        <w:b/>
      </w:rPr>
      <w:t xml:space="preserve">                                                                                  </w:t>
    </w:r>
  </w:p>
  <w:p w14:paraId="25A69632" w14:textId="77777777" w:rsidR="006C219D" w:rsidRPr="002D4C54" w:rsidRDefault="00B535CA" w:rsidP="00B535CA">
    <w:pPr>
      <w:pStyle w:val="Footer"/>
      <w:tabs>
        <w:tab w:val="clear" w:pos="9360"/>
      </w:tabs>
      <w:ind w:left="-990"/>
      <w:rPr>
        <w:rFonts w:ascii="Arial" w:hAnsi="Arial" w:cs="Arial"/>
      </w:rPr>
    </w:pPr>
    <w:r w:rsidRPr="009F7433">
      <w:rPr>
        <w:noProof/>
        <w:lang w:val="ro-RO" w:eastAsia="ro-RO"/>
      </w:rPr>
      <w:drawing>
        <wp:inline distT="0" distB="0" distL="0" distR="0" wp14:anchorId="4010512B" wp14:editId="4D06B011">
          <wp:extent cx="1914525" cy="6000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</w:r>
    <w:r w:rsidR="006C219D">
      <w:rPr>
        <w:rFonts w:ascii="Arial" w:hAnsi="Arial" w:cs="Arial"/>
      </w:rPr>
      <w:tab/>
      <w:t xml:space="preserve">                                                                                                   </w:t>
    </w:r>
  </w:p>
  <w:p w14:paraId="02DCBB2F" w14:textId="77777777" w:rsidR="00EF4E3C" w:rsidRPr="006C219D" w:rsidRDefault="00EF4E3C" w:rsidP="00B5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1026" w14:textId="77777777" w:rsidR="008512BB" w:rsidRDefault="008512BB" w:rsidP="00ED4C0E">
      <w:pPr>
        <w:spacing w:after="0" w:line="240" w:lineRule="auto"/>
      </w:pPr>
      <w:r>
        <w:separator/>
      </w:r>
    </w:p>
  </w:footnote>
  <w:footnote w:type="continuationSeparator" w:id="0">
    <w:p w14:paraId="2D5A81AC" w14:textId="77777777" w:rsidR="008512BB" w:rsidRDefault="008512BB" w:rsidP="00ED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DF46" w14:textId="77777777" w:rsidR="00ED4C0E" w:rsidRDefault="00EF4E3C" w:rsidP="00C77458">
    <w:pPr>
      <w:pStyle w:val="Header"/>
      <w:tabs>
        <w:tab w:val="clear" w:pos="4680"/>
        <w:tab w:val="clear" w:pos="9360"/>
        <w:tab w:val="left" w:pos="8280"/>
      </w:tabs>
    </w:pPr>
    <w:r>
      <w:rPr>
        <w:rFonts w:ascii="Calibri" w:hAnsi="Calibri" w:cs="Arial"/>
        <w:noProof/>
        <w:color w:val="E51301"/>
        <w:sz w:val="21"/>
        <w:szCs w:val="21"/>
        <w:lang w:val="ro-RO" w:eastAsia="ro-RO"/>
      </w:rPr>
      <w:drawing>
        <wp:inline distT="0" distB="0" distL="0" distR="0" wp14:anchorId="3DC92008" wp14:editId="67DEB6B5">
          <wp:extent cx="1028700" cy="1162050"/>
          <wp:effectExtent l="0" t="0" r="0" b="0"/>
          <wp:docPr id="6" name="Picture 6" descr="MFN 2014-2021 - justitie">
            <a:hlinkClick xmlns:a="http://schemas.openxmlformats.org/drawingml/2006/main" r:id="rId1" tooltip="&quot;MFN 2014-2021 - justiti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MFN 2014-2021 - justitie">
                    <a:hlinkClick r:id="rId1" tooltip="&quot;MFN 2014-2021 - justiti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458">
      <w:t xml:space="preserve">           </w:t>
    </w:r>
    <w:r w:rsidR="00060D3F">
      <w:t xml:space="preserve"> </w:t>
    </w:r>
    <w:r w:rsidR="00C77458"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202D0DD1"/>
    <w:multiLevelType w:val="hybridMultilevel"/>
    <w:tmpl w:val="7A2E96A6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CB323DA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C027D6"/>
    <w:multiLevelType w:val="hybridMultilevel"/>
    <w:tmpl w:val="7D5CA96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EB304A"/>
    <w:multiLevelType w:val="hybridMultilevel"/>
    <w:tmpl w:val="4BCE7D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7186">
    <w:abstractNumId w:val="4"/>
  </w:num>
  <w:num w:numId="2" w16cid:durableId="365910019">
    <w:abstractNumId w:val="3"/>
  </w:num>
  <w:num w:numId="3" w16cid:durableId="1427770843">
    <w:abstractNumId w:val="1"/>
  </w:num>
  <w:num w:numId="4" w16cid:durableId="10740839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211439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77"/>
    <w:rsid w:val="00004879"/>
    <w:rsid w:val="00060D3F"/>
    <w:rsid w:val="00070D13"/>
    <w:rsid w:val="00070F45"/>
    <w:rsid w:val="00086289"/>
    <w:rsid w:val="000E61E2"/>
    <w:rsid w:val="001559EE"/>
    <w:rsid w:val="00190E9F"/>
    <w:rsid w:val="001B669D"/>
    <w:rsid w:val="002120E7"/>
    <w:rsid w:val="0023587F"/>
    <w:rsid w:val="002859C0"/>
    <w:rsid w:val="002B3DAF"/>
    <w:rsid w:val="002E2E74"/>
    <w:rsid w:val="002F5277"/>
    <w:rsid w:val="002F7397"/>
    <w:rsid w:val="00314691"/>
    <w:rsid w:val="003705C3"/>
    <w:rsid w:val="00387581"/>
    <w:rsid w:val="003F3CCA"/>
    <w:rsid w:val="004219E0"/>
    <w:rsid w:val="004C5B46"/>
    <w:rsid w:val="0052782F"/>
    <w:rsid w:val="005B7E22"/>
    <w:rsid w:val="005C54D6"/>
    <w:rsid w:val="005E4FE7"/>
    <w:rsid w:val="006419EE"/>
    <w:rsid w:val="00682B5B"/>
    <w:rsid w:val="006C219D"/>
    <w:rsid w:val="00707E56"/>
    <w:rsid w:val="007334E4"/>
    <w:rsid w:val="00753417"/>
    <w:rsid w:val="007875C7"/>
    <w:rsid w:val="00806B15"/>
    <w:rsid w:val="0083089A"/>
    <w:rsid w:val="008512BB"/>
    <w:rsid w:val="00852FFD"/>
    <w:rsid w:val="0085756F"/>
    <w:rsid w:val="008A3700"/>
    <w:rsid w:val="008A6237"/>
    <w:rsid w:val="008A661B"/>
    <w:rsid w:val="008F73D4"/>
    <w:rsid w:val="00910547"/>
    <w:rsid w:val="009221B2"/>
    <w:rsid w:val="0096180A"/>
    <w:rsid w:val="00974292"/>
    <w:rsid w:val="00987379"/>
    <w:rsid w:val="009B14C6"/>
    <w:rsid w:val="009D322C"/>
    <w:rsid w:val="00A13320"/>
    <w:rsid w:val="00A42251"/>
    <w:rsid w:val="00A61F0F"/>
    <w:rsid w:val="00A654BD"/>
    <w:rsid w:val="00A72D95"/>
    <w:rsid w:val="00A977CF"/>
    <w:rsid w:val="00AC70F2"/>
    <w:rsid w:val="00B03F6C"/>
    <w:rsid w:val="00B535CA"/>
    <w:rsid w:val="00C43C7B"/>
    <w:rsid w:val="00C77458"/>
    <w:rsid w:val="00D1298B"/>
    <w:rsid w:val="00D26B4C"/>
    <w:rsid w:val="00D3169A"/>
    <w:rsid w:val="00D45664"/>
    <w:rsid w:val="00D57D86"/>
    <w:rsid w:val="00DB6B4D"/>
    <w:rsid w:val="00DD75B2"/>
    <w:rsid w:val="00DE79F2"/>
    <w:rsid w:val="00E13C8E"/>
    <w:rsid w:val="00E362D8"/>
    <w:rsid w:val="00E40D0F"/>
    <w:rsid w:val="00E42071"/>
    <w:rsid w:val="00E95626"/>
    <w:rsid w:val="00ED4C0E"/>
    <w:rsid w:val="00EF4E3C"/>
    <w:rsid w:val="00F36541"/>
    <w:rsid w:val="00F740E7"/>
    <w:rsid w:val="00F75D56"/>
    <w:rsid w:val="00FC3103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2BC4"/>
  <w15:chartTrackingRefBased/>
  <w15:docId w15:val="{B7CB4E11-A9E4-4128-879D-DCDAD212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5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E"/>
  </w:style>
  <w:style w:type="paragraph" w:styleId="Footer">
    <w:name w:val="footer"/>
    <w:basedOn w:val="Normal"/>
    <w:link w:val="FooterChar"/>
    <w:uiPriority w:val="99"/>
    <w:unhideWhenUsed/>
    <w:rsid w:val="00ED4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E"/>
  </w:style>
  <w:style w:type="character" w:styleId="Hyperlink">
    <w:name w:val="Hyperlink"/>
    <w:basedOn w:val="DefaultParagraphFont"/>
    <w:uiPriority w:val="99"/>
    <w:unhideWhenUsed/>
    <w:rsid w:val="00EF4E3C"/>
    <w:rPr>
      <w:color w:val="0563C1" w:themeColor="hyperlink"/>
      <w:u w:val="single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707E56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707E56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waygrants.just.ro/ro-ro/primapagin%c4%8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0B98-6F31-40FE-A587-A9651E89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Daniela, ION</dc:creator>
  <cp:keywords/>
  <dc:description/>
  <cp:lastModifiedBy>Diana Carpen</cp:lastModifiedBy>
  <cp:revision>15</cp:revision>
  <cp:lastPrinted>2021-06-14T07:13:00Z</cp:lastPrinted>
  <dcterms:created xsi:type="dcterms:W3CDTF">2022-03-03T06:47:00Z</dcterms:created>
  <dcterms:modified xsi:type="dcterms:W3CDTF">2022-11-22T09:26:00Z</dcterms:modified>
</cp:coreProperties>
</file>