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A0061" w14:textId="64D8D154" w:rsidR="006C1EBD" w:rsidRPr="00615D3E" w:rsidRDefault="006C1EBD" w:rsidP="0035738F">
      <w:pPr>
        <w:jc w:val="both"/>
        <w:rPr>
          <w:rFonts w:ascii="Myriad Pro" w:hAnsi="Myriad Pro"/>
          <w:color w:val="000000" w:themeColor="text1"/>
          <w:sz w:val="20"/>
          <w:szCs w:val="20"/>
          <w:lang w:val="ro-RO"/>
        </w:rPr>
      </w:pPr>
    </w:p>
    <w:p w14:paraId="26744A87" w14:textId="77777777" w:rsidR="00615D3E" w:rsidRPr="00615D3E" w:rsidRDefault="00615D3E" w:rsidP="00615D3E">
      <w:pPr>
        <w:jc w:val="both"/>
        <w:rPr>
          <w:rFonts w:ascii="Myriad Pro" w:hAnsi="Myriad Pro" w:cs="Segoe UI"/>
          <w:b/>
          <w:bCs/>
          <w:sz w:val="20"/>
          <w:szCs w:val="20"/>
          <w:lang w:val="en-US"/>
        </w:rPr>
      </w:pPr>
    </w:p>
    <w:p w14:paraId="20174574" w14:textId="77777777" w:rsidR="00615D3E" w:rsidRPr="00615D3E" w:rsidRDefault="00615D3E" w:rsidP="00615D3E">
      <w:pPr>
        <w:jc w:val="both"/>
        <w:rPr>
          <w:rFonts w:ascii="Myriad Pro" w:hAnsi="Myriad Pro" w:cs="Segoe UI"/>
          <w:b/>
          <w:bCs/>
          <w:sz w:val="20"/>
          <w:szCs w:val="20"/>
          <w:lang w:val="en-US"/>
        </w:rPr>
      </w:pPr>
    </w:p>
    <w:p w14:paraId="471CAEF6" w14:textId="565BF01C" w:rsidR="00615D3E" w:rsidRPr="00615D3E" w:rsidRDefault="00615D3E" w:rsidP="00615D3E">
      <w:pPr>
        <w:jc w:val="both"/>
        <w:rPr>
          <w:rFonts w:ascii="Myriad Pro" w:hAnsi="Myriad Pro" w:cs="Segoe UI"/>
          <w:b/>
          <w:bCs/>
          <w:sz w:val="20"/>
          <w:szCs w:val="20"/>
          <w:lang w:val="ro-RO"/>
        </w:rPr>
      </w:pPr>
      <w:proofErr w:type="spellStart"/>
      <w:r w:rsidRPr="00615D3E">
        <w:rPr>
          <w:rFonts w:ascii="Myriad Pro" w:hAnsi="Myriad Pro" w:cs="Segoe UI"/>
          <w:b/>
          <w:bCs/>
          <w:sz w:val="20"/>
          <w:szCs w:val="20"/>
          <w:lang w:val="en-US"/>
        </w:rPr>
        <w:t>OP-ed</w:t>
      </w:r>
      <w:proofErr w:type="spellEnd"/>
      <w:r w:rsidRPr="00615D3E">
        <w:rPr>
          <w:rFonts w:ascii="Myriad Pro" w:hAnsi="Myriad Pro" w:cs="Segoe UI"/>
          <w:b/>
          <w:bCs/>
          <w:sz w:val="20"/>
          <w:szCs w:val="20"/>
          <w:lang w:val="en-US"/>
        </w:rPr>
        <w:t xml:space="preserve"> Cristian </w:t>
      </w:r>
      <w:proofErr w:type="spellStart"/>
      <w:r w:rsidRPr="00615D3E">
        <w:rPr>
          <w:rFonts w:ascii="Myriad Pro" w:hAnsi="Myriad Pro" w:cs="Segoe UI"/>
          <w:b/>
          <w:bCs/>
          <w:sz w:val="20"/>
          <w:szCs w:val="20"/>
          <w:lang w:val="en-US"/>
        </w:rPr>
        <w:t>Spori</w:t>
      </w:r>
      <w:proofErr w:type="spellEnd"/>
      <w:r w:rsidRPr="00615D3E">
        <w:rPr>
          <w:rFonts w:ascii="Myriad Pro" w:hAnsi="Myriad Pro" w:cs="Segoe UI"/>
          <w:b/>
          <w:bCs/>
          <w:sz w:val="20"/>
          <w:szCs w:val="20"/>
          <w:lang w:val="ro-RO"/>
        </w:rPr>
        <w:t>ș</w:t>
      </w:r>
    </w:p>
    <w:p w14:paraId="690EA20B" w14:textId="011E69B9" w:rsidR="00615D3E" w:rsidRPr="00615D3E" w:rsidRDefault="00615D3E" w:rsidP="00615D3E">
      <w:pPr>
        <w:jc w:val="both"/>
        <w:rPr>
          <w:rFonts w:ascii="Myriad Pro" w:hAnsi="Myriad Pro" w:cs="Segoe UI"/>
          <w:b/>
          <w:bCs/>
          <w:sz w:val="20"/>
          <w:szCs w:val="20"/>
          <w:lang w:val="ro-RO"/>
        </w:rPr>
      </w:pPr>
      <w:r w:rsidRPr="00615D3E">
        <w:rPr>
          <w:rFonts w:ascii="Myriad Pro" w:hAnsi="Myriad Pro" w:cs="Segoe UI"/>
          <w:b/>
          <w:bCs/>
          <w:sz w:val="20"/>
          <w:szCs w:val="20"/>
          <w:lang w:val="ro-RO"/>
        </w:rPr>
        <w:t>Vice-</w:t>
      </w:r>
      <w:r w:rsidRPr="00615D3E">
        <w:rPr>
          <w:rFonts w:ascii="Myriad Pro" w:hAnsi="Myriad Pro" w:cs="Segoe UI"/>
          <w:b/>
          <w:bCs/>
          <w:sz w:val="20"/>
          <w:szCs w:val="20"/>
          <w:lang w:val="ro-RO"/>
        </w:rPr>
        <w:t>președinte</w:t>
      </w:r>
      <w:r w:rsidRPr="00615D3E">
        <w:rPr>
          <w:rFonts w:ascii="Myriad Pro" w:hAnsi="Myriad Pro" w:cs="Segoe UI"/>
          <w:b/>
          <w:bCs/>
          <w:sz w:val="20"/>
          <w:szCs w:val="20"/>
          <w:lang w:val="ro-RO"/>
        </w:rPr>
        <w:t xml:space="preserve"> AmCham Romania</w:t>
      </w:r>
    </w:p>
    <w:p w14:paraId="716B6C7D" w14:textId="77777777" w:rsidR="00615D3E" w:rsidRPr="00615D3E" w:rsidRDefault="00615D3E" w:rsidP="00615D3E">
      <w:pPr>
        <w:spacing w:line="276" w:lineRule="auto"/>
        <w:jc w:val="both"/>
        <w:rPr>
          <w:rFonts w:ascii="Myriad Pro" w:hAnsi="Myriad Pro" w:cs="Segoe UI"/>
          <w:b/>
          <w:bCs/>
          <w:i/>
          <w:iCs/>
          <w:sz w:val="20"/>
          <w:szCs w:val="20"/>
          <w:lang w:val="ro-RO"/>
        </w:rPr>
      </w:pPr>
    </w:p>
    <w:p w14:paraId="412DF836" w14:textId="77777777" w:rsidR="00615D3E" w:rsidRPr="00615D3E" w:rsidRDefault="00615D3E" w:rsidP="00615D3E">
      <w:pPr>
        <w:spacing w:line="276" w:lineRule="auto"/>
        <w:jc w:val="both"/>
        <w:rPr>
          <w:rFonts w:ascii="Myriad Pro" w:hAnsi="Myriad Pro" w:cs="Segoe UI"/>
          <w:b/>
          <w:bCs/>
          <w:i/>
          <w:iCs/>
          <w:sz w:val="20"/>
          <w:szCs w:val="20"/>
          <w:lang w:val="ro-RO"/>
        </w:rPr>
      </w:pPr>
      <w:r w:rsidRPr="00615D3E">
        <w:rPr>
          <w:rFonts w:ascii="Myriad Pro" w:hAnsi="Myriad Pro" w:cs="Segoe UI"/>
          <w:b/>
          <w:bCs/>
          <w:i/>
          <w:iCs/>
          <w:sz w:val="20"/>
          <w:szCs w:val="20"/>
          <w:lang w:val="ro-RO"/>
        </w:rPr>
        <w:t xml:space="preserve">Priorități 2023: O planificare bugetară prudentă și sustenabilă, singura variantă pentru țintirea unui echilibru macroeconomic </w:t>
      </w:r>
    </w:p>
    <w:p w14:paraId="1B9812C0" w14:textId="77777777" w:rsidR="00615D3E" w:rsidRPr="00615D3E" w:rsidRDefault="00615D3E" w:rsidP="00615D3E">
      <w:pPr>
        <w:spacing w:line="276" w:lineRule="auto"/>
        <w:jc w:val="both"/>
        <w:rPr>
          <w:rFonts w:ascii="Myriad Pro" w:hAnsi="Myriad Pro" w:cs="Segoe UI"/>
          <w:b/>
          <w:bCs/>
          <w:i/>
          <w:iCs/>
          <w:sz w:val="20"/>
          <w:szCs w:val="20"/>
          <w:lang w:val="ro-RO"/>
        </w:rPr>
      </w:pPr>
    </w:p>
    <w:p w14:paraId="34140F24" w14:textId="77777777" w:rsidR="00615D3E" w:rsidRPr="00615D3E" w:rsidRDefault="00615D3E" w:rsidP="00615D3E">
      <w:pPr>
        <w:spacing w:after="120" w:line="276" w:lineRule="auto"/>
        <w:jc w:val="both"/>
        <w:rPr>
          <w:rFonts w:ascii="Myriad Pro" w:hAnsi="Myriad Pro" w:cs="Segoe UI"/>
          <w:sz w:val="20"/>
          <w:szCs w:val="20"/>
          <w:lang w:val="ro-RO"/>
        </w:rPr>
      </w:pPr>
      <w:r w:rsidRPr="00615D3E">
        <w:rPr>
          <w:rFonts w:ascii="Myriad Pro" w:hAnsi="Myriad Pro" w:cs="Segoe UI"/>
          <w:sz w:val="20"/>
          <w:szCs w:val="20"/>
          <w:lang w:val="ro-RO"/>
        </w:rPr>
        <w:t xml:space="preserve">În contextul exercițiului de construcție a bugetului de stat pentru 2023, ca în fiecare an, AmCham România semnalează importanța respectării unor principii fundamentale care trebuie să ghideze acest proces. </w:t>
      </w:r>
    </w:p>
    <w:p w14:paraId="0095A52F" w14:textId="77777777" w:rsidR="00615D3E" w:rsidRPr="00615D3E" w:rsidRDefault="00615D3E" w:rsidP="00615D3E">
      <w:pPr>
        <w:spacing w:after="120" w:line="276" w:lineRule="auto"/>
        <w:jc w:val="both"/>
        <w:rPr>
          <w:rFonts w:ascii="Myriad Pro" w:hAnsi="Myriad Pro" w:cs="Segoe UI"/>
          <w:sz w:val="20"/>
          <w:szCs w:val="20"/>
          <w:lang w:val="ro-RO"/>
        </w:rPr>
      </w:pPr>
      <w:r w:rsidRPr="00615D3E">
        <w:rPr>
          <w:rFonts w:ascii="Myriad Pro" w:hAnsi="Myriad Pro" w:cs="Segoe UI"/>
          <w:sz w:val="20"/>
          <w:szCs w:val="20"/>
          <w:lang w:val="ro-RO"/>
        </w:rPr>
        <w:t>Perspectiva macroeconomică actuală este marcată de o serie de crize suprapuse</w:t>
      </w:r>
      <w:r w:rsidRPr="00615D3E">
        <w:rPr>
          <w:rFonts w:ascii="Myriad Pro" w:hAnsi="Myriad Pro" w:cs="Segoe UI"/>
          <w:i/>
          <w:iCs/>
          <w:sz w:val="20"/>
          <w:szCs w:val="20"/>
          <w:lang w:val="ro-RO"/>
        </w:rPr>
        <w:t xml:space="preserve"> </w:t>
      </w:r>
      <w:r w:rsidRPr="00615D3E">
        <w:rPr>
          <w:rFonts w:ascii="Myriad Pro" w:hAnsi="Myriad Pro" w:cs="Segoe UI"/>
          <w:sz w:val="20"/>
          <w:szCs w:val="20"/>
          <w:lang w:val="ro-RO"/>
        </w:rPr>
        <w:t xml:space="preserve">care impun o </w:t>
      </w:r>
      <w:r w:rsidRPr="00615D3E">
        <w:rPr>
          <w:rFonts w:ascii="Myriad Pro" w:hAnsi="Myriad Pro" w:cs="Segoe UI"/>
          <w:b/>
          <w:bCs/>
          <w:sz w:val="20"/>
          <w:szCs w:val="20"/>
          <w:lang w:val="ro-RO"/>
        </w:rPr>
        <w:t>planificare bugetară eficientă și prudentă</w:t>
      </w:r>
      <w:r w:rsidRPr="00615D3E">
        <w:rPr>
          <w:rFonts w:ascii="Myriad Pro" w:hAnsi="Myriad Pro" w:cs="Segoe UI"/>
          <w:sz w:val="20"/>
          <w:szCs w:val="20"/>
          <w:lang w:val="ro-RO"/>
        </w:rPr>
        <w:t xml:space="preserve">. Deasupra radiografiei de creștere economică în anul 2022 planează un orizont de incertitudini, culminând cu prognosticul recesiunii în economii de referință, precum SUA, Germania și alte state europene, în timp ce experiența ultimilor doi ani ne arată că nu ne putem izola de șocurile exogene. </w:t>
      </w:r>
    </w:p>
    <w:p w14:paraId="07EEAC08" w14:textId="77777777" w:rsidR="00615D3E" w:rsidRPr="00615D3E" w:rsidRDefault="00615D3E" w:rsidP="00615D3E">
      <w:pPr>
        <w:spacing w:after="120" w:line="276" w:lineRule="auto"/>
        <w:jc w:val="both"/>
        <w:rPr>
          <w:rFonts w:ascii="Myriad Pro" w:hAnsi="Myriad Pro" w:cs="Segoe UI"/>
          <w:b/>
          <w:bCs/>
          <w:sz w:val="20"/>
          <w:szCs w:val="20"/>
          <w:lang w:val="ro-RO"/>
        </w:rPr>
      </w:pPr>
      <w:r w:rsidRPr="00615D3E">
        <w:rPr>
          <w:rFonts w:ascii="Myriad Pro" w:hAnsi="Myriad Pro" w:cs="Segoe UI"/>
          <w:sz w:val="20"/>
          <w:szCs w:val="20"/>
          <w:lang w:val="ro-RO"/>
        </w:rPr>
        <w:t>În viziunea AmCham, o planificare bugetară sustenabilă trebuie să urmărească principii și obiective strategice, precum:</w:t>
      </w:r>
    </w:p>
    <w:p w14:paraId="6A4A6BF9" w14:textId="77777777" w:rsidR="00615D3E" w:rsidRPr="00615D3E" w:rsidRDefault="00615D3E" w:rsidP="00615D3E">
      <w:pPr>
        <w:pStyle w:val="ListParagraph"/>
        <w:numPr>
          <w:ilvl w:val="0"/>
          <w:numId w:val="5"/>
        </w:numPr>
        <w:spacing w:after="120" w:line="276" w:lineRule="auto"/>
        <w:ind w:hanging="357"/>
        <w:contextualSpacing w:val="0"/>
        <w:jc w:val="both"/>
        <w:rPr>
          <w:rFonts w:ascii="Myriad Pro" w:hAnsi="Myriad Pro" w:cs="Segoe UI"/>
          <w:sz w:val="20"/>
          <w:szCs w:val="20"/>
          <w:lang w:val="ro-RO"/>
        </w:rPr>
      </w:pPr>
      <w:r w:rsidRPr="00615D3E">
        <w:rPr>
          <w:rFonts w:ascii="Myriad Pro" w:hAnsi="Myriad Pro" w:cs="Segoe UI"/>
          <w:b/>
          <w:bCs/>
          <w:sz w:val="20"/>
          <w:szCs w:val="20"/>
          <w:lang w:val="ro-RO"/>
        </w:rPr>
        <w:t xml:space="preserve">Schimbarea paradigmei economice devine prioritatea zero într-un context în care modelul de creștere bazat pe consum se dovedește a fi nu doar nesănătos, ci și o vulnerabilitate. </w:t>
      </w:r>
      <w:r w:rsidRPr="00615D3E">
        <w:rPr>
          <w:rFonts w:ascii="Myriad Pro" w:hAnsi="Myriad Pro" w:cs="Segoe UI"/>
          <w:sz w:val="20"/>
          <w:szCs w:val="20"/>
          <w:lang w:val="ro-RO"/>
        </w:rPr>
        <w:t xml:space="preserve">Criza prețurilor la energie și inflația galopantă, ale căror efecte se resimt cu precădere la nivelul consumului, sunt exemple elocvente, cu atât mai mult cu cât în ciuda plafonării prețurilor la energie, rata de transmisie a acestora în prețul bunurilor este una fără precedent. </w:t>
      </w:r>
    </w:p>
    <w:p w14:paraId="441D1639" w14:textId="77777777" w:rsidR="00615D3E" w:rsidRPr="00615D3E" w:rsidRDefault="00615D3E" w:rsidP="00615D3E">
      <w:pPr>
        <w:pStyle w:val="ListParagraph"/>
        <w:numPr>
          <w:ilvl w:val="0"/>
          <w:numId w:val="5"/>
        </w:numPr>
        <w:spacing w:after="120" w:line="276" w:lineRule="auto"/>
        <w:ind w:hanging="357"/>
        <w:contextualSpacing w:val="0"/>
        <w:jc w:val="both"/>
        <w:rPr>
          <w:rFonts w:ascii="Myriad Pro" w:hAnsi="Myriad Pro" w:cs="Segoe UI"/>
          <w:b/>
          <w:bCs/>
          <w:sz w:val="20"/>
          <w:szCs w:val="20"/>
          <w:lang w:val="ro-RO"/>
        </w:rPr>
      </w:pPr>
      <w:r w:rsidRPr="00615D3E">
        <w:rPr>
          <w:rFonts w:ascii="Myriad Pro" w:hAnsi="Myriad Pro" w:cs="Segoe UI"/>
          <w:sz w:val="20"/>
          <w:szCs w:val="20"/>
          <w:lang w:val="ro-RO"/>
        </w:rPr>
        <w:t xml:space="preserve">Este încurajator că România a înregistrat o continuitate a fluxurilor investiționale în perioada pandemică și post-pandemică, în pofida accelerării inflației. </w:t>
      </w:r>
      <w:r w:rsidRPr="00615D3E">
        <w:rPr>
          <w:rFonts w:ascii="Myriad Pro" w:hAnsi="Myriad Pro" w:cs="Segoe UI"/>
          <w:b/>
          <w:bCs/>
          <w:sz w:val="20"/>
          <w:szCs w:val="20"/>
          <w:lang w:val="ro-RO"/>
        </w:rPr>
        <w:t xml:space="preserve">Investițiile strategice în activități a căror valoare adăugată va genera un efect multiplicator în economie reprezintă cheia succesului pentru o creștere sustenabilă, dar și pentru adresarea uneia dintre vulnerabilitățile cronice ale României – deficitul comercial, care înregistrează valori record. </w:t>
      </w:r>
    </w:p>
    <w:p w14:paraId="2AEA53F0" w14:textId="26CFBB21" w:rsidR="00615D3E" w:rsidRPr="00615D3E" w:rsidRDefault="00615D3E" w:rsidP="00615D3E">
      <w:pPr>
        <w:spacing w:after="120" w:line="276" w:lineRule="auto"/>
        <w:ind w:left="720"/>
        <w:jc w:val="both"/>
        <w:rPr>
          <w:rFonts w:ascii="Myriad Pro" w:hAnsi="Myriad Pro" w:cs="Segoe UI"/>
          <w:sz w:val="20"/>
          <w:szCs w:val="20"/>
          <w:lang w:val="ro-RO"/>
        </w:rPr>
      </w:pPr>
      <w:r w:rsidRPr="00615D3E">
        <w:rPr>
          <w:rFonts w:ascii="Myriad Pro" w:hAnsi="Myriad Pro" w:cs="Segoe UI"/>
          <w:sz w:val="20"/>
          <w:szCs w:val="20"/>
          <w:lang w:val="ro-RO"/>
        </w:rPr>
        <w:t xml:space="preserve">Creșterea vertiginoasă a importurilor, dar mai ales localizarea lor în sectoare strategice în care România are un potențial </w:t>
      </w:r>
      <w:r>
        <w:rPr>
          <w:rFonts w:ascii="Myriad Pro" w:hAnsi="Myriad Pro" w:cs="Segoe UI"/>
          <w:sz w:val="20"/>
          <w:szCs w:val="20"/>
          <w:lang w:val="ro-RO"/>
        </w:rPr>
        <w:t>semnificativ</w:t>
      </w:r>
      <w:r w:rsidRPr="00615D3E">
        <w:rPr>
          <w:rFonts w:ascii="Myriad Pro" w:hAnsi="Myriad Pro" w:cs="Segoe UI"/>
          <w:sz w:val="20"/>
          <w:szCs w:val="20"/>
          <w:lang w:val="ro-RO"/>
        </w:rPr>
        <w:t xml:space="preserve"> (industria agroalimentară, energie, petrochimică etc.) este cel puțin un paradox. România este a cincea țară ca potențial agricol din UE, însă rata de import a produselor agroalimentare este alarmantă. Deși țara noastră beneficiază de resurse considerabile și pretinde a fi </w:t>
      </w:r>
      <w:r w:rsidRPr="00615D3E">
        <w:rPr>
          <w:rFonts w:ascii="Myriad Pro" w:hAnsi="Myriad Pro" w:cs="Segoe UI"/>
          <w:sz w:val="20"/>
          <w:szCs w:val="20"/>
        </w:rPr>
        <w:t>“</w:t>
      </w:r>
      <w:r w:rsidRPr="00615D3E">
        <w:rPr>
          <w:rFonts w:ascii="Myriad Pro" w:hAnsi="Myriad Pro" w:cs="Segoe UI"/>
          <w:sz w:val="20"/>
          <w:szCs w:val="20"/>
          <w:lang w:val="ro-RO"/>
        </w:rPr>
        <w:t>independentă energetic</w:t>
      </w:r>
      <w:r w:rsidRPr="00615D3E">
        <w:rPr>
          <w:rFonts w:ascii="Myriad Pro" w:hAnsi="Myriad Pro" w:cs="Segoe UI"/>
          <w:sz w:val="20"/>
          <w:szCs w:val="20"/>
        </w:rPr>
        <w:t xml:space="preserve">”, </w:t>
      </w:r>
      <w:r w:rsidRPr="00615D3E">
        <w:rPr>
          <w:rFonts w:ascii="Myriad Pro" w:hAnsi="Myriad Pro" w:cs="Segoe UI"/>
          <w:sz w:val="20"/>
          <w:szCs w:val="20"/>
          <w:lang w:val="ro-RO"/>
        </w:rPr>
        <w:t>statisticile arată că</w:t>
      </w:r>
      <w:r w:rsidRPr="00615D3E">
        <w:rPr>
          <w:rFonts w:ascii="Myriad Pro" w:hAnsi="Myriad Pro" w:cs="Segoe UI"/>
          <w:sz w:val="20"/>
          <w:szCs w:val="20"/>
        </w:rPr>
        <w:t xml:space="preserve"> </w:t>
      </w:r>
      <w:r w:rsidRPr="00615D3E">
        <w:rPr>
          <w:rFonts w:ascii="Myriad Pro" w:hAnsi="Myriad Pro" w:cs="Segoe UI"/>
          <w:sz w:val="20"/>
          <w:szCs w:val="20"/>
          <w:lang w:val="ro-RO"/>
        </w:rPr>
        <w:t xml:space="preserve">suntem un importator net de energie. </w:t>
      </w:r>
    </w:p>
    <w:p w14:paraId="7AA2DFBF" w14:textId="77777777" w:rsidR="00615D3E" w:rsidRPr="00615D3E" w:rsidRDefault="00615D3E" w:rsidP="00615D3E">
      <w:pPr>
        <w:spacing w:after="120" w:line="276" w:lineRule="auto"/>
        <w:ind w:left="720"/>
        <w:jc w:val="both"/>
        <w:rPr>
          <w:rFonts w:ascii="Myriad Pro" w:hAnsi="Myriad Pro" w:cs="Segoe UI"/>
          <w:sz w:val="20"/>
          <w:szCs w:val="20"/>
          <w:lang w:val="ro-RO"/>
        </w:rPr>
      </w:pPr>
      <w:r w:rsidRPr="00615D3E">
        <w:rPr>
          <w:rFonts w:ascii="Myriad Pro" w:hAnsi="Myriad Pro" w:cs="Segoe UI"/>
          <w:sz w:val="20"/>
          <w:szCs w:val="20"/>
          <w:lang w:val="ro-RO"/>
        </w:rPr>
        <w:t xml:space="preserve">Totuși, România se află într-o conjunctură favorabilă corectării acestor dezechilibre. Auzim des în ultima perioadă că Europa plătește factura evenimentelor din Ucraina. Pe de altă parte, războiul din Ucraina a pus regiunea Europei de Est în </w:t>
      </w:r>
      <w:r w:rsidRPr="00615D3E">
        <w:rPr>
          <w:rFonts w:ascii="Myriad Pro" w:hAnsi="Myriad Pro" w:cs="Segoe UI"/>
          <w:sz w:val="20"/>
          <w:szCs w:val="20"/>
        </w:rPr>
        <w:t>“</w:t>
      </w:r>
      <w:r w:rsidRPr="00615D3E">
        <w:rPr>
          <w:rFonts w:ascii="Myriad Pro" w:hAnsi="Myriad Pro" w:cs="Segoe UI"/>
          <w:sz w:val="20"/>
          <w:szCs w:val="20"/>
          <w:lang w:val="ro-RO"/>
        </w:rPr>
        <w:t>lumina reflectoarelor</w:t>
      </w:r>
      <w:r w:rsidRPr="00615D3E">
        <w:rPr>
          <w:rFonts w:ascii="Myriad Pro" w:hAnsi="Myriad Pro" w:cs="Segoe UI"/>
          <w:sz w:val="20"/>
          <w:szCs w:val="20"/>
        </w:rPr>
        <w:t>”</w:t>
      </w:r>
      <w:r w:rsidRPr="00615D3E">
        <w:rPr>
          <w:rFonts w:ascii="Myriad Pro" w:hAnsi="Myriad Pro" w:cs="Segoe UI"/>
          <w:sz w:val="20"/>
          <w:szCs w:val="20"/>
          <w:lang w:val="ro-RO"/>
        </w:rPr>
        <w:t xml:space="preserve">, iar România în prim plan, un prilej pentru a-și întări poziția regională, pe flancul estic al NATO și al Uniunii Europene, dar și pe radarul investitorilor. </w:t>
      </w:r>
    </w:p>
    <w:p w14:paraId="556EA01E" w14:textId="77777777" w:rsidR="00615D3E" w:rsidRPr="00615D3E" w:rsidRDefault="00615D3E" w:rsidP="00615D3E">
      <w:pPr>
        <w:pStyle w:val="ListParagraph"/>
        <w:numPr>
          <w:ilvl w:val="0"/>
          <w:numId w:val="5"/>
        </w:numPr>
        <w:spacing w:after="120" w:line="276" w:lineRule="auto"/>
        <w:ind w:hanging="357"/>
        <w:contextualSpacing w:val="0"/>
        <w:jc w:val="both"/>
        <w:rPr>
          <w:rFonts w:ascii="Myriad Pro" w:hAnsi="Myriad Pro" w:cs="Segoe UI"/>
          <w:sz w:val="20"/>
          <w:szCs w:val="20"/>
          <w:lang w:val="ro-RO"/>
        </w:rPr>
      </w:pPr>
      <w:r w:rsidRPr="00615D3E">
        <w:rPr>
          <w:rFonts w:ascii="Myriad Pro" w:hAnsi="Myriad Pro" w:cs="Segoe UI"/>
          <w:b/>
          <w:bCs/>
          <w:sz w:val="20"/>
          <w:szCs w:val="20"/>
          <w:lang w:val="ro-RO"/>
        </w:rPr>
        <w:t>Alături de îmbunătățirea absorbției fondurilor europene, accelerarea investițiilor, va contribui atât la echilibrarea balanței comerciale, cât și la finanțarea deficitului de cont curent.</w:t>
      </w:r>
      <w:r w:rsidRPr="00615D3E">
        <w:rPr>
          <w:rFonts w:ascii="Myriad Pro" w:hAnsi="Myriad Pro" w:cs="Segoe UI"/>
          <w:sz w:val="20"/>
          <w:szCs w:val="20"/>
          <w:lang w:val="ro-RO"/>
        </w:rPr>
        <w:t xml:space="preserve"> </w:t>
      </w:r>
    </w:p>
    <w:p w14:paraId="100170F3" w14:textId="77777777" w:rsidR="00615D3E" w:rsidRPr="00615D3E" w:rsidRDefault="00615D3E" w:rsidP="00615D3E">
      <w:pPr>
        <w:pStyle w:val="ListParagraph"/>
        <w:spacing w:after="120" w:line="276" w:lineRule="auto"/>
        <w:contextualSpacing w:val="0"/>
        <w:jc w:val="both"/>
        <w:rPr>
          <w:rFonts w:ascii="Myriad Pro" w:hAnsi="Myriad Pro" w:cs="Segoe UI"/>
          <w:sz w:val="20"/>
          <w:szCs w:val="20"/>
          <w:lang w:val="ro-RO"/>
        </w:rPr>
      </w:pPr>
      <w:r w:rsidRPr="00615D3E">
        <w:rPr>
          <w:rFonts w:ascii="Myriad Pro" w:hAnsi="Myriad Pro" w:cs="Segoe UI"/>
          <w:sz w:val="20"/>
          <w:szCs w:val="20"/>
          <w:lang w:val="ro-RO"/>
        </w:rPr>
        <w:t xml:space="preserve">Fondurile europene  2021-2027 sunt esențiale pentru economia românească, un influx de capital masiv, cu condiționalități stricte, care ne sprijină și ne responsabilizează în direcția implementării reformelor și proiectelor de anvergură care vor susține eforturile de convergență cu celelalte economii din regiune. Miza Planului Național de Redresare și Reziliență (PNRR) trascede orizontul celor patru ani rămași pentru implementare și este o șansă istorică pentru așezarea României pe o traiectorie de dezvoltare și prosperitate sustenabile. </w:t>
      </w:r>
    </w:p>
    <w:p w14:paraId="2256C9C9" w14:textId="77777777" w:rsidR="00615D3E" w:rsidRPr="00615D3E" w:rsidRDefault="00615D3E" w:rsidP="00615D3E">
      <w:pPr>
        <w:pStyle w:val="ListParagraph"/>
        <w:numPr>
          <w:ilvl w:val="0"/>
          <w:numId w:val="5"/>
        </w:numPr>
        <w:spacing w:after="120" w:line="276" w:lineRule="auto"/>
        <w:ind w:hanging="357"/>
        <w:contextualSpacing w:val="0"/>
        <w:jc w:val="both"/>
        <w:rPr>
          <w:rFonts w:ascii="Myriad Pro" w:hAnsi="Myriad Pro" w:cs="Segoe UI"/>
          <w:b/>
          <w:bCs/>
          <w:sz w:val="20"/>
          <w:szCs w:val="20"/>
          <w:lang w:val="ro-RO"/>
        </w:rPr>
      </w:pPr>
      <w:r w:rsidRPr="00615D3E">
        <w:rPr>
          <w:rFonts w:ascii="Myriad Pro" w:hAnsi="Myriad Pro" w:cs="Segoe UI"/>
          <w:b/>
          <w:bCs/>
          <w:sz w:val="20"/>
          <w:szCs w:val="20"/>
          <w:lang w:val="ro-RO"/>
        </w:rPr>
        <w:lastRenderedPageBreak/>
        <w:t>Consolidarea fiscal-bugetară trebuie să rămână o prioritate</w:t>
      </w:r>
      <w:r w:rsidRPr="00615D3E">
        <w:rPr>
          <w:rFonts w:ascii="Myriad Pro" w:hAnsi="Myriad Pro" w:cs="Segoe UI"/>
          <w:sz w:val="20"/>
          <w:szCs w:val="20"/>
          <w:lang w:val="ro-RO"/>
        </w:rPr>
        <w:t xml:space="preserve">. Performanța României în materie de colectare a veniturilor fiscale este demoralizantă nu doar prin raportare la media europeană (42% versus 27,3% din PIB în România) ci și la statele din regiune (în jur de 35% în Polonia și Ungaria, respectiv 32% în Bulgaria). </w:t>
      </w:r>
    </w:p>
    <w:p w14:paraId="7687DDA3" w14:textId="77777777" w:rsidR="00615D3E" w:rsidRPr="00615D3E" w:rsidRDefault="00615D3E" w:rsidP="00615D3E">
      <w:pPr>
        <w:spacing w:after="120" w:line="276" w:lineRule="auto"/>
        <w:ind w:left="720"/>
        <w:jc w:val="both"/>
        <w:rPr>
          <w:rFonts w:ascii="Myriad Pro" w:hAnsi="Myriad Pro" w:cs="Segoe UI"/>
          <w:b/>
          <w:bCs/>
          <w:sz w:val="20"/>
          <w:szCs w:val="20"/>
          <w:lang w:val="ro-RO"/>
        </w:rPr>
      </w:pPr>
      <w:r w:rsidRPr="00615D3E">
        <w:rPr>
          <w:rFonts w:ascii="Myriad Pro" w:hAnsi="Myriad Pro" w:cs="Segoe UI"/>
          <w:sz w:val="20"/>
          <w:szCs w:val="20"/>
          <w:lang w:val="ro-RO"/>
        </w:rPr>
        <w:t>Decalajul este uriaș, însă soluțiile sunt cunoscute, iar AmCham le-a susținut în mod constant în dialogul cu autoritățile –</w:t>
      </w:r>
      <w:r w:rsidRPr="00615D3E">
        <w:rPr>
          <w:rFonts w:ascii="Myriad Pro" w:hAnsi="Myriad Pro" w:cs="Segoe UI"/>
          <w:b/>
          <w:bCs/>
          <w:sz w:val="20"/>
          <w:szCs w:val="20"/>
          <w:lang w:val="ro-RO"/>
        </w:rPr>
        <w:t xml:space="preserve"> </w:t>
      </w:r>
      <w:r w:rsidRPr="00615D3E">
        <w:rPr>
          <w:rFonts w:ascii="Myriad Pro" w:hAnsi="Myriad Pro" w:cs="Segoe UI"/>
          <w:sz w:val="20"/>
          <w:szCs w:val="20"/>
          <w:lang w:val="ro-RO"/>
        </w:rPr>
        <w:t xml:space="preserve">digitalizarea administrației fiscale/publice, reducerea gap-ului de TVA și combaterea evaziunii fiscale, închiderea portițelor de optimizare fiscală care lasă loc de abuzuri și reașezarea sistemului fiscal pe baze echitabile și stimulative. Balanța înclină în funcție de voința la nivel politic. Să nu uităm că avem și un jalon în PNRR pentru creșterea colectării ca procent din PIB! </w:t>
      </w:r>
    </w:p>
    <w:p w14:paraId="554EAA34" w14:textId="77777777" w:rsidR="00615D3E" w:rsidRPr="00615D3E" w:rsidRDefault="00615D3E" w:rsidP="00615D3E">
      <w:pPr>
        <w:pStyle w:val="ListParagraph"/>
        <w:numPr>
          <w:ilvl w:val="0"/>
          <w:numId w:val="5"/>
        </w:numPr>
        <w:spacing w:after="120" w:line="276" w:lineRule="auto"/>
        <w:ind w:hanging="357"/>
        <w:contextualSpacing w:val="0"/>
        <w:jc w:val="both"/>
        <w:rPr>
          <w:rFonts w:ascii="Myriad Pro" w:hAnsi="Myriad Pro" w:cs="Segoe UI"/>
          <w:b/>
          <w:bCs/>
          <w:sz w:val="20"/>
          <w:szCs w:val="20"/>
          <w:lang w:val="ro-RO"/>
        </w:rPr>
      </w:pPr>
      <w:r w:rsidRPr="00615D3E">
        <w:rPr>
          <w:rFonts w:ascii="Myriad Pro" w:hAnsi="Myriad Pro" w:cs="Segoe UI"/>
          <w:b/>
          <w:bCs/>
          <w:sz w:val="20"/>
          <w:szCs w:val="20"/>
          <w:lang w:val="ro-RO"/>
        </w:rPr>
        <w:t xml:space="preserve">Politica fiscală și politica monetară ar trebui să funcționeze în tandem </w:t>
      </w:r>
      <w:r w:rsidRPr="00615D3E">
        <w:rPr>
          <w:rFonts w:ascii="Myriad Pro" w:hAnsi="Myriad Pro" w:cs="Segoe UI"/>
          <w:sz w:val="20"/>
          <w:szCs w:val="20"/>
          <w:lang w:val="ro-RO"/>
        </w:rPr>
        <w:t xml:space="preserve">și să se ralieze unei cauze comune – reducerea inflației, în caz contrar aceasta se va prelungi, în timp ce costurile ameliorării ei vor crește. Nu este viabil să susținem o politică monetară restrictivă pentru a răspunde unui șoc de ofertă, în paralel cu o politică fiscală expansionistă care alimentează un exces de cerere, și implicit presiunea inflaționistă. </w:t>
      </w:r>
    </w:p>
    <w:p w14:paraId="45E46D9F" w14:textId="77777777" w:rsidR="00615D3E" w:rsidRPr="00615D3E" w:rsidRDefault="00615D3E" w:rsidP="00615D3E">
      <w:pPr>
        <w:spacing w:after="120" w:line="276" w:lineRule="auto"/>
        <w:jc w:val="both"/>
        <w:rPr>
          <w:rFonts w:ascii="Myriad Pro" w:hAnsi="Myriad Pro" w:cs="Segoe UI"/>
          <w:b/>
          <w:bCs/>
          <w:sz w:val="20"/>
          <w:szCs w:val="20"/>
          <w:lang w:val="ro-RO"/>
        </w:rPr>
      </w:pPr>
      <w:r w:rsidRPr="00615D3E">
        <w:rPr>
          <w:rFonts w:ascii="Myriad Pro" w:hAnsi="Myriad Pro" w:cs="Segoe UI"/>
          <w:sz w:val="20"/>
          <w:szCs w:val="20"/>
          <w:lang w:val="ro-RO"/>
        </w:rPr>
        <w:t>Construcția bugetului pentru anul 2023 se întrevede a fi un exercițiu complex, însă execuția va fi o provocare și mai mare. Pe fondul unui an preelectoral, va fi important să nu cădem pradă tentației măsurilor populiste pe termen scurt, lipsite de fundament economic, care pot avea efecte adverse pe termen mediu și lung.</w:t>
      </w:r>
      <w:r w:rsidRPr="00615D3E">
        <w:rPr>
          <w:rFonts w:ascii="Myriad Pro" w:hAnsi="Myriad Pro" w:cs="Segoe UI"/>
          <w:b/>
          <w:bCs/>
          <w:sz w:val="20"/>
          <w:szCs w:val="20"/>
          <w:lang w:val="ro-RO"/>
        </w:rPr>
        <w:t xml:space="preserve"> </w:t>
      </w:r>
      <w:r w:rsidRPr="00615D3E">
        <w:rPr>
          <w:rFonts w:ascii="Myriad Pro" w:hAnsi="Myriad Pro" w:cs="Segoe UI"/>
          <w:sz w:val="20"/>
          <w:szCs w:val="20"/>
          <w:lang w:val="ro-RO"/>
        </w:rPr>
        <w:t xml:space="preserve">În mod istoric, nota de plată pentru astfel de </w:t>
      </w:r>
      <w:r w:rsidRPr="00615D3E">
        <w:rPr>
          <w:rFonts w:ascii="Myriad Pro" w:hAnsi="Myriad Pro" w:cs="Segoe UI"/>
          <w:sz w:val="20"/>
          <w:szCs w:val="20"/>
        </w:rPr>
        <w:t>“</w:t>
      </w:r>
      <w:r w:rsidRPr="00615D3E">
        <w:rPr>
          <w:rFonts w:ascii="Myriad Pro" w:hAnsi="Myriad Pro" w:cs="Segoe UI"/>
          <w:sz w:val="20"/>
          <w:szCs w:val="20"/>
          <w:lang w:val="ro-RO"/>
        </w:rPr>
        <w:t xml:space="preserve">artificii” s-a tradus într-o factură pe care am decontat-o cu toții la nivelul societății. </w:t>
      </w:r>
    </w:p>
    <w:p w14:paraId="6CE36D63" w14:textId="3CC3BF52" w:rsidR="00615D3E" w:rsidRPr="00615D3E" w:rsidRDefault="00615D3E" w:rsidP="0035738F">
      <w:pPr>
        <w:jc w:val="both"/>
        <w:rPr>
          <w:rFonts w:ascii="Myriad Pro" w:hAnsi="Myriad Pro"/>
          <w:color w:val="000000" w:themeColor="text1"/>
          <w:sz w:val="20"/>
          <w:szCs w:val="20"/>
          <w:lang w:val="ro-RO"/>
        </w:rPr>
      </w:pPr>
    </w:p>
    <w:p w14:paraId="4D068CED" w14:textId="0F5931D9" w:rsidR="00615D3E" w:rsidRPr="00615D3E" w:rsidRDefault="00615D3E" w:rsidP="0035738F">
      <w:pPr>
        <w:jc w:val="both"/>
        <w:rPr>
          <w:rFonts w:ascii="Myriad Pro" w:hAnsi="Myriad Pro"/>
          <w:color w:val="000000" w:themeColor="text1"/>
          <w:sz w:val="20"/>
          <w:szCs w:val="20"/>
          <w:lang w:val="ro-RO"/>
        </w:rPr>
      </w:pPr>
    </w:p>
    <w:p w14:paraId="6BDA0BD3" w14:textId="77777777" w:rsidR="00615D3E" w:rsidRPr="00615D3E" w:rsidRDefault="00615D3E" w:rsidP="0035738F">
      <w:pPr>
        <w:jc w:val="both"/>
        <w:rPr>
          <w:rFonts w:ascii="Myriad Pro" w:hAnsi="Myriad Pro" w:cs="Segoe UI"/>
          <w:b/>
          <w:sz w:val="20"/>
          <w:szCs w:val="20"/>
          <w:lang w:val="ro-RO"/>
        </w:rPr>
      </w:pPr>
    </w:p>
    <w:p w14:paraId="4DE38DED" w14:textId="67B38674" w:rsidR="0035738F" w:rsidRPr="00615D3E" w:rsidRDefault="0035738F" w:rsidP="0035738F">
      <w:pPr>
        <w:jc w:val="both"/>
        <w:rPr>
          <w:rFonts w:ascii="Myriad Pro" w:hAnsi="Myriad Pro" w:cs="Segoe UI"/>
          <w:b/>
          <w:sz w:val="20"/>
          <w:szCs w:val="20"/>
          <w:lang w:val="ro-RO"/>
        </w:rPr>
      </w:pPr>
      <w:r w:rsidRPr="00615D3E">
        <w:rPr>
          <w:rFonts w:ascii="Myriad Pro" w:hAnsi="Myriad Pro" w:cs="Segoe UI"/>
          <w:b/>
          <w:sz w:val="20"/>
          <w:szCs w:val="20"/>
          <w:lang w:val="ro-RO"/>
        </w:rPr>
        <w:t xml:space="preserve">Despre AmCham Romania </w:t>
      </w:r>
    </w:p>
    <w:p w14:paraId="2DC88EC5" w14:textId="77777777" w:rsidR="0035738F" w:rsidRPr="00615D3E" w:rsidRDefault="0035738F" w:rsidP="0035738F">
      <w:pPr>
        <w:jc w:val="both"/>
        <w:rPr>
          <w:rFonts w:ascii="Myriad Pro" w:hAnsi="Myriad Pro" w:cs="Segoe UI"/>
          <w:b/>
          <w:color w:val="000000" w:themeColor="text1"/>
          <w:sz w:val="20"/>
          <w:szCs w:val="20"/>
          <w:lang w:val="ro-RO"/>
        </w:rPr>
      </w:pPr>
    </w:p>
    <w:p w14:paraId="0219F4F6" w14:textId="77777777" w:rsidR="0035738F" w:rsidRPr="00615D3E" w:rsidRDefault="0035738F" w:rsidP="0035738F">
      <w:pPr>
        <w:pStyle w:val="NoSpacing"/>
        <w:jc w:val="both"/>
        <w:rPr>
          <w:rStyle w:val="Emphasis"/>
          <w:rFonts w:ascii="Myriad Pro" w:eastAsia="Segoe UI" w:hAnsi="Myriad Pro" w:cs="Segoe UI"/>
          <w:i w:val="0"/>
          <w:sz w:val="20"/>
          <w:szCs w:val="20"/>
          <w:lang w:val="ro-RO"/>
        </w:rPr>
      </w:pPr>
      <w:r w:rsidRPr="00615D3E">
        <w:rPr>
          <w:rStyle w:val="Emphasis"/>
          <w:rFonts w:ascii="Myriad Pro" w:eastAsia="Segoe UI" w:hAnsi="Myriad Pro" w:cs="Segoe UI"/>
          <w:i w:val="0"/>
          <w:sz w:val="20"/>
          <w:szCs w:val="20"/>
          <w:lang w:val="ro-RO"/>
        </w:rPr>
        <w:t>Camera de Comerț Americană în România (AmCham România) este între cele mai reprezentative asociații ale comunității de afaceri din România,  recunoscută drept un promotor al dialogului public-privat pe teme ce privesc mediul de afaceri, politicile publice cu impact asupra economiei, competitivitatea României sau dinamica relațiilor comerciale între SUA și România.</w:t>
      </w:r>
    </w:p>
    <w:p w14:paraId="38D7293B" w14:textId="77777777" w:rsidR="0035738F" w:rsidRPr="00615D3E" w:rsidRDefault="0035738F" w:rsidP="0035738F">
      <w:pPr>
        <w:pStyle w:val="NoSpacing"/>
        <w:jc w:val="both"/>
        <w:rPr>
          <w:rStyle w:val="Emphasis"/>
          <w:rFonts w:ascii="Myriad Pro" w:eastAsia="Segoe UI" w:hAnsi="Myriad Pro" w:cs="Segoe UI"/>
          <w:i w:val="0"/>
          <w:iCs w:val="0"/>
          <w:sz w:val="20"/>
          <w:szCs w:val="20"/>
          <w:lang w:val="ro-RO"/>
        </w:rPr>
      </w:pPr>
    </w:p>
    <w:p w14:paraId="31558831" w14:textId="609193D5" w:rsidR="0035738F" w:rsidRPr="00615D3E" w:rsidRDefault="0035738F" w:rsidP="0035738F">
      <w:pPr>
        <w:pStyle w:val="NoSpacing"/>
        <w:jc w:val="both"/>
        <w:rPr>
          <w:rStyle w:val="Emphasis"/>
          <w:rFonts w:ascii="Myriad Pro" w:eastAsia="Segoe UI" w:hAnsi="Myriad Pro" w:cs="Segoe UI"/>
          <w:i w:val="0"/>
          <w:sz w:val="20"/>
          <w:szCs w:val="20"/>
          <w:lang w:val="ro-RO"/>
        </w:rPr>
      </w:pPr>
      <w:r w:rsidRPr="00615D3E">
        <w:rPr>
          <w:rStyle w:val="Emphasis"/>
          <w:rFonts w:ascii="Myriad Pro" w:eastAsia="Segoe UI" w:hAnsi="Myriad Pro" w:cs="Segoe UI"/>
          <w:i w:val="0"/>
          <w:sz w:val="20"/>
          <w:szCs w:val="20"/>
          <w:lang w:val="ro-RO"/>
        </w:rPr>
        <w:t xml:space="preserve">În prezent, cele peste 500 de companii americane, </w:t>
      </w:r>
      <w:r w:rsidR="00CD59DC" w:rsidRPr="00615D3E">
        <w:rPr>
          <w:rStyle w:val="Emphasis"/>
          <w:rFonts w:ascii="Myriad Pro" w:eastAsia="Segoe UI" w:hAnsi="Myriad Pro" w:cs="Segoe UI"/>
          <w:i w:val="0"/>
          <w:sz w:val="20"/>
          <w:szCs w:val="20"/>
          <w:lang w:val="ro-RO"/>
        </w:rPr>
        <w:t>internaționale</w:t>
      </w:r>
      <w:r w:rsidRPr="00615D3E">
        <w:rPr>
          <w:rStyle w:val="Emphasis"/>
          <w:rFonts w:ascii="Myriad Pro" w:eastAsia="Segoe UI" w:hAnsi="Myriad Pro" w:cs="Segoe UI"/>
          <w:i w:val="0"/>
          <w:sz w:val="20"/>
          <w:szCs w:val="20"/>
          <w:lang w:val="ro-RO"/>
        </w:rPr>
        <w:t xml:space="preserve"> și românești</w:t>
      </w:r>
      <w:r w:rsidR="00CD59DC" w:rsidRPr="00615D3E">
        <w:rPr>
          <w:rStyle w:val="Emphasis"/>
          <w:rFonts w:ascii="Myriad Pro" w:eastAsia="Segoe UI" w:hAnsi="Myriad Pro" w:cs="Segoe UI"/>
          <w:i w:val="0"/>
          <w:sz w:val="20"/>
          <w:szCs w:val="20"/>
          <w:lang w:val="ro-RO"/>
        </w:rPr>
        <w:t xml:space="preserve">, </w:t>
      </w:r>
      <w:r w:rsidRPr="00615D3E">
        <w:rPr>
          <w:rStyle w:val="Emphasis"/>
          <w:rFonts w:ascii="Myriad Pro" w:eastAsia="Segoe UI" w:hAnsi="Myriad Pro" w:cs="Segoe UI"/>
          <w:i w:val="0"/>
          <w:sz w:val="20"/>
          <w:szCs w:val="20"/>
          <w:lang w:val="ro-RO"/>
        </w:rPr>
        <w:t xml:space="preserve"> membre ale comunității AmCham România, fac posibilă implicarea AmCham în promovarea priorităților economice pentru multe domenii de activitate, prin grupuri de lucru specializate, precum: Piețe de Capital și Servicii Financiare, Guvernanță Corporatistă, Concurență și Ajutor de Stat,  Energie, Educație, Economie Digitală, Fiscalitate, Mediu , Piața Muncii, Sănătate,  Fonduri Europene, Achiziții Publice și Partneriat Public-Privat, Real-Estate și Turism.</w:t>
      </w:r>
    </w:p>
    <w:p w14:paraId="39567C6B" w14:textId="77777777" w:rsidR="0035738F" w:rsidRPr="00615D3E" w:rsidRDefault="0035738F" w:rsidP="0035738F">
      <w:pPr>
        <w:pStyle w:val="NoSpacing"/>
        <w:jc w:val="both"/>
        <w:rPr>
          <w:rStyle w:val="Emphasis"/>
          <w:rFonts w:ascii="Myriad Pro" w:eastAsia="Segoe UI" w:hAnsi="Myriad Pro" w:cs="Segoe UI"/>
          <w:i w:val="0"/>
          <w:sz w:val="20"/>
          <w:szCs w:val="20"/>
          <w:lang w:val="ro-RO"/>
        </w:rPr>
      </w:pPr>
      <w:r w:rsidRPr="00615D3E">
        <w:rPr>
          <w:rStyle w:val="Emphasis"/>
          <w:rFonts w:ascii="Myriad Pro" w:hAnsi="Myriad Pro" w:cs="Segoe UI"/>
          <w:i w:val="0"/>
          <w:sz w:val="20"/>
          <w:szCs w:val="20"/>
          <w:lang w:val="ro-RO"/>
        </w:rPr>
        <w:br/>
      </w:r>
      <w:r w:rsidRPr="00615D3E">
        <w:rPr>
          <w:rStyle w:val="Emphasis"/>
          <w:rFonts w:ascii="Myriad Pro" w:eastAsia="Segoe UI" w:hAnsi="Myriad Pro" w:cs="Segoe UI"/>
          <w:i w:val="0"/>
          <w:sz w:val="20"/>
          <w:szCs w:val="20"/>
          <w:lang w:val="ro-RO"/>
        </w:rPr>
        <w:t>Conexiunea cu mediul de afaceri internațional este asigurată prin acreditarea AmCham România de către Camera de Comerț a SUA, și afilierea la rețeaua europeană a Camerelor de Comerț Americane. În plan intern, AmCham România se bucură de buna colaborare instituțională cu Ambasada Statelor Unite la București, și face parte din platforme de consultare precum Coaliția pentru Dezvoltarea României alături de alte organizații partenere din mediul asociativ care urmăresc obiective comune.</w:t>
      </w:r>
    </w:p>
    <w:p w14:paraId="45EFECB0" w14:textId="77777777" w:rsidR="0035738F" w:rsidRPr="00615D3E" w:rsidRDefault="0035738F" w:rsidP="0035738F">
      <w:pPr>
        <w:pStyle w:val="NoSpacing"/>
        <w:jc w:val="both"/>
        <w:rPr>
          <w:rStyle w:val="Emphasis"/>
          <w:rFonts w:ascii="Myriad Pro" w:eastAsia="Segoe UI" w:hAnsi="Myriad Pro" w:cs="Segoe UI"/>
          <w:i w:val="0"/>
          <w:sz w:val="20"/>
          <w:szCs w:val="20"/>
          <w:lang w:val="ro-RO"/>
        </w:rPr>
      </w:pPr>
    </w:p>
    <w:p w14:paraId="2057F148" w14:textId="77777777" w:rsidR="0035738F" w:rsidRPr="00615D3E" w:rsidRDefault="0035738F" w:rsidP="0035738F">
      <w:pPr>
        <w:pStyle w:val="NoSpacing"/>
        <w:jc w:val="both"/>
        <w:rPr>
          <w:rFonts w:ascii="Myriad Pro" w:hAnsi="Myriad Pro" w:cs="Segoe UI"/>
          <w:sz w:val="20"/>
          <w:szCs w:val="20"/>
          <w:lang w:val="ro-RO"/>
        </w:rPr>
      </w:pPr>
      <w:r w:rsidRPr="00615D3E">
        <w:rPr>
          <w:rStyle w:val="Emphasis"/>
          <w:rFonts w:ascii="Myriad Pro" w:eastAsia="Segoe UI" w:hAnsi="Myriad Pro" w:cs="Segoe UI"/>
          <w:i w:val="0"/>
          <w:sz w:val="20"/>
          <w:szCs w:val="20"/>
          <w:lang w:val="ro-RO"/>
        </w:rPr>
        <w:t xml:space="preserve">Pentru mai multe detalii, vă invităm să ne vizitați la  </w:t>
      </w:r>
      <w:hyperlink r:id="rId8" w:history="1">
        <w:r w:rsidRPr="00615D3E">
          <w:rPr>
            <w:rStyle w:val="Hyperlink"/>
            <w:rFonts w:ascii="Myriad Pro" w:hAnsi="Myriad Pro" w:cs="Segoe UI"/>
            <w:sz w:val="20"/>
            <w:szCs w:val="20"/>
            <w:lang w:val="ro-RO"/>
          </w:rPr>
          <w:t>www.amcham.ro</w:t>
        </w:r>
      </w:hyperlink>
      <w:r w:rsidRPr="00615D3E">
        <w:rPr>
          <w:rFonts w:ascii="Myriad Pro" w:hAnsi="Myriad Pro" w:cs="Segoe UI"/>
          <w:sz w:val="20"/>
          <w:szCs w:val="20"/>
          <w:lang w:val="ro-RO"/>
        </w:rPr>
        <w:t xml:space="preserve">. </w:t>
      </w:r>
    </w:p>
    <w:p w14:paraId="68D02CB9" w14:textId="77777777" w:rsidR="0035738F" w:rsidRPr="00615D3E" w:rsidRDefault="0035738F" w:rsidP="0035738F">
      <w:pPr>
        <w:pStyle w:val="NoSpacing"/>
        <w:jc w:val="both"/>
        <w:rPr>
          <w:rFonts w:ascii="Myriad Pro" w:hAnsi="Myriad Pro" w:cs="Segoe UI"/>
          <w:sz w:val="20"/>
          <w:szCs w:val="20"/>
          <w:lang w:val="ro-RO"/>
        </w:rPr>
      </w:pPr>
      <w:r w:rsidRPr="00615D3E">
        <w:rPr>
          <w:rFonts w:ascii="Myriad Pro" w:hAnsi="Myriad Pro" w:cs="Segoe UI"/>
          <w:sz w:val="20"/>
          <w:szCs w:val="20"/>
          <w:lang w:val="ro-RO"/>
        </w:rPr>
        <w:t xml:space="preserve">Contact: </w:t>
      </w:r>
    </w:p>
    <w:p w14:paraId="15509FAF" w14:textId="77777777" w:rsidR="0035738F" w:rsidRPr="00615D3E" w:rsidRDefault="0035738F" w:rsidP="0035738F">
      <w:pPr>
        <w:pStyle w:val="NoSpacing"/>
        <w:jc w:val="both"/>
        <w:rPr>
          <w:rFonts w:ascii="Myriad Pro" w:hAnsi="Myriad Pro" w:cs="Segoe UI"/>
          <w:sz w:val="20"/>
          <w:szCs w:val="20"/>
          <w:lang w:val="ro-RO"/>
        </w:rPr>
      </w:pPr>
      <w:r w:rsidRPr="00615D3E">
        <w:rPr>
          <w:rFonts w:ascii="Myriad Pro" w:hAnsi="Myriad Pro" w:cs="Segoe UI"/>
          <w:sz w:val="20"/>
          <w:szCs w:val="20"/>
          <w:lang w:val="ro-RO"/>
        </w:rPr>
        <w:t xml:space="preserve">Andreea Roman, Communication Manager </w:t>
      </w:r>
    </w:p>
    <w:p w14:paraId="510AB452" w14:textId="77777777" w:rsidR="0035738F" w:rsidRPr="00615D3E" w:rsidRDefault="00615D3E" w:rsidP="0035738F">
      <w:pPr>
        <w:pStyle w:val="NoSpacing"/>
        <w:jc w:val="both"/>
        <w:rPr>
          <w:rFonts w:ascii="Myriad Pro" w:hAnsi="Myriad Pro" w:cs="Segoe UI"/>
          <w:sz w:val="20"/>
          <w:szCs w:val="20"/>
          <w:lang w:val="ro-RO"/>
        </w:rPr>
      </w:pPr>
      <w:hyperlink r:id="rId9" w:history="1">
        <w:r w:rsidR="0035738F" w:rsidRPr="00615D3E">
          <w:rPr>
            <w:rStyle w:val="Hyperlink"/>
            <w:rFonts w:ascii="Myriad Pro" w:hAnsi="Myriad Pro" w:cs="Segoe UI"/>
            <w:sz w:val="20"/>
            <w:szCs w:val="20"/>
            <w:lang w:val="ro-RO"/>
          </w:rPr>
          <w:t>aroman@amcham.ro</w:t>
        </w:r>
      </w:hyperlink>
    </w:p>
    <w:p w14:paraId="22B48D06" w14:textId="77777777" w:rsidR="0035738F" w:rsidRPr="00615D3E" w:rsidRDefault="0035738F" w:rsidP="0035738F">
      <w:pPr>
        <w:pStyle w:val="NoSpacing"/>
        <w:jc w:val="both"/>
        <w:rPr>
          <w:rFonts w:ascii="Myriad Pro" w:hAnsi="Myriad Pro" w:cs="Segoe UI"/>
          <w:color w:val="1F497D"/>
          <w:sz w:val="20"/>
          <w:szCs w:val="20"/>
          <w:lang w:val="ro-RO"/>
        </w:rPr>
      </w:pPr>
      <w:r w:rsidRPr="00615D3E">
        <w:rPr>
          <w:rFonts w:ascii="Myriad Pro" w:hAnsi="Myriad Pro" w:cs="Segoe UI"/>
          <w:sz w:val="20"/>
          <w:szCs w:val="20"/>
          <w:lang w:val="ro-RO"/>
        </w:rPr>
        <w:t>T: 0748 113 665</w:t>
      </w:r>
    </w:p>
    <w:p w14:paraId="0392F3DA" w14:textId="77777777" w:rsidR="0035738F" w:rsidRPr="00615D3E" w:rsidRDefault="0035738F" w:rsidP="0035738F">
      <w:pPr>
        <w:tabs>
          <w:tab w:val="left" w:pos="3500"/>
        </w:tabs>
        <w:rPr>
          <w:rFonts w:ascii="Myriad Pro" w:hAnsi="Myriad Pro" w:cs="Segoe UI"/>
          <w:sz w:val="20"/>
          <w:szCs w:val="20"/>
          <w:lang w:val="ro-RO" w:eastAsia="en-GB"/>
        </w:rPr>
      </w:pPr>
    </w:p>
    <w:p w14:paraId="35F14A79" w14:textId="77777777" w:rsidR="009B4C3F" w:rsidRPr="00615D3E" w:rsidRDefault="009B4C3F" w:rsidP="009B4C3F">
      <w:pPr>
        <w:jc w:val="both"/>
        <w:textAlignment w:val="baseline"/>
        <w:rPr>
          <w:rFonts w:ascii="Myriad Pro" w:eastAsia="Myriad Pro" w:hAnsi="Myriad Pro" w:cs="Segoe UI"/>
          <w:i/>
          <w:iCs/>
          <w:color w:val="000000" w:themeColor="text1"/>
          <w:sz w:val="20"/>
          <w:szCs w:val="20"/>
          <w:lang w:val="ro-RO"/>
        </w:rPr>
      </w:pPr>
    </w:p>
    <w:sectPr w:rsidR="009B4C3F" w:rsidRPr="00615D3E" w:rsidSect="00615D3E">
      <w:headerReference w:type="default" r:id="rId10"/>
      <w:footerReference w:type="default" r:id="rId11"/>
      <w:headerReference w:type="first" r:id="rId12"/>
      <w:footerReference w:type="first" r:id="rId13"/>
      <w:pgSz w:w="11900" w:h="16840" w:code="9"/>
      <w:pgMar w:top="1980" w:right="1410" w:bottom="810" w:left="1418" w:header="0" w:footer="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F35AD" w14:textId="77777777" w:rsidR="00661DEE" w:rsidRDefault="00661DEE" w:rsidP="003865A0">
      <w:r>
        <w:separator/>
      </w:r>
    </w:p>
  </w:endnote>
  <w:endnote w:type="continuationSeparator" w:id="0">
    <w:p w14:paraId="76C2AC0D" w14:textId="77777777" w:rsidR="00661DEE" w:rsidRDefault="00661DEE" w:rsidP="00386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yriad Pro">
    <w:panose1 w:val="020B0503030403020204"/>
    <w:charset w:val="00"/>
    <w:family w:val="swiss"/>
    <w:notTrueType/>
    <w:pitch w:val="variable"/>
    <w:sig w:usb0="20000287" w:usb1="00000001"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09E62" w14:textId="77777777" w:rsidR="000C527C" w:rsidRDefault="000C527C" w:rsidP="00FB6E80">
    <w:pPr>
      <w:pStyle w:val="Footer"/>
      <w:jc w:val="center"/>
    </w:pPr>
    <w:r>
      <w:rPr>
        <w:noProof/>
        <w:lang w:val="en-GB" w:eastAsia="en-GB"/>
      </w:rPr>
      <w:drawing>
        <wp:inline distT="0" distB="0" distL="0" distR="0" wp14:anchorId="2559F182" wp14:editId="6710E5F8">
          <wp:extent cx="6541930" cy="53784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rotWithShape="1">
                  <a:blip r:embed="rId1">
                    <a:extLst>
                      <a:ext uri="{28A0092B-C50C-407E-A947-70E740481C1C}">
                        <a14:useLocalDpi xmlns:a14="http://schemas.microsoft.com/office/drawing/2010/main" val="0"/>
                      </a:ext>
                    </a:extLst>
                  </a:blip>
                  <a:srcRect l="13217"/>
                  <a:stretch/>
                </pic:blipFill>
                <pic:spPr bwMode="auto">
                  <a:xfrm>
                    <a:off x="0" y="0"/>
                    <a:ext cx="6641522" cy="54603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47722" w14:textId="77777777" w:rsidR="000C527C" w:rsidRDefault="000C527C">
    <w:pPr>
      <w:pStyle w:val="Footer"/>
    </w:pPr>
    <w:r>
      <w:rPr>
        <w:noProof/>
        <w:lang w:val="en-GB" w:eastAsia="en-GB"/>
      </w:rPr>
      <w:drawing>
        <wp:anchor distT="0" distB="0" distL="114300" distR="114300" simplePos="0" relativeHeight="251659264" behindDoc="1" locked="0" layoutInCell="1" allowOverlap="1" wp14:anchorId="65086768" wp14:editId="0E73DD79">
          <wp:simplePos x="0" y="0"/>
          <wp:positionH relativeFrom="column">
            <wp:posOffset>-850313</wp:posOffset>
          </wp:positionH>
          <wp:positionV relativeFrom="paragraph">
            <wp:posOffset>-493395</wp:posOffset>
          </wp:positionV>
          <wp:extent cx="7540510" cy="538009"/>
          <wp:effectExtent l="0" t="0" r="381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540510" cy="53800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7D6FC" w14:textId="77777777" w:rsidR="00661DEE" w:rsidRDefault="00661DEE" w:rsidP="003865A0">
      <w:r>
        <w:separator/>
      </w:r>
    </w:p>
  </w:footnote>
  <w:footnote w:type="continuationSeparator" w:id="0">
    <w:p w14:paraId="07D6269B" w14:textId="77777777" w:rsidR="00661DEE" w:rsidRDefault="00661DEE" w:rsidP="00386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6906E" w14:textId="77777777" w:rsidR="00AE7CC1" w:rsidRPr="00FB6E80" w:rsidRDefault="00AE7CC1" w:rsidP="003865A0">
    <w:pPr>
      <w:pStyle w:val="Header"/>
      <w:ind w:left="-20"/>
      <w:rPr>
        <w:sz w:val="22"/>
        <w:szCs w:val="22"/>
      </w:rPr>
    </w:pPr>
    <w:r w:rsidRPr="00FB6E80">
      <w:rPr>
        <w:noProof/>
        <w:sz w:val="22"/>
        <w:szCs w:val="22"/>
        <w:lang w:val="en-GB" w:eastAsia="en-GB"/>
      </w:rPr>
      <w:drawing>
        <wp:inline distT="0" distB="0" distL="0" distR="0" wp14:anchorId="5FA99167" wp14:editId="09E8CA37">
          <wp:extent cx="6163945" cy="112582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inous header.jpg"/>
                  <pic:cNvPicPr/>
                </pic:nvPicPr>
                <pic:blipFill rotWithShape="1">
                  <a:blip r:embed="rId1">
                    <a:extLst>
                      <a:ext uri="{28A0092B-C50C-407E-A947-70E740481C1C}">
                        <a14:useLocalDpi xmlns:a14="http://schemas.microsoft.com/office/drawing/2010/main" val="0"/>
                      </a:ext>
                    </a:extLst>
                  </a:blip>
                  <a:srcRect b="36106"/>
                  <a:stretch/>
                </pic:blipFill>
                <pic:spPr bwMode="auto">
                  <a:xfrm>
                    <a:off x="0" y="0"/>
                    <a:ext cx="6238125" cy="113937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6CB8A" w14:textId="77777777" w:rsidR="003C64B3" w:rsidRDefault="003C64B3">
    <w:pPr>
      <w:pStyle w:val="Header"/>
    </w:pPr>
    <w:r>
      <w:rPr>
        <w:noProof/>
        <w:lang w:val="en-GB" w:eastAsia="en-GB"/>
      </w:rPr>
      <w:drawing>
        <wp:anchor distT="0" distB="0" distL="114300" distR="114300" simplePos="0" relativeHeight="251658240" behindDoc="1" locked="0" layoutInCell="1" allowOverlap="1" wp14:anchorId="49D5506B" wp14:editId="177B0200">
          <wp:simplePos x="0" y="0"/>
          <wp:positionH relativeFrom="column">
            <wp:posOffset>-709934</wp:posOffset>
          </wp:positionH>
          <wp:positionV relativeFrom="paragraph">
            <wp:posOffset>-209550</wp:posOffset>
          </wp:positionV>
          <wp:extent cx="7540510" cy="2154884"/>
          <wp:effectExtent l="0" t="0" r="381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40510" cy="21548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2412"/>
    <w:multiLevelType w:val="hybridMultilevel"/>
    <w:tmpl w:val="04F453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F3340"/>
    <w:multiLevelType w:val="hybridMultilevel"/>
    <w:tmpl w:val="A4FA8DD4"/>
    <w:lvl w:ilvl="0" w:tplc="A01A872A">
      <w:start w:val="1"/>
      <w:numFmt w:val="decimal"/>
      <w:lvlText w:val="%1."/>
      <w:lvlJc w:val="left"/>
      <w:pPr>
        <w:ind w:left="720" w:hanging="360"/>
      </w:pPr>
      <w:rPr>
        <w:rFonts w:ascii="Segoe UI" w:eastAsiaTheme="minorHAnsi" w:hAnsi="Segoe UI" w:cs="Segoe UI"/>
        <w:b/>
        <w:bC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55D4E"/>
    <w:multiLevelType w:val="hybridMultilevel"/>
    <w:tmpl w:val="A1BC28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604C7C"/>
    <w:multiLevelType w:val="hybridMultilevel"/>
    <w:tmpl w:val="DF8C91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99409E"/>
    <w:multiLevelType w:val="hybridMultilevel"/>
    <w:tmpl w:val="6CD4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3146444">
    <w:abstractNumId w:val="2"/>
  </w:num>
  <w:num w:numId="2" w16cid:durableId="677539104">
    <w:abstractNumId w:val="3"/>
  </w:num>
  <w:num w:numId="3" w16cid:durableId="1181432543">
    <w:abstractNumId w:val="0"/>
  </w:num>
  <w:num w:numId="4" w16cid:durableId="1441757201">
    <w:abstractNumId w:val="4"/>
  </w:num>
  <w:num w:numId="5" w16cid:durableId="2854274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927"/>
    <w:rsid w:val="0002250C"/>
    <w:rsid w:val="00074E4B"/>
    <w:rsid w:val="00081BED"/>
    <w:rsid w:val="00086E08"/>
    <w:rsid w:val="00090227"/>
    <w:rsid w:val="00094A82"/>
    <w:rsid w:val="000B43F4"/>
    <w:rsid w:val="000B4BCE"/>
    <w:rsid w:val="000C527C"/>
    <w:rsid w:val="000D3597"/>
    <w:rsid w:val="001612CC"/>
    <w:rsid w:val="001A36A5"/>
    <w:rsid w:val="001B239E"/>
    <w:rsid w:val="001D0070"/>
    <w:rsid w:val="001F0B90"/>
    <w:rsid w:val="00231837"/>
    <w:rsid w:val="00234049"/>
    <w:rsid w:val="002551F4"/>
    <w:rsid w:val="00255FCC"/>
    <w:rsid w:val="002624E6"/>
    <w:rsid w:val="0029115F"/>
    <w:rsid w:val="002A121C"/>
    <w:rsid w:val="002B0871"/>
    <w:rsid w:val="002B5AD7"/>
    <w:rsid w:val="002F0E77"/>
    <w:rsid w:val="00311DFC"/>
    <w:rsid w:val="00335927"/>
    <w:rsid w:val="00340A1F"/>
    <w:rsid w:val="003454EE"/>
    <w:rsid w:val="0035738F"/>
    <w:rsid w:val="0036217B"/>
    <w:rsid w:val="003865A0"/>
    <w:rsid w:val="003C64B3"/>
    <w:rsid w:val="003E46BB"/>
    <w:rsid w:val="003F2AEB"/>
    <w:rsid w:val="003F6EDA"/>
    <w:rsid w:val="0041329C"/>
    <w:rsid w:val="0041DB8D"/>
    <w:rsid w:val="00434DCF"/>
    <w:rsid w:val="0044516A"/>
    <w:rsid w:val="00450C17"/>
    <w:rsid w:val="004C6829"/>
    <w:rsid w:val="004F3264"/>
    <w:rsid w:val="005060B8"/>
    <w:rsid w:val="00513BB2"/>
    <w:rsid w:val="00545B6B"/>
    <w:rsid w:val="00546128"/>
    <w:rsid w:val="00554354"/>
    <w:rsid w:val="0056431A"/>
    <w:rsid w:val="005750B9"/>
    <w:rsid w:val="00577628"/>
    <w:rsid w:val="00584C3C"/>
    <w:rsid w:val="00596721"/>
    <w:rsid w:val="005F11CC"/>
    <w:rsid w:val="0060001B"/>
    <w:rsid w:val="00615D3E"/>
    <w:rsid w:val="00622067"/>
    <w:rsid w:val="00625C23"/>
    <w:rsid w:val="00633F63"/>
    <w:rsid w:val="00634B40"/>
    <w:rsid w:val="00661DEE"/>
    <w:rsid w:val="00683A68"/>
    <w:rsid w:val="006840D5"/>
    <w:rsid w:val="006C1B71"/>
    <w:rsid w:val="006C1EBD"/>
    <w:rsid w:val="006D6A3D"/>
    <w:rsid w:val="006E1C0D"/>
    <w:rsid w:val="006E4DC9"/>
    <w:rsid w:val="006E72AE"/>
    <w:rsid w:val="00754A3F"/>
    <w:rsid w:val="0075695F"/>
    <w:rsid w:val="00756CE5"/>
    <w:rsid w:val="00776E74"/>
    <w:rsid w:val="007854E1"/>
    <w:rsid w:val="007B5EE4"/>
    <w:rsid w:val="007C134C"/>
    <w:rsid w:val="007C241C"/>
    <w:rsid w:val="007C38BC"/>
    <w:rsid w:val="007E4112"/>
    <w:rsid w:val="007F41C7"/>
    <w:rsid w:val="00801C0B"/>
    <w:rsid w:val="008068D4"/>
    <w:rsid w:val="00835643"/>
    <w:rsid w:val="00842D4E"/>
    <w:rsid w:val="008A7584"/>
    <w:rsid w:val="008D4B62"/>
    <w:rsid w:val="008D782B"/>
    <w:rsid w:val="008E6411"/>
    <w:rsid w:val="0091263B"/>
    <w:rsid w:val="009318B3"/>
    <w:rsid w:val="0095263B"/>
    <w:rsid w:val="00964C0F"/>
    <w:rsid w:val="009B4C3F"/>
    <w:rsid w:val="009E0132"/>
    <w:rsid w:val="009F1256"/>
    <w:rsid w:val="00A575D6"/>
    <w:rsid w:val="00AC6ED3"/>
    <w:rsid w:val="00AD1A56"/>
    <w:rsid w:val="00AE26EE"/>
    <w:rsid w:val="00AE7CC1"/>
    <w:rsid w:val="00AF3758"/>
    <w:rsid w:val="00B44181"/>
    <w:rsid w:val="00B4459F"/>
    <w:rsid w:val="00B7664C"/>
    <w:rsid w:val="00BE2D7F"/>
    <w:rsid w:val="00BF30CD"/>
    <w:rsid w:val="00C120A2"/>
    <w:rsid w:val="00C1347C"/>
    <w:rsid w:val="00C13A29"/>
    <w:rsid w:val="00C14592"/>
    <w:rsid w:val="00C62963"/>
    <w:rsid w:val="00C82918"/>
    <w:rsid w:val="00CD59DC"/>
    <w:rsid w:val="00CE0206"/>
    <w:rsid w:val="00D37262"/>
    <w:rsid w:val="00D625DA"/>
    <w:rsid w:val="00D73B12"/>
    <w:rsid w:val="00D91F20"/>
    <w:rsid w:val="00DD26AC"/>
    <w:rsid w:val="00DD59D8"/>
    <w:rsid w:val="00DF31BE"/>
    <w:rsid w:val="00E23F6D"/>
    <w:rsid w:val="00E825AD"/>
    <w:rsid w:val="00E93C05"/>
    <w:rsid w:val="00ED11CF"/>
    <w:rsid w:val="00ED58C6"/>
    <w:rsid w:val="00ED70F9"/>
    <w:rsid w:val="00EE70E2"/>
    <w:rsid w:val="00F23926"/>
    <w:rsid w:val="00F73680"/>
    <w:rsid w:val="00F75A8A"/>
    <w:rsid w:val="00F87D94"/>
    <w:rsid w:val="00FB6E80"/>
    <w:rsid w:val="00FF1A66"/>
    <w:rsid w:val="0104E258"/>
    <w:rsid w:val="0161A65E"/>
    <w:rsid w:val="04C18362"/>
    <w:rsid w:val="068D2EB3"/>
    <w:rsid w:val="083D4632"/>
    <w:rsid w:val="08A91F18"/>
    <w:rsid w:val="0ACC7F77"/>
    <w:rsid w:val="11A7F3F0"/>
    <w:rsid w:val="13A24DC4"/>
    <w:rsid w:val="13E39A79"/>
    <w:rsid w:val="198AC993"/>
    <w:rsid w:val="1E4E31F1"/>
    <w:rsid w:val="1EFA63A7"/>
    <w:rsid w:val="1F50ECC2"/>
    <w:rsid w:val="24A00549"/>
    <w:rsid w:val="26E7232B"/>
    <w:rsid w:val="280BF99B"/>
    <w:rsid w:val="2A57C4F0"/>
    <w:rsid w:val="2EC9CA1A"/>
    <w:rsid w:val="3074DD14"/>
    <w:rsid w:val="30EAC977"/>
    <w:rsid w:val="321E448D"/>
    <w:rsid w:val="366D24A7"/>
    <w:rsid w:val="3DAE2569"/>
    <w:rsid w:val="3E885B58"/>
    <w:rsid w:val="42EFF395"/>
    <w:rsid w:val="44E84259"/>
    <w:rsid w:val="4524CD2F"/>
    <w:rsid w:val="46AEF8FA"/>
    <w:rsid w:val="490B9A7F"/>
    <w:rsid w:val="499DF893"/>
    <w:rsid w:val="4FDFEEDD"/>
    <w:rsid w:val="503CDF39"/>
    <w:rsid w:val="50ECDA2D"/>
    <w:rsid w:val="52B0BA7A"/>
    <w:rsid w:val="55D0F52A"/>
    <w:rsid w:val="5C274122"/>
    <w:rsid w:val="5C579CC0"/>
    <w:rsid w:val="5D2879CB"/>
    <w:rsid w:val="621ED0D6"/>
    <w:rsid w:val="66010EBC"/>
    <w:rsid w:val="661DE86D"/>
    <w:rsid w:val="66860F04"/>
    <w:rsid w:val="6A10BA5E"/>
    <w:rsid w:val="7090ECF9"/>
    <w:rsid w:val="798FC1D1"/>
    <w:rsid w:val="7F9AE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474E8F"/>
  <w14:defaultImageDpi w14:val="32767"/>
  <w15:docId w15:val="{EEF012AC-B905-43F5-9403-8756A0C40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8C6"/>
    <w:rPr>
      <w:rFonts w:ascii="Calibri" w:hAnsi="Calibri" w:cs="Calibri"/>
      <w:sz w:val="22"/>
      <w:szCs w:val="22"/>
      <w:lang w:val="en-GB"/>
    </w:rPr>
  </w:style>
  <w:style w:type="paragraph" w:styleId="Heading2">
    <w:name w:val="heading 2"/>
    <w:basedOn w:val="Normal"/>
    <w:next w:val="Normal"/>
    <w:link w:val="Heading2Char"/>
    <w:uiPriority w:val="9"/>
    <w:unhideWhenUsed/>
    <w:qFormat/>
    <w:rsid w:val="005750B9"/>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5A0"/>
    <w:pPr>
      <w:tabs>
        <w:tab w:val="center" w:pos="4536"/>
        <w:tab w:val="right" w:pos="9072"/>
      </w:tabs>
    </w:pPr>
    <w:rPr>
      <w:rFonts w:asciiTheme="minorHAnsi" w:hAnsiTheme="minorHAnsi" w:cstheme="minorBidi"/>
      <w:sz w:val="24"/>
      <w:szCs w:val="24"/>
      <w:lang w:val="en-US"/>
    </w:rPr>
  </w:style>
  <w:style w:type="character" w:customStyle="1" w:styleId="HeaderChar">
    <w:name w:val="Header Char"/>
    <w:basedOn w:val="DefaultParagraphFont"/>
    <w:link w:val="Header"/>
    <w:uiPriority w:val="99"/>
    <w:rsid w:val="003865A0"/>
  </w:style>
  <w:style w:type="paragraph" w:styleId="Footer">
    <w:name w:val="footer"/>
    <w:basedOn w:val="Normal"/>
    <w:link w:val="FooterChar"/>
    <w:uiPriority w:val="99"/>
    <w:unhideWhenUsed/>
    <w:rsid w:val="003865A0"/>
    <w:pPr>
      <w:tabs>
        <w:tab w:val="center" w:pos="4536"/>
        <w:tab w:val="right" w:pos="9072"/>
      </w:tabs>
    </w:pPr>
    <w:rPr>
      <w:rFonts w:asciiTheme="minorHAnsi" w:hAnsiTheme="minorHAnsi" w:cstheme="minorBidi"/>
      <w:sz w:val="24"/>
      <w:szCs w:val="24"/>
      <w:lang w:val="en-US"/>
    </w:rPr>
  </w:style>
  <w:style w:type="character" w:customStyle="1" w:styleId="FooterChar">
    <w:name w:val="Footer Char"/>
    <w:basedOn w:val="DefaultParagraphFont"/>
    <w:link w:val="Footer"/>
    <w:uiPriority w:val="99"/>
    <w:rsid w:val="003865A0"/>
  </w:style>
  <w:style w:type="paragraph" w:styleId="ListParagraph">
    <w:name w:val="List Paragraph"/>
    <w:basedOn w:val="Normal"/>
    <w:uiPriority w:val="34"/>
    <w:qFormat/>
    <w:rsid w:val="00ED58C6"/>
    <w:pPr>
      <w:ind w:left="720"/>
      <w:contextualSpacing/>
    </w:pPr>
  </w:style>
  <w:style w:type="character" w:styleId="Hyperlink">
    <w:name w:val="Hyperlink"/>
    <w:uiPriority w:val="99"/>
    <w:unhideWhenUsed/>
    <w:rsid w:val="004C6829"/>
    <w:rPr>
      <w:color w:val="0000FF"/>
      <w:u w:val="single"/>
    </w:rPr>
  </w:style>
  <w:style w:type="paragraph" w:styleId="NoSpacing">
    <w:name w:val="No Spacing"/>
    <w:uiPriority w:val="1"/>
    <w:qFormat/>
    <w:rsid w:val="004C6829"/>
    <w:rPr>
      <w:rFonts w:ascii="Calibri" w:eastAsia="Times New Roman" w:hAnsi="Calibri" w:cs="Times New Roman"/>
      <w:sz w:val="22"/>
      <w:szCs w:val="22"/>
    </w:rPr>
  </w:style>
  <w:style w:type="character" w:styleId="Emphasis">
    <w:name w:val="Emphasis"/>
    <w:basedOn w:val="DefaultParagraphFont"/>
    <w:uiPriority w:val="20"/>
    <w:qFormat/>
    <w:rsid w:val="004C6829"/>
    <w:rPr>
      <w:i/>
      <w:iCs/>
    </w:rPr>
  </w:style>
  <w:style w:type="character" w:styleId="PageNumber">
    <w:name w:val="page number"/>
    <w:basedOn w:val="DefaultParagraphFont"/>
    <w:uiPriority w:val="99"/>
    <w:semiHidden/>
    <w:unhideWhenUsed/>
    <w:rsid w:val="00BF30CD"/>
  </w:style>
  <w:style w:type="paragraph" w:styleId="NormalWeb">
    <w:name w:val="Normal (Web)"/>
    <w:basedOn w:val="Normal"/>
    <w:uiPriority w:val="99"/>
    <w:unhideWhenUsed/>
    <w:rsid w:val="00BF30CD"/>
    <w:pPr>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39"/>
    <w:rsid w:val="00086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50B9"/>
    <w:rPr>
      <w:rFonts w:asciiTheme="majorHAnsi" w:eastAsiaTheme="majorEastAsia" w:hAnsiTheme="majorHAnsi" w:cstheme="majorBidi"/>
      <w:color w:val="2E74B5" w:themeColor="accent1" w:themeShade="BF"/>
      <w:sz w:val="26"/>
      <w:szCs w:val="26"/>
    </w:rPr>
  </w:style>
  <w:style w:type="character" w:customStyle="1" w:styleId="s6">
    <w:name w:val="s6"/>
    <w:basedOn w:val="DefaultParagraphFont"/>
    <w:rsid w:val="005750B9"/>
  </w:style>
  <w:style w:type="character" w:customStyle="1" w:styleId="s7">
    <w:name w:val="s7"/>
    <w:basedOn w:val="DefaultParagraphFont"/>
    <w:rsid w:val="005750B9"/>
  </w:style>
  <w:style w:type="character" w:styleId="Strong">
    <w:name w:val="Strong"/>
    <w:basedOn w:val="DefaultParagraphFont"/>
    <w:uiPriority w:val="22"/>
    <w:qFormat/>
    <w:rsid w:val="00434DCF"/>
    <w:rPr>
      <w:b/>
      <w:bCs/>
    </w:rPr>
  </w:style>
  <w:style w:type="character" w:customStyle="1" w:styleId="s1">
    <w:name w:val="s1"/>
    <w:basedOn w:val="DefaultParagraphFont"/>
    <w:rsid w:val="00CD59DC"/>
  </w:style>
  <w:style w:type="character" w:styleId="FollowedHyperlink">
    <w:name w:val="FollowedHyperlink"/>
    <w:basedOn w:val="DefaultParagraphFont"/>
    <w:uiPriority w:val="99"/>
    <w:semiHidden/>
    <w:unhideWhenUsed/>
    <w:rsid w:val="00CD59DC"/>
    <w:rPr>
      <w:color w:val="954F72" w:themeColor="followedHyperlink"/>
      <w:u w:val="single"/>
    </w:rPr>
  </w:style>
  <w:style w:type="character" w:styleId="UnresolvedMention">
    <w:name w:val="Unresolved Mention"/>
    <w:basedOn w:val="DefaultParagraphFont"/>
    <w:uiPriority w:val="99"/>
    <w:semiHidden/>
    <w:unhideWhenUsed/>
    <w:rsid w:val="00596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825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cham.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oman@amcham.r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0131E-AE46-4570-8C9D-B7118148B29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2</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dc:creator>
  <cp:keywords/>
  <dc:description/>
  <cp:lastModifiedBy>Andreea Roman</cp:lastModifiedBy>
  <cp:revision>18</cp:revision>
  <dcterms:created xsi:type="dcterms:W3CDTF">2022-03-24T18:48:00Z</dcterms:created>
  <dcterms:modified xsi:type="dcterms:W3CDTF">2022-11-28T12:44:00Z</dcterms:modified>
</cp:coreProperties>
</file>