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8C2" w14:textId="77777777" w:rsidR="006D365A" w:rsidRPr="009A2B7D" w:rsidRDefault="006D365A" w:rsidP="004F54A7">
      <w:pPr>
        <w:spacing w:after="120" w:line="252" w:lineRule="auto"/>
        <w:ind w:left="360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9A2B7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Practicile comerciale neloiale în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comerțul </w:t>
      </w:r>
      <w:r w:rsidRPr="009A2B7D">
        <w:rPr>
          <w:rFonts w:asciiTheme="majorHAnsi" w:hAnsiTheme="majorHAnsi" w:cstheme="majorHAnsi"/>
          <w:b/>
          <w:bCs/>
          <w:sz w:val="24"/>
          <w:szCs w:val="24"/>
          <w:lang w:val="ro-RO"/>
        </w:rPr>
        <w:t>agricol și alimentar – impactul noilor reglement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ări</w:t>
      </w:r>
      <w:r w:rsidRPr="009A2B7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pentru mediul de afaceri</w:t>
      </w:r>
    </w:p>
    <w:p w14:paraId="4F91D801" w14:textId="77777777" w:rsidR="005136E7" w:rsidRDefault="005136E7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76C3BA75" w14:textId="4B27A52F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Florentina Munteanu, Partener Reff &amp; Asociații </w:t>
      </w:r>
      <w:r w:rsidRPr="009A2B7D">
        <w:rPr>
          <w:rFonts w:asciiTheme="majorHAnsi" w:hAnsiTheme="majorHAnsi" w:cstheme="majorHAnsi"/>
          <w:i/>
          <w:sz w:val="20"/>
          <w:szCs w:val="20"/>
          <w:lang w:val="ro-RO"/>
        </w:rPr>
        <w:t>| Deloitte Legal</w:t>
      </w:r>
    </w:p>
    <w:p w14:paraId="1B96F785" w14:textId="77777777" w:rsidR="005136E7" w:rsidRDefault="005136E7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4DD50E7E" w14:textId="29AE3794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Relațiile comerciale dintre furnizorii și cumpărătorii de produse alimentare și agricole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care întrunesc anumite condiții,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se vor derula, începând din aprilie 2022,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în baza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Leg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ii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nr. 81/ 2022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privind practicile comerciale neloiale dintre întreprinderi în cadrul lanțului de aprovizionare agricol și alimentar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a fost adoptată pentru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transpunerea la nivel național a Directivei 633/2019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cu același obiectiv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(„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Directiva UTP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”).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În principal, noul act normativ are drept scop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implementarea unui mecanism de protecție a furnizorilor vulnerabili în raport cu întreprinderile cumpărătoare din cadrul lanțului de aprovizionare agricol și alimenta</w:t>
      </w:r>
      <w:r>
        <w:rPr>
          <w:rFonts w:asciiTheme="majorHAnsi" w:hAnsiTheme="majorHAnsi" w:cstheme="majorHAnsi"/>
          <w:sz w:val="20"/>
          <w:szCs w:val="20"/>
          <w:lang w:val="ro-RO"/>
        </w:rPr>
        <w:t>r, care au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 putere de negociere mare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. Legea conține 25 de practici comerciale neloiale, șase practici condiționate de convenția anterioară prin clauze clare și lipsite de ambiguitate și sancțiuni semnificative pentru nerespectarea regulilor stabilite. </w:t>
      </w:r>
    </w:p>
    <w:p w14:paraId="0199D883" w14:textId="77777777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t>Directiva UTP ar fi trebuit transpus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 Rom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nia p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la data de 1 mai 2021, însă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deși proiectul se afl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pe masa autorităților încă din 2020, procesul  a fost urgentat doar ca urmare a intervenției Comisiei Europene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(CE)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a stabilit, la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începutul acestui an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un termen de cel mult două luni pentru a remedia situația. </w:t>
      </w:r>
    </w:p>
    <w:p w14:paraId="1D142A79" w14:textId="77777777" w:rsidR="005136E7" w:rsidRDefault="005136E7" w:rsidP="004F54A7">
      <w:pPr>
        <w:spacing w:after="120" w:line="252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0613B9D0" w14:textId="38407D50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ui se aplică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?</w:t>
      </w:r>
    </w:p>
    <w:p w14:paraId="3DCC1816" w14:textId="4A18E250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CE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 constatat, </w:t>
      </w:r>
      <w:r>
        <w:rPr>
          <w:rFonts w:asciiTheme="majorHAnsi" w:hAnsiTheme="majorHAnsi" w:cstheme="majorHAnsi"/>
          <w:sz w:val="20"/>
          <w:szCs w:val="20"/>
          <w:lang w:val="ro-RO"/>
        </w:rPr>
        <w:t>pe baza unor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studii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rapoarte efectuate din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2009 p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2019, 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exist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cadrul Uniunii Europene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(UE)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inegalități semnificative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ceea ce privește puterea de negociere a furnizorilor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cea a cumpărătorilor de produse agricole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alimentare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Așadar Legea 81 urmărește protejarea </w:t>
      </w:r>
      <w:r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producătorilor 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bCs/>
          <w:sz w:val="20"/>
          <w:szCs w:val="20"/>
          <w:lang w:val="ro-RO"/>
        </w:rPr>
        <w:t>i a furnizorilor intermediari de produse alimentare și</w:t>
      </w:r>
      <w:r>
        <w:rPr>
          <w:rFonts w:asciiTheme="majorHAnsi" w:hAnsiTheme="majorHAnsi" w:cstheme="majorHAnsi"/>
          <w:bCs/>
          <w:sz w:val="20"/>
          <w:szCs w:val="20"/>
          <w:lang w:val="ro-RO"/>
        </w:rPr>
        <w:t xml:space="preserve">/sau </w:t>
      </w:r>
      <w:r w:rsidRPr="001F4C1F">
        <w:rPr>
          <w:rFonts w:asciiTheme="majorHAnsi" w:hAnsiTheme="majorHAnsi" w:cstheme="majorHAnsi"/>
          <w:bCs/>
          <w:sz w:val="20"/>
          <w:szCs w:val="20"/>
          <w:lang w:val="ro-RO"/>
        </w:rPr>
        <w:t>agricole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, implica</w:t>
      </w:r>
      <w:r>
        <w:rPr>
          <w:rFonts w:asciiTheme="majorHAnsi" w:hAnsiTheme="majorHAnsi" w:cstheme="majorHAnsi"/>
          <w:sz w:val="20"/>
          <w:szCs w:val="20"/>
          <w:lang w:val="ro-RO"/>
        </w:rPr>
        <w:t>ți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în vânzarea de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astfel de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produse pe teritoriul României sau,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dacă vânzarea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se realizează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străinătate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, atunci când produc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efecte </w:t>
      </w:r>
      <w:r>
        <w:rPr>
          <w:rFonts w:asciiTheme="majorHAnsi" w:hAnsiTheme="majorHAnsi" w:cstheme="majorHAnsi"/>
          <w:sz w:val="20"/>
          <w:szCs w:val="20"/>
          <w:lang w:val="ro-RO"/>
        </w:rPr>
        <w:t>în țara noastră.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59C4D9D1" w14:textId="43E525F0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t>Directiva UTP mai prevedea o condiție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: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cel puțin una dintre părțile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la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tranzacție (furnizor sau cumpărător)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fie stabilit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U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E, care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nu se regăsește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Leg</w:t>
      </w:r>
      <w:r>
        <w:rPr>
          <w:rFonts w:asciiTheme="majorHAnsi" w:hAnsiTheme="majorHAnsi" w:cstheme="majorHAnsi"/>
          <w:sz w:val="20"/>
          <w:szCs w:val="20"/>
          <w:lang w:val="ro-RO"/>
        </w:rPr>
        <w:t>ea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81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ceea ce ridic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 prim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întrebare cu privire la sfera de aplicabilitate. Aplicarea legii prin raportare la locul săvârșirii faptei sau la locul producerii efectelor faptelor săvârșite, respectiv teritoriul României, este una specific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dreptului 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>concuren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>ei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același principiu de aplicare a legii regăsindu-se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cadrul Legii 21/1996 a concuren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ei. Astfel, se pare ca legiuitorul 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>rom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a dorit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extindă sfera de aplicare a </w:t>
      </w:r>
      <w:r>
        <w:rPr>
          <w:rFonts w:asciiTheme="majorHAnsi" w:hAnsiTheme="majorHAnsi" w:cstheme="majorHAnsi"/>
          <w:sz w:val="20"/>
          <w:szCs w:val="20"/>
          <w:lang w:val="ro-RO"/>
        </w:rPr>
        <w:t>d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irectivei fără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mai condiționeze aplicarea legii de naționalitatea întreprinderilor implicate, atât timp c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t faptele se petrec </w:t>
      </w:r>
      <w:r>
        <w:rPr>
          <w:rFonts w:asciiTheme="majorHAnsi" w:hAnsiTheme="majorHAnsi" w:cstheme="majorHAnsi"/>
          <w:sz w:val="20"/>
          <w:szCs w:val="20"/>
          <w:lang w:val="ro-RO"/>
        </w:rPr>
        <w:t>sau produc efecte 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Rom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nia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6FE50F00" w14:textId="330E15C9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schimb,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ceea ce privește calibrarea raportului de for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e prin raportare la cifra de afaceri anual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a furnizorului, respectiv a cumpărătorului, Legea 81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 implementat întocmai prevederile Directivei UTP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a stabilit anumite praguri ale cifrei de afaceri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Aceste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pornesc de la 2.000.000 </w:t>
      </w:r>
      <w:r>
        <w:rPr>
          <w:rFonts w:asciiTheme="majorHAnsi" w:hAnsiTheme="majorHAnsi" w:cstheme="majorHAnsi"/>
          <w:sz w:val="20"/>
          <w:szCs w:val="20"/>
          <w:lang w:val="ro-RO"/>
        </w:rPr>
        <w:t>de 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uro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merg p</w:t>
      </w:r>
      <w:r>
        <w:rPr>
          <w:rFonts w:asciiTheme="majorHAnsi" w:hAnsiTheme="majorHAnsi" w:cstheme="majorHAnsi"/>
          <w:sz w:val="20"/>
          <w:szCs w:val="20"/>
          <w:lang w:val="ro-RO"/>
        </w:rPr>
        <w:t>â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la 350.000.000 </w:t>
      </w:r>
      <w:r>
        <w:rPr>
          <w:rFonts w:asciiTheme="majorHAnsi" w:hAnsiTheme="majorHAnsi" w:cstheme="majorHAnsi"/>
          <w:sz w:val="20"/>
          <w:szCs w:val="20"/>
          <w:lang w:val="ro-RO"/>
        </w:rPr>
        <w:t>de 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uro. </w:t>
      </w:r>
      <w:r>
        <w:rPr>
          <w:rFonts w:asciiTheme="majorHAnsi" w:hAnsiTheme="majorHAnsi" w:cstheme="majorHAnsi"/>
          <w:sz w:val="20"/>
          <w:szCs w:val="20"/>
          <w:lang w:val="ro-RO"/>
        </w:rPr>
        <w:t>Dacă matricea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 identificare a categoriei din care fac parte furnizorii sau cumpărătorii este una simpl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apare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întrebare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legat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 modul de calcul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întrucât Legea 81 doar preia din 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d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>irectiv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prevederea potrivit căreia cifra de afaceri anual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se interpretează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conform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Recomand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ării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2003/361/CE a </w:t>
      </w:r>
      <w:r w:rsidR="005136E7">
        <w:rPr>
          <w:rFonts w:asciiTheme="majorHAnsi" w:hAnsiTheme="majorHAnsi" w:cstheme="majorHAnsi"/>
          <w:sz w:val="20"/>
          <w:szCs w:val="20"/>
          <w:lang w:val="ro-RO"/>
        </w:rPr>
        <w:t>c</w:t>
      </w:r>
      <w:r w:rsidR="005136E7" w:rsidRPr="001F4C1F">
        <w:rPr>
          <w:rFonts w:asciiTheme="majorHAnsi" w:hAnsiTheme="majorHAnsi" w:cstheme="majorHAnsi"/>
          <w:sz w:val="20"/>
          <w:szCs w:val="20"/>
          <w:lang w:val="ro-RO"/>
        </w:rPr>
        <w:t>omisiei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inclusiv definițiile privind „întreprinderea 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autonom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”, „întreprinderea 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partener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” 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„întreprinderea 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asociat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”, 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precum ș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alte chestiuni privind cifra de afaceri 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anual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417D584E" w14:textId="77777777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Dar această r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ecomandare are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vedere definirea microîntreprinderilor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a întreprinderilor mici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mijlocii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este cu precădere folosit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domeniul ajutorului de stat,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domeniu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care este firesc ca statul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fie precaut cu privire la selectarea întreprinderilor care pot primi ajutoare, fără ca acestea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distorsioneze mediul concurențial normal.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cazul de fa</w:t>
      </w:r>
      <w:r>
        <w:rPr>
          <w:rFonts w:asciiTheme="majorHAnsi" w:hAnsiTheme="majorHAnsi" w:cstheme="majorHAnsi"/>
          <w:sz w:val="20"/>
          <w:szCs w:val="20"/>
          <w:lang w:val="ro-RO"/>
        </w:rPr>
        <w:t>ță,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obiectul Directivei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al Legii 81 este acela de a echilibra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printr-o intervenție a statului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unele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raporturi de drept comercial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(supuse de regulă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doar voinței părților</w:t>
      </w:r>
      <w:r>
        <w:rPr>
          <w:rFonts w:asciiTheme="majorHAnsi" w:hAnsiTheme="majorHAnsi" w:cstheme="majorHAnsi"/>
          <w:sz w:val="20"/>
          <w:szCs w:val="20"/>
          <w:lang w:val="ro-RO"/>
        </w:rPr>
        <w:t>)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anumite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dezechilibre ce pot apărea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ntre furnizori</w:t>
      </w:r>
      <w:r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vulnerabili prin raportare la puterea de negociere a cumpărătorilor. </w:t>
      </w:r>
    </w:p>
    <w:p w14:paraId="00B171FF" w14:textId="248E063E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t>Din acest punct de vedere, pare discutabil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oportunitatea raportării la cifra de afaceri calculat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potrivit Recomandării Comisiei 2003/361/CE, întrucât ceea ce contează,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cazul unei negocieri comerciale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este forța pe care respectivele întreprinderi o au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cadrul raportului negociat, care poate 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ine de multe ori de 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ara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 care are loc negocierea, de caracteristicile pieței pe care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lastRenderedPageBreak/>
        <w:t>se negociază, de volumele negociate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i nu atât de mult de puterea economic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global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a întreprinderilor partenere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asociate cu întreprinderea care negociază. Această modalitate de calcul a cifrei de afaceri suportă implicații comerciale care merită analizate pe parcursul aplicării prezentei legi, cel puțin cu privire la situațiile în care furnizorii s-ar afla pe o piață total diferită de piața pe care activează grupul din care fac parte, puterea de negociere mare a grupului nefiind relevantă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acest context.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Formularea legii este însă una care trimite doar la </w:t>
      </w:r>
      <w:r>
        <w:rPr>
          <w:rFonts w:asciiTheme="majorHAnsi" w:hAnsiTheme="majorHAnsi" w:cstheme="majorHAnsi"/>
          <w:sz w:val="20"/>
          <w:szCs w:val="20"/>
          <w:lang w:val="ro-RO"/>
        </w:rPr>
        <w:t>r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ecomandarea 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c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omisiei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care 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ine cont de forța 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>global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D5210D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 unei întreprinderi, indiferent de activitatea desfășurată de întreprinderile partenere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asociate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indiferent de locul de stabilire a acestora (cu anumite excepții, care însă nu sunt relevante pentru 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subiectul abordat în acest articol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). </w:t>
      </w:r>
    </w:p>
    <w:p w14:paraId="326EE5F4" w14:textId="28D18FB2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Din această perspectivă,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este interesant de remarcat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 modul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 care alte state membre au ales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implementeze Directiva UTP. Astfel, Belgia 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decis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ofere protecție tuturor furnizorilor, indiferent de cifra de afaceri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(excepție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: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furnizorii a căror cifr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de afaceri global</w:t>
      </w:r>
      <w:r>
        <w:rPr>
          <w:rFonts w:asciiTheme="majorHAnsi" w:hAnsiTheme="majorHAnsi" w:cstheme="majorHAnsi"/>
          <w:sz w:val="20"/>
          <w:szCs w:val="20"/>
          <w:lang w:val="ro-RO"/>
        </w:rPr>
        <w:t>ă depășește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350.000.000 </w:t>
      </w:r>
      <w:r>
        <w:rPr>
          <w:rFonts w:asciiTheme="majorHAnsi" w:hAnsiTheme="majorHAnsi" w:cstheme="majorHAnsi"/>
          <w:sz w:val="20"/>
          <w:szCs w:val="20"/>
          <w:lang w:val="ro-RO"/>
        </w:rPr>
        <w:t>de 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uro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)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iar Slovacia nu aplică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nici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o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limitare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6378A2D2" w14:textId="77777777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260B4E2F" w14:textId="77777777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Principalele modificări și interdicții</w:t>
      </w:r>
    </w:p>
    <w:p w14:paraId="1AC334D9" w14:textId="42FBA7A2" w:rsidR="006D365A" w:rsidRPr="009A2B7D" w:rsidRDefault="006D365A" w:rsidP="004F54A7">
      <w:pPr>
        <w:spacing w:after="120" w:line="252" w:lineRule="auto"/>
        <w:jc w:val="both"/>
        <w:rPr>
          <w:rFonts w:ascii="Verdana" w:hAnsi="Verdana"/>
          <w:color w:val="000000"/>
          <w:sz w:val="20"/>
          <w:szCs w:val="20"/>
          <w:lang w:val="ro-RO"/>
        </w:rPr>
      </w:pPr>
      <w:r w:rsidRPr="009A2B7D">
        <w:rPr>
          <w:rFonts w:ascii="Calibri Light" w:hAnsi="Calibri Light" w:cs="Calibri Light"/>
          <w:sz w:val="20"/>
          <w:szCs w:val="20"/>
          <w:lang w:val="ro-RO"/>
        </w:rPr>
        <w:t>Deși Directiva UTP interzice cu caracter general solicitarea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de către cumpărător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de plăți de la furnizor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care nu sunt legate de vânzarea produselor agricole și alimentare, legiuitorul </w:t>
      </w:r>
      <w:r w:rsidR="00D5210D" w:rsidRPr="009A2B7D">
        <w:rPr>
          <w:rFonts w:ascii="Calibri Light" w:hAnsi="Calibri Light" w:cs="Calibri Light"/>
          <w:sz w:val="20"/>
          <w:szCs w:val="20"/>
          <w:lang w:val="ro-RO"/>
        </w:rPr>
        <w:t>rom</w:t>
      </w:r>
      <w:r w:rsidR="00D5210D">
        <w:rPr>
          <w:rFonts w:ascii="Calibri Light" w:hAnsi="Calibri Light" w:cs="Calibri Light"/>
          <w:sz w:val="20"/>
          <w:szCs w:val="20"/>
          <w:lang w:val="ro-RO"/>
        </w:rPr>
        <w:t>â</w:t>
      </w:r>
      <w:r w:rsidR="00D5210D" w:rsidRPr="009A2B7D">
        <w:rPr>
          <w:rFonts w:ascii="Calibri Light" w:hAnsi="Calibri Light" w:cs="Calibri Light"/>
          <w:sz w:val="20"/>
          <w:szCs w:val="20"/>
          <w:lang w:val="ro-RO"/>
        </w:rPr>
        <w:t>n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, în plus față de preluarea interdicției generale, a detaliat în concret anumite costuri ce nu ar putea fi refacturate furnizorului, întrucât nu sunt legate de vânzarea produselor </w:t>
      </w:r>
      <w:r>
        <w:rPr>
          <w:rFonts w:ascii="Calibri Light" w:hAnsi="Calibri Light" w:cs="Calibri Light"/>
          <w:sz w:val="20"/>
          <w:szCs w:val="20"/>
          <w:lang w:val="ro-RO"/>
        </w:rPr>
        <w:t>acestuia.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Astfel</w:t>
      </w:r>
      <w:r w:rsidR="00D5210D">
        <w:rPr>
          <w:rFonts w:ascii="Calibri Light" w:hAnsi="Calibri Light" w:cs="Calibri Light"/>
          <w:sz w:val="20"/>
          <w:szCs w:val="20"/>
          <w:lang w:val="ro-RO"/>
        </w:rPr>
        <w:t>,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9A2B7D">
        <w:rPr>
          <w:rFonts w:ascii="Calibri Light" w:hAnsi="Calibri Light" w:cs="Calibri Light"/>
          <w:b/>
          <w:sz w:val="20"/>
          <w:szCs w:val="20"/>
          <w:lang w:val="ro-RO"/>
        </w:rPr>
        <w:t xml:space="preserve">este interzis </w:t>
      </w:r>
      <w:r w:rsidRPr="009A2B7D">
        <w:rPr>
          <w:rFonts w:ascii="Calibri Light" w:hAnsi="Calibri Light" w:cs="Calibri Light"/>
          <w:b/>
          <w:i/>
          <w:iCs/>
          <w:sz w:val="20"/>
          <w:szCs w:val="20"/>
          <w:lang w:val="ro-RO"/>
        </w:rPr>
        <w:t xml:space="preserve">de </w:t>
      </w:r>
      <w:proofErr w:type="spellStart"/>
      <w:r w:rsidRPr="009A2B7D">
        <w:rPr>
          <w:rFonts w:ascii="Calibri Light" w:hAnsi="Calibri Light" w:cs="Calibri Light"/>
          <w:b/>
          <w:i/>
          <w:iCs/>
          <w:sz w:val="20"/>
          <w:szCs w:val="20"/>
          <w:lang w:val="ro-RO"/>
        </w:rPr>
        <w:t>plano</w:t>
      </w:r>
      <w:proofErr w:type="spellEnd"/>
      <w:r w:rsidRPr="009A2B7D">
        <w:rPr>
          <w:rFonts w:ascii="Calibri Light" w:hAnsi="Calibri Light" w:cs="Calibri Light"/>
          <w:b/>
          <w:sz w:val="20"/>
          <w:szCs w:val="20"/>
          <w:lang w:val="ro-RO"/>
        </w:rPr>
        <w:t xml:space="preserve"> părților să includă în contractul comercial costuri aferente extinderii rețelei de distribuție a cumpărătorului, amenajării </w:t>
      </w:r>
      <w:r w:rsidR="00D5210D" w:rsidRPr="009A2B7D">
        <w:rPr>
          <w:rFonts w:ascii="Calibri Light" w:hAnsi="Calibri Light" w:cs="Calibri Light"/>
          <w:b/>
          <w:sz w:val="20"/>
          <w:szCs w:val="20"/>
          <w:lang w:val="ro-RO"/>
        </w:rPr>
        <w:t>spa</w:t>
      </w:r>
      <w:r w:rsidR="00D5210D">
        <w:rPr>
          <w:rFonts w:ascii="Calibri Light" w:hAnsi="Calibri Light" w:cs="Calibri Light"/>
          <w:b/>
          <w:sz w:val="20"/>
          <w:szCs w:val="20"/>
          <w:lang w:val="ro-RO"/>
        </w:rPr>
        <w:t>ț</w:t>
      </w:r>
      <w:r w:rsidR="00D5210D" w:rsidRPr="009A2B7D">
        <w:rPr>
          <w:rFonts w:ascii="Calibri Light" w:hAnsi="Calibri Light" w:cs="Calibri Light"/>
          <w:b/>
          <w:sz w:val="20"/>
          <w:szCs w:val="20"/>
          <w:lang w:val="ro-RO"/>
        </w:rPr>
        <w:t xml:space="preserve">iilor </w:t>
      </w:r>
      <w:r w:rsidRPr="009A2B7D">
        <w:rPr>
          <w:rFonts w:ascii="Calibri Light" w:hAnsi="Calibri Light" w:cs="Calibri Light"/>
          <w:b/>
          <w:sz w:val="20"/>
          <w:szCs w:val="20"/>
          <w:lang w:val="ro-RO"/>
        </w:rPr>
        <w:t>de vânzare ale comerciantului și evenimentelor de promovare a activității și imaginii cumpărătorului</w:t>
      </w:r>
      <w:r w:rsidRPr="009A2B7D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1DEB0F76" w14:textId="77777777" w:rsidR="006D365A" w:rsidRPr="009A2B7D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O altă prevedere importantă a legii 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este interdicția cumpărătorului de a utiliza auto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-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 xml:space="preserve">facturarea pentru produsele agricole 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i/sau alimentare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,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cu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anumite 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excepți</w:t>
      </w:r>
      <w:r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prevăzute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Codul Fiscal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Aceast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prevedere va genera cu siguranță cel puțin probleme practice, auto</w:t>
      </w:r>
      <w:r>
        <w:rPr>
          <w:rFonts w:asciiTheme="majorHAnsi" w:hAnsiTheme="majorHAnsi" w:cstheme="majorHAnsi"/>
          <w:sz w:val="20"/>
          <w:szCs w:val="20"/>
          <w:lang w:val="ro-RO"/>
        </w:rPr>
        <w:t>-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facturarea fiind folosit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pe scar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larg</w:t>
      </w:r>
      <w:r>
        <w:rPr>
          <w:rFonts w:asciiTheme="majorHAnsi" w:hAnsiTheme="majorHAnsi" w:cstheme="majorHAnsi"/>
          <w:sz w:val="20"/>
          <w:szCs w:val="20"/>
          <w:lang w:val="ro-RO"/>
        </w:rPr>
        <w:t>ă de comercianții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ce au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portofoliu sute sau chiar mii de furnizori.  </w:t>
      </w:r>
    </w:p>
    <w:p w14:paraId="5DBCD1BF" w14:textId="1DD261D9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De asemenea, legea prevede 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i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nterdicția cumpărătorului să aplice reduceri financiare și comerciale sub formă de rabaturi,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cu excepția remizelor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proofErr w:type="spellStart"/>
      <w:r w:rsidRPr="009A2B7D">
        <w:rPr>
          <w:rFonts w:asciiTheme="majorHAnsi" w:hAnsiTheme="majorHAnsi" w:cstheme="majorHAnsi"/>
          <w:sz w:val="20"/>
          <w:szCs w:val="20"/>
          <w:lang w:val="ro-RO"/>
        </w:rPr>
        <w:t>risturnelor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>, ale căror reduceri cumulate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nu fie mai mari de 20%, aplicate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n funcție de valoarea facturat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ntre cumpărător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i furnizor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Având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n vedere scopurile diferite ale tipuri</w:t>
      </w:r>
      <w:r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de reduceri (compensarea unor defecte de calitate, </w:t>
      </w:r>
      <w:proofErr w:type="spellStart"/>
      <w:r w:rsidRPr="009A2B7D">
        <w:rPr>
          <w:rFonts w:asciiTheme="majorHAnsi" w:hAnsiTheme="majorHAnsi" w:cstheme="majorHAnsi"/>
          <w:sz w:val="20"/>
          <w:szCs w:val="20"/>
          <w:lang w:val="ro-RO"/>
        </w:rPr>
        <w:t>discounturile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de volum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i cele ce țin de cifra de afaceri total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realizat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cu un cumpărător), nu este clar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intenția legiu</w:t>
      </w:r>
      <w:r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torului prin introducerea acestei prevederi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care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nu se regăsește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Directiva UTP.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ntr-o interpretare</w:t>
      </w:r>
      <w:r w:rsidR="00D5210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se poate susține 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reducerile acordate sub form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de rabaturi nu pot fi mai mari de 20%,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vreme ce remizele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proofErr w:type="spellStart"/>
      <w:r w:rsidRPr="009A2B7D">
        <w:rPr>
          <w:rFonts w:asciiTheme="majorHAnsi" w:hAnsiTheme="majorHAnsi" w:cstheme="majorHAnsi"/>
          <w:sz w:val="20"/>
          <w:szCs w:val="20"/>
          <w:lang w:val="ro-RO"/>
        </w:rPr>
        <w:t>risturnele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rămân neatinse, după cum s-ar putea susține 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reducerile cumulate constând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remize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proofErr w:type="spellStart"/>
      <w:r w:rsidRPr="009A2B7D">
        <w:rPr>
          <w:rFonts w:asciiTheme="majorHAnsi" w:hAnsiTheme="majorHAnsi" w:cstheme="majorHAnsi"/>
          <w:sz w:val="20"/>
          <w:szCs w:val="20"/>
          <w:lang w:val="ro-RO"/>
        </w:rPr>
        <w:t>risturne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nu trebuie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depășească pragul de 20%.  </w:t>
      </w:r>
    </w:p>
    <w:p w14:paraId="2FC768D9" w14:textId="29B5E901" w:rsidR="006D365A" w:rsidRPr="009A2B7D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plus, 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se interzice cumpărătorului s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 xml:space="preserve"> factureze valoarea 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anumitor </w:t>
      </w:r>
      <w:r w:rsidRPr="009A2B7D">
        <w:rPr>
          <w:rFonts w:asciiTheme="majorHAnsi" w:hAnsiTheme="majorHAnsi" w:cstheme="majorHAnsi"/>
          <w:b/>
          <w:sz w:val="20"/>
          <w:szCs w:val="20"/>
          <w:lang w:val="ro-RO"/>
        </w:rPr>
        <w:t>servicii prestate peste cuantumul de maximum 5% din valoarea încasată de furnizor</w:t>
      </w:r>
      <w:r>
        <w:rPr>
          <w:rFonts w:asciiTheme="majorHAnsi" w:hAnsiTheme="majorHAnsi" w:cstheme="majorHAnsi"/>
          <w:b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baza contractului încheiat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ntre părți. Aceste servicii au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vedere publicitatea produselor făcută de cumpărător, servicii de marketing prestate de </w:t>
      </w:r>
      <w:r>
        <w:rPr>
          <w:rFonts w:asciiTheme="majorHAnsi" w:hAnsiTheme="majorHAnsi" w:cstheme="majorHAnsi"/>
          <w:sz w:val="20"/>
          <w:szCs w:val="20"/>
          <w:lang w:val="ro-RO"/>
        </w:rPr>
        <w:t>acesta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, plasarea secundar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a produselor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i suportarea integral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sau parțială a costului oricăror reduceri pentru produsele vândute de cumpărător cu titlu promoțional. Se pune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n mod firesc întrebarea dac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aceast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ultim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prevedere are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vedere acele reduceri care sunt solicitate de cumpărător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ntr-un anumit context ce urmează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 xml:space="preserve">fie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n special 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DE3E3A" w:rsidRPr="009A2B7D">
        <w:rPr>
          <w:rFonts w:asciiTheme="majorHAnsi" w:hAnsiTheme="majorHAnsi" w:cstheme="majorHAnsi"/>
          <w:sz w:val="20"/>
          <w:szCs w:val="20"/>
          <w:lang w:val="ro-RO"/>
        </w:rPr>
        <w:t>benefici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 xml:space="preserve">ul 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cumpărătorului (cum ar fi deschiderea unui nou magazin) sau orice reduceri promoționale care sunt </w:t>
      </w:r>
      <w:r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9A2B7D">
        <w:rPr>
          <w:rFonts w:asciiTheme="majorHAnsi" w:hAnsiTheme="majorHAnsi" w:cstheme="majorHAnsi"/>
          <w:sz w:val="20"/>
          <w:szCs w:val="20"/>
          <w:lang w:val="ro-RO"/>
        </w:rPr>
        <w:t>i rezultatul suportării unui discount suplimentar de către furnizor, discount care este transferat printr-un sistem „</w:t>
      </w:r>
      <w:proofErr w:type="spellStart"/>
      <w:r w:rsidRPr="009A2B7D">
        <w:rPr>
          <w:rFonts w:asciiTheme="majorHAnsi" w:hAnsiTheme="majorHAnsi" w:cstheme="majorHAnsi"/>
          <w:i/>
          <w:sz w:val="20"/>
          <w:szCs w:val="20"/>
          <w:lang w:val="ro-RO"/>
        </w:rPr>
        <w:t>pass-through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” de către </w:t>
      </w:r>
      <w:proofErr w:type="spellStart"/>
      <w:r w:rsidRPr="009A2B7D">
        <w:rPr>
          <w:rFonts w:asciiTheme="majorHAnsi" w:hAnsiTheme="majorHAnsi" w:cstheme="majorHAnsi"/>
          <w:sz w:val="20"/>
          <w:szCs w:val="20"/>
          <w:lang w:val="ro-RO"/>
        </w:rPr>
        <w:t>retailer</w:t>
      </w:r>
      <w:proofErr w:type="spellEnd"/>
      <w:r w:rsidRPr="009A2B7D">
        <w:rPr>
          <w:rFonts w:asciiTheme="majorHAnsi" w:hAnsiTheme="majorHAnsi" w:cstheme="majorHAnsi"/>
          <w:sz w:val="20"/>
          <w:szCs w:val="20"/>
          <w:lang w:val="ro-RO"/>
        </w:rPr>
        <w:t xml:space="preserve"> către consumator.</w:t>
      </w:r>
    </w:p>
    <w:p w14:paraId="7A2C81D4" w14:textId="406190AB" w:rsidR="006D365A" w:rsidRDefault="00DE3E3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Trebuie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menționat </w:t>
      </w:r>
      <w:r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faptul că, spre deosebire de varianta adoptată de Senat, </w:t>
      </w:r>
      <w:r w:rsidR="006D365A"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nu mai este prevăzută abrogarea Legii 321/ 2009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privind comercializarea produselor alimentare. Va fi interesant de privit modalitatea în care se vor armoniza prevederile celor două acte normative</w:t>
      </w:r>
      <w:r w:rsidR="006D365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87D8BF8" w14:textId="77777777" w:rsidR="006D365A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Autoritatea cu rol în aplicarea Legii nr. 81 este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Consiliul Concurenței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, în calitate de autoritate administrativă autonomă în domeniul concurenței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52415F06" w14:textId="77777777" w:rsidR="00DE3E3A" w:rsidRDefault="00DE3E3A" w:rsidP="004F54A7">
      <w:pPr>
        <w:spacing w:after="120" w:line="252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236F5694" w14:textId="20395367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ro-RO"/>
        </w:rPr>
        <w:t>Sancțiuni prevăzute pentru nerespectarea legii</w:t>
      </w:r>
    </w:p>
    <w:p w14:paraId="01592910" w14:textId="2F8D90C0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Deși principalul obiectiv al 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>d</w:t>
      </w:r>
      <w:r w:rsidR="00DE3E3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irectivei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este stabilirea unui standard minim de protecție pentru furnizorii vulnerabili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>prin raportare la operatorii cu o putere de negociere mai mare și sancționarea acestora din urmă atunci când săvârșesc practici comerciale neloiale, în mod neașteptat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legiuitorul național a </w:t>
      </w:r>
      <w:r>
        <w:rPr>
          <w:rFonts w:asciiTheme="majorHAnsi" w:hAnsiTheme="majorHAnsi" w:cstheme="majorHAnsi"/>
          <w:sz w:val="20"/>
          <w:szCs w:val="20"/>
          <w:lang w:val="ro-RO"/>
        </w:rPr>
        <w:t>decis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să sancționeze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atât furnizorii</w:t>
      </w:r>
      <w:r w:rsidR="00DE3E3A">
        <w:rPr>
          <w:rFonts w:asciiTheme="majorHAnsi" w:hAnsiTheme="majorHAnsi" w:cstheme="majorHAnsi"/>
          <w:b/>
          <w:bCs/>
          <w:sz w:val="20"/>
          <w:szCs w:val="20"/>
          <w:lang w:val="ro-RO"/>
        </w:rPr>
        <w:t>,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cât și cumpărătorii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cu </w:t>
      </w:r>
      <w:r w:rsidRPr="009A2B7D">
        <w:rPr>
          <w:rFonts w:asciiTheme="majorHAnsi" w:hAnsiTheme="majorHAnsi" w:cstheme="majorHAnsi"/>
          <w:b/>
          <w:bCs/>
          <w:sz w:val="20"/>
          <w:szCs w:val="20"/>
          <w:lang w:val="ro-RO"/>
        </w:rPr>
        <w:t>amenzi contravenționale cuprinse între 250.000 lei si 600.000 lei.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În plus, Legea nr. 81 prevede sancționarea săvârșirii în mod repetat a practicilor comerciale neloiale cu o amendă contravențională în cuantum de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1% din cifra de afaceri totală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realizată în anul anterior.</w:t>
      </w:r>
    </w:p>
    <w:p w14:paraId="5488EE41" w14:textId="7027669D" w:rsidR="006D365A" w:rsidRPr="001F4C1F" w:rsidRDefault="006D365A" w:rsidP="004F54A7">
      <w:pPr>
        <w:spacing w:after="120" w:line="252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Există posibilitatea de acordare a unui tratament favorabil în contextul unei </w:t>
      </w:r>
      <w:r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recunoașteri exprese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, prin reducerea cuantumului amenzii contravenționale cu 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>o valoare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cuprins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E3E3A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E3E3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ntre </w:t>
      </w:r>
      <w:r w:rsidRPr="001F4C1F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ro-RO"/>
        </w:rPr>
        <w:t xml:space="preserve">1% </w:t>
      </w:r>
      <w:r w:rsidR="00DE3E3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ro-RO"/>
        </w:rPr>
        <w:t>ș</w:t>
      </w:r>
      <w:r w:rsidR="00DE3E3A" w:rsidRPr="001F4C1F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ro-RO"/>
        </w:rPr>
        <w:t xml:space="preserve">i </w:t>
      </w:r>
      <w:r w:rsidRPr="001F4C1F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ro-RO"/>
        </w:rPr>
        <w:t xml:space="preserve">25% din amenda finală. 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În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acest caz, 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amen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da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 va fi diminuat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 inclusiv când ace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ast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a este stabilit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ă</w:t>
      </w:r>
      <w:r w:rsidRPr="001F4C1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 la minimul prevăzut.</w:t>
      </w:r>
    </w:p>
    <w:p w14:paraId="24290A3C" w14:textId="34F755E6" w:rsidR="006D365A" w:rsidRPr="001F4C1F" w:rsidRDefault="00692C89" w:rsidP="004F54A7">
      <w:pPr>
        <w:spacing w:after="120" w:line="252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hyperlink r:id="rId7" w:history="1">
        <w:r w:rsidR="006D365A" w:rsidRPr="009A2B7D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Legea 81 se va aplica pentru toate contractele dintre producăt</w:t>
        </w:r>
        <w:r w:rsidR="006D365A" w:rsidRPr="009A2B7D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o</w:t>
        </w:r>
        <w:r w:rsidR="006D365A" w:rsidRPr="009A2B7D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ri/ furnizori și cumpărători</w:t>
        </w:r>
      </w:hyperlink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6D365A"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de produse alimentare </w:t>
      </w:r>
      <w:r w:rsidR="006D365A">
        <w:rPr>
          <w:rFonts w:asciiTheme="majorHAnsi" w:hAnsiTheme="majorHAnsi" w:cstheme="majorHAnsi"/>
          <w:b/>
          <w:bCs/>
          <w:sz w:val="20"/>
          <w:szCs w:val="20"/>
          <w:lang w:val="ro-RO"/>
        </w:rPr>
        <w:t>ș</w:t>
      </w:r>
      <w:r w:rsidR="006D365A"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i agricole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încheiate începând cu data intrării </w:t>
      </w:r>
      <w:r w:rsidR="006D365A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>n vigoare</w:t>
      </w:r>
      <w:r w:rsidR="006D365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respectiv 15.04.2022. Totuși, este important de reținut </w:t>
      </w:r>
      <w:r w:rsidR="006D365A">
        <w:rPr>
          <w:rFonts w:asciiTheme="majorHAnsi" w:hAnsiTheme="majorHAnsi" w:cstheme="majorHAnsi"/>
          <w:sz w:val="20"/>
          <w:szCs w:val="20"/>
          <w:lang w:val="ro-RO"/>
        </w:rPr>
        <w:t xml:space="preserve">că actul normativ 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>prevede</w:t>
      </w:r>
      <w:r w:rsidR="006D365A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pentru </w:t>
      </w:r>
      <w:r w:rsidR="006D365A"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>contractele încheiate anterior</w:t>
      </w:r>
      <w:r w:rsidR="006D365A">
        <w:rPr>
          <w:rFonts w:asciiTheme="majorHAnsi" w:hAnsiTheme="majorHAnsi" w:cstheme="majorHAnsi"/>
          <w:b/>
          <w:bCs/>
          <w:sz w:val="20"/>
          <w:szCs w:val="20"/>
          <w:lang w:val="ro-RO"/>
        </w:rPr>
        <w:t>,</w:t>
      </w:r>
      <w:r w:rsidR="006D365A" w:rsidRPr="001F4C1F">
        <w:rPr>
          <w:rFonts w:asciiTheme="majorHAnsi" w:hAnsiTheme="majorHAnsi" w:cstheme="majorHAnsi"/>
          <w:sz w:val="20"/>
          <w:szCs w:val="20"/>
          <w:lang w:val="ro-RO"/>
        </w:rPr>
        <w:t xml:space="preserve"> obligația de punere în acord cu prevederile sale până la data de </w:t>
      </w:r>
      <w:r w:rsidR="006D365A" w:rsidRPr="001F4C1F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31.12.2022. 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>Astfel, va urma cu siguranță o perioad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ă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î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>n care atât furnizorii</w:t>
      </w:r>
      <w:r w:rsidR="00DE3E3A">
        <w:rPr>
          <w:rFonts w:asciiTheme="majorHAnsi" w:hAnsiTheme="majorHAnsi" w:cstheme="majorHAnsi"/>
          <w:bCs/>
          <w:sz w:val="20"/>
          <w:szCs w:val="20"/>
          <w:lang w:val="ro-RO"/>
        </w:rPr>
        <w:t>,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c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â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t 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ș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>i cumpărătorii vor încerca s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ă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lămurească diferitele prevederi neclare ale legii 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ș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>i s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ă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gestioneze impactul acestor modificări </w:t>
      </w:r>
      <w:r w:rsidR="006D365A">
        <w:rPr>
          <w:rFonts w:asciiTheme="majorHAnsi" w:hAnsiTheme="majorHAnsi" w:cstheme="majorHAnsi"/>
          <w:bCs/>
          <w:sz w:val="20"/>
          <w:szCs w:val="20"/>
          <w:lang w:val="ro-RO"/>
        </w:rPr>
        <w:t>î</w:t>
      </w:r>
      <w:r w:rsidR="006D365A" w:rsidRPr="001F4C1F">
        <w:rPr>
          <w:rFonts w:asciiTheme="majorHAnsi" w:hAnsiTheme="majorHAnsi" w:cstheme="majorHAnsi"/>
          <w:bCs/>
          <w:sz w:val="20"/>
          <w:szCs w:val="20"/>
          <w:lang w:val="ro-RO"/>
        </w:rPr>
        <w:t>n relația cu cealaltă parte a raportului comercial.</w:t>
      </w:r>
      <w:r w:rsidR="006D365A" w:rsidRPr="001F4C1F" w:rsidDel="00232A52">
        <w:rPr>
          <w:rFonts w:asciiTheme="majorHAnsi" w:hAnsiTheme="majorHAnsi" w:cstheme="majorHAnsi"/>
          <w:bCs/>
          <w:sz w:val="20"/>
          <w:szCs w:val="20"/>
          <w:lang w:val="ro-RO"/>
        </w:rPr>
        <w:t xml:space="preserve"> </w:t>
      </w:r>
    </w:p>
    <w:p w14:paraId="28E578A8" w14:textId="77777777" w:rsidR="00F70632" w:rsidRPr="006D365A" w:rsidRDefault="00F70632" w:rsidP="004F54A7">
      <w:pPr>
        <w:spacing w:after="120" w:line="252" w:lineRule="auto"/>
        <w:rPr>
          <w:lang w:val="ro-RO"/>
        </w:rPr>
      </w:pPr>
    </w:p>
    <w:sectPr w:rsidR="00F70632" w:rsidRPr="006D365A" w:rsidSect="005136E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A5F3" w14:textId="77777777" w:rsidR="00692C89" w:rsidRDefault="00692C89" w:rsidP="00CC4DE2">
      <w:pPr>
        <w:spacing w:after="0" w:line="240" w:lineRule="auto"/>
      </w:pPr>
      <w:r>
        <w:separator/>
      </w:r>
    </w:p>
  </w:endnote>
  <w:endnote w:type="continuationSeparator" w:id="0">
    <w:p w14:paraId="03F678BE" w14:textId="77777777" w:rsidR="00692C89" w:rsidRDefault="00692C89" w:rsidP="00CC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E489" w14:textId="77777777" w:rsidR="00692C89" w:rsidRDefault="00692C89" w:rsidP="00CC4DE2">
      <w:pPr>
        <w:spacing w:after="0" w:line="240" w:lineRule="auto"/>
      </w:pPr>
      <w:r>
        <w:separator/>
      </w:r>
    </w:p>
  </w:footnote>
  <w:footnote w:type="continuationSeparator" w:id="0">
    <w:p w14:paraId="27B11D3F" w14:textId="77777777" w:rsidR="00692C89" w:rsidRDefault="00692C89" w:rsidP="00CC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A33F" w14:textId="77777777" w:rsidR="00CC4DE2" w:rsidRDefault="00CC4DE2">
    <w:pPr>
      <w:pStyle w:val="Header"/>
    </w:pPr>
    <w:r w:rsidRPr="003B0F78">
      <w:rPr>
        <w:noProof/>
      </w:rPr>
      <w:drawing>
        <wp:anchor distT="0" distB="0" distL="114300" distR="114300" simplePos="0" relativeHeight="251659264" behindDoc="0" locked="0" layoutInCell="1" allowOverlap="1" wp14:anchorId="30A94B81" wp14:editId="69C255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295275"/>
          <wp:effectExtent l="0" t="0" r="0" b="9525"/>
          <wp:wrapNone/>
          <wp:docPr id="1" name="Picture 1" descr="Logo Reff&amp;Asociatii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ff&amp;Asociatii neg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2D5"/>
    <w:multiLevelType w:val="hybridMultilevel"/>
    <w:tmpl w:val="448620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0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143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281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0E98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E81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B8AB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3C8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22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532317"/>
    <w:multiLevelType w:val="hybridMultilevel"/>
    <w:tmpl w:val="C07257E8"/>
    <w:lvl w:ilvl="0" w:tplc="8F3EB8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CA0"/>
    <w:multiLevelType w:val="hybridMultilevel"/>
    <w:tmpl w:val="ED4C3F58"/>
    <w:lvl w:ilvl="0" w:tplc="C318E2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753BA"/>
    <w:multiLevelType w:val="hybridMultilevel"/>
    <w:tmpl w:val="5E8C7F7C"/>
    <w:lvl w:ilvl="0" w:tplc="358C9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5443"/>
    <w:multiLevelType w:val="hybridMultilevel"/>
    <w:tmpl w:val="58B6B330"/>
    <w:lvl w:ilvl="0" w:tplc="4C629B0A">
      <w:start w:val="5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71D1"/>
    <w:multiLevelType w:val="hybridMultilevel"/>
    <w:tmpl w:val="47A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3AD1"/>
    <w:multiLevelType w:val="hybridMultilevel"/>
    <w:tmpl w:val="AF388F16"/>
    <w:lvl w:ilvl="0" w:tplc="9DCC0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F"/>
    <w:rsid w:val="00015D47"/>
    <w:rsid w:val="00062581"/>
    <w:rsid w:val="00071EBF"/>
    <w:rsid w:val="000F252B"/>
    <w:rsid w:val="00112B9E"/>
    <w:rsid w:val="00126DCA"/>
    <w:rsid w:val="00127D0B"/>
    <w:rsid w:val="00154BA9"/>
    <w:rsid w:val="00155810"/>
    <w:rsid w:val="001B55DC"/>
    <w:rsid w:val="002261BC"/>
    <w:rsid w:val="00226563"/>
    <w:rsid w:val="002672FE"/>
    <w:rsid w:val="00270304"/>
    <w:rsid w:val="0029127F"/>
    <w:rsid w:val="002F36E2"/>
    <w:rsid w:val="00330CE5"/>
    <w:rsid w:val="00332CF8"/>
    <w:rsid w:val="0034336B"/>
    <w:rsid w:val="00343527"/>
    <w:rsid w:val="0045176D"/>
    <w:rsid w:val="004A4A2F"/>
    <w:rsid w:val="004F54A7"/>
    <w:rsid w:val="005136E7"/>
    <w:rsid w:val="005446AB"/>
    <w:rsid w:val="00546EF0"/>
    <w:rsid w:val="00561480"/>
    <w:rsid w:val="005D1C5C"/>
    <w:rsid w:val="005E3316"/>
    <w:rsid w:val="0061355E"/>
    <w:rsid w:val="0064260F"/>
    <w:rsid w:val="00660AD6"/>
    <w:rsid w:val="00692C89"/>
    <w:rsid w:val="006D365A"/>
    <w:rsid w:val="006E12AC"/>
    <w:rsid w:val="00712B5D"/>
    <w:rsid w:val="00717137"/>
    <w:rsid w:val="00717CA9"/>
    <w:rsid w:val="007245A1"/>
    <w:rsid w:val="00750FFD"/>
    <w:rsid w:val="00752C35"/>
    <w:rsid w:val="00793D8B"/>
    <w:rsid w:val="007B4ED1"/>
    <w:rsid w:val="007C1E44"/>
    <w:rsid w:val="008524AC"/>
    <w:rsid w:val="008C2253"/>
    <w:rsid w:val="009037EC"/>
    <w:rsid w:val="00912CFF"/>
    <w:rsid w:val="0091784E"/>
    <w:rsid w:val="009449D3"/>
    <w:rsid w:val="009618CD"/>
    <w:rsid w:val="00967F84"/>
    <w:rsid w:val="009C0124"/>
    <w:rsid w:val="009C5CA4"/>
    <w:rsid w:val="00A12025"/>
    <w:rsid w:val="00A222E1"/>
    <w:rsid w:val="00A54E5F"/>
    <w:rsid w:val="00AA33C3"/>
    <w:rsid w:val="00AF7E21"/>
    <w:rsid w:val="00B00EBA"/>
    <w:rsid w:val="00B26B5F"/>
    <w:rsid w:val="00B50E35"/>
    <w:rsid w:val="00BA1641"/>
    <w:rsid w:val="00BB0EED"/>
    <w:rsid w:val="00C057B8"/>
    <w:rsid w:val="00C443C0"/>
    <w:rsid w:val="00C46353"/>
    <w:rsid w:val="00CC4DE2"/>
    <w:rsid w:val="00CD5073"/>
    <w:rsid w:val="00CE7056"/>
    <w:rsid w:val="00D5210D"/>
    <w:rsid w:val="00D95B30"/>
    <w:rsid w:val="00DB5042"/>
    <w:rsid w:val="00DB6199"/>
    <w:rsid w:val="00DE3E3A"/>
    <w:rsid w:val="00E1101A"/>
    <w:rsid w:val="00E17B04"/>
    <w:rsid w:val="00E42939"/>
    <w:rsid w:val="00E4370A"/>
    <w:rsid w:val="00E91AC8"/>
    <w:rsid w:val="00EB51B4"/>
    <w:rsid w:val="00ED1C9B"/>
    <w:rsid w:val="00ED2C59"/>
    <w:rsid w:val="00ED5B33"/>
    <w:rsid w:val="00F70632"/>
    <w:rsid w:val="00F862C0"/>
    <w:rsid w:val="00FB6A7C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492"/>
  <w15:chartTrackingRefBased/>
  <w15:docId w15:val="{1F9238C6-8960-4336-8C28-9B34EC1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E2"/>
  </w:style>
  <w:style w:type="paragraph" w:styleId="Footer">
    <w:name w:val="footer"/>
    <w:basedOn w:val="Normal"/>
    <w:link w:val="FooterChar"/>
    <w:uiPriority w:val="99"/>
    <w:unhideWhenUsed/>
    <w:rsid w:val="00CC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E2"/>
  </w:style>
  <w:style w:type="paragraph" w:styleId="ListParagraph">
    <w:name w:val="List Paragraph"/>
    <w:basedOn w:val="Normal"/>
    <w:uiPriority w:val="34"/>
    <w:qFormat/>
    <w:rsid w:val="00CC4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46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CA"/>
    <w:rPr>
      <w:b/>
      <w:bCs/>
      <w:sz w:val="20"/>
      <w:szCs w:val="20"/>
    </w:rPr>
  </w:style>
  <w:style w:type="paragraph" w:customStyle="1" w:styleId="wordsection1">
    <w:name w:val="wordsection1"/>
    <w:basedOn w:val="Normal"/>
    <w:uiPriority w:val="99"/>
    <w:rsid w:val="00F86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E3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ro/pages/about-deloitte/events/practici-neloiale-cadrul-lantului-de-aprovizionare-agricol-si-alimentar-noi-reglementari-pentru-provocari-mai-vechi.html?nc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Reff &amp; Asociatii</dc:creator>
  <cp:keywords/>
  <dc:description/>
  <cp:lastModifiedBy>Anghel, Oana</cp:lastModifiedBy>
  <cp:revision>3</cp:revision>
  <dcterms:created xsi:type="dcterms:W3CDTF">2022-05-10T08:25:00Z</dcterms:created>
  <dcterms:modified xsi:type="dcterms:W3CDTF">2022-05-10T08:59:00Z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2021-08-12T11:20:56Z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0beb1859-6382-4ca5-9e58-da4894a35e14</vt:lpwstr>
  </property>
  <property fmtid="{D5CDD505-2E9C-101B-9397-08002B2CF9AE}" pid="8" name="MSIP_Label_ea60d57e-af5b-4752-ac57-3e4f28ca11dc_ContentBits">
    <vt:lpwstr>0</vt:lpwstr>
  </property>
</Properties>
</file>