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836"/>
        <w:tblW w:w="9271" w:type="dxa"/>
        <w:tblLook w:val="01E0" w:firstRow="1" w:lastRow="1" w:firstColumn="1" w:lastColumn="1" w:noHBand="0" w:noVBand="0"/>
      </w:tblPr>
      <w:tblGrid>
        <w:gridCol w:w="1701"/>
        <w:gridCol w:w="7570"/>
      </w:tblGrid>
      <w:tr w:rsidR="000A30C3" w:rsidRPr="00BF3CC1" w14:paraId="4B6F66F6" w14:textId="77777777" w:rsidTr="00650B62">
        <w:trPr>
          <w:trHeight w:val="902"/>
        </w:trPr>
        <w:tc>
          <w:tcPr>
            <w:tcW w:w="9271" w:type="dxa"/>
            <w:gridSpan w:val="2"/>
            <w:tcMar>
              <w:top w:w="0" w:type="dxa"/>
              <w:left w:w="0" w:type="dxa"/>
              <w:bottom w:w="0" w:type="dxa"/>
              <w:right w:w="0" w:type="dxa"/>
            </w:tcMar>
            <w:hideMark/>
          </w:tcPr>
          <w:p w14:paraId="1E9EC16E" w14:textId="33D386E9" w:rsidR="000A30C3" w:rsidRPr="00BF3CC1" w:rsidRDefault="00682B3A" w:rsidP="00650B62">
            <w:pPr>
              <w:pStyle w:val="EYDocumenttitle"/>
              <w:rPr>
                <w:rFonts w:cs="Arial"/>
              </w:rPr>
            </w:pPr>
            <w:r>
              <w:rPr>
                <w:rFonts w:cs="Arial"/>
              </w:rPr>
              <w:t>Punct de vedere</w:t>
            </w:r>
          </w:p>
        </w:tc>
      </w:tr>
      <w:tr w:rsidR="000A30C3" w:rsidRPr="00BF3CC1" w14:paraId="7094AE1A" w14:textId="77777777" w:rsidTr="00650B62">
        <w:trPr>
          <w:trHeight w:val="373"/>
        </w:trPr>
        <w:tc>
          <w:tcPr>
            <w:tcW w:w="9271" w:type="dxa"/>
            <w:gridSpan w:val="2"/>
            <w:shd w:val="clear" w:color="auto" w:fill="auto"/>
            <w:tcMar>
              <w:top w:w="0" w:type="dxa"/>
              <w:left w:w="0" w:type="dxa"/>
              <w:bottom w:w="0" w:type="dxa"/>
              <w:right w:w="0" w:type="dxa"/>
            </w:tcMar>
            <w:hideMark/>
          </w:tcPr>
          <w:p w14:paraId="0BCDC895" w14:textId="1A02AF2B" w:rsidR="000A30C3" w:rsidRPr="00BF3CC1" w:rsidRDefault="00370D92" w:rsidP="00650B62">
            <w:pPr>
              <w:pStyle w:val="EYDocumentpromptsbold"/>
              <w:rPr>
                <w:rFonts w:ascii="Arial" w:hAnsi="Arial" w:cs="Arial"/>
                <w:highlight w:val="yellow"/>
              </w:rPr>
            </w:pPr>
            <w:r>
              <w:rPr>
                <w:rFonts w:ascii="Arial" w:hAnsi="Arial" w:cs="Arial"/>
              </w:rPr>
              <w:t xml:space="preserve"> </w:t>
            </w:r>
            <w:r w:rsidR="00333805">
              <w:rPr>
                <w:rFonts w:ascii="Arial" w:hAnsi="Arial" w:cs="Arial"/>
              </w:rPr>
              <w:t xml:space="preserve">23 </w:t>
            </w:r>
            <w:r w:rsidR="000A30C3">
              <w:rPr>
                <w:rFonts w:ascii="Arial" w:hAnsi="Arial" w:cs="Arial"/>
              </w:rPr>
              <w:t>martie 202</w:t>
            </w:r>
            <w:r w:rsidR="000D61B9">
              <w:rPr>
                <w:rFonts w:ascii="Arial" w:hAnsi="Arial" w:cs="Arial"/>
              </w:rPr>
              <w:t>2</w:t>
            </w:r>
          </w:p>
        </w:tc>
      </w:tr>
      <w:tr w:rsidR="000A30C3" w:rsidRPr="00BF3CC1" w14:paraId="71163D50" w14:textId="77777777" w:rsidTr="00650B62">
        <w:trPr>
          <w:trHeight w:val="20"/>
        </w:trPr>
        <w:tc>
          <w:tcPr>
            <w:tcW w:w="1701" w:type="dxa"/>
            <w:tcMar>
              <w:top w:w="0" w:type="dxa"/>
              <w:left w:w="0" w:type="dxa"/>
              <w:bottom w:w="0" w:type="dxa"/>
              <w:right w:w="0" w:type="dxa"/>
            </w:tcMar>
            <w:hideMark/>
          </w:tcPr>
          <w:p w14:paraId="12E82192" w14:textId="77777777" w:rsidR="000A30C3" w:rsidRPr="00BF3CC1" w:rsidRDefault="000A30C3" w:rsidP="00650B62">
            <w:pPr>
              <w:pStyle w:val="EYDocumentprompts"/>
              <w:rPr>
                <w:rFonts w:cs="Arial"/>
                <w:lang w:val="ro-RO"/>
              </w:rPr>
            </w:pPr>
            <w:r w:rsidRPr="00BF3CC1">
              <w:rPr>
                <w:rFonts w:cs="Arial"/>
                <w:lang w:val="ro-RO"/>
              </w:rPr>
              <w:t>Contact:</w:t>
            </w:r>
          </w:p>
        </w:tc>
        <w:tc>
          <w:tcPr>
            <w:tcW w:w="7570" w:type="dxa"/>
            <w:tcMar>
              <w:top w:w="0" w:type="dxa"/>
              <w:left w:w="0" w:type="dxa"/>
              <w:bottom w:w="0" w:type="dxa"/>
              <w:right w:w="0" w:type="dxa"/>
            </w:tcMar>
            <w:hideMark/>
          </w:tcPr>
          <w:p w14:paraId="6E5C96E8" w14:textId="77777777" w:rsidR="000A30C3" w:rsidRPr="00BF3CC1" w:rsidRDefault="000A30C3" w:rsidP="00650B62">
            <w:pPr>
              <w:pStyle w:val="EYDocumentprompts"/>
              <w:rPr>
                <w:rFonts w:cs="Arial"/>
                <w:lang w:val="ro-RO"/>
              </w:rPr>
            </w:pPr>
            <w:r>
              <w:rPr>
                <w:rFonts w:cs="Arial"/>
                <w:lang w:val="ro-RO"/>
              </w:rPr>
              <w:t>Anda Huțanu</w:t>
            </w:r>
          </w:p>
        </w:tc>
      </w:tr>
      <w:tr w:rsidR="000A30C3" w:rsidRPr="00BF3CC1" w14:paraId="04BF7DC3" w14:textId="77777777" w:rsidTr="00650B62">
        <w:trPr>
          <w:trHeight w:val="20"/>
        </w:trPr>
        <w:tc>
          <w:tcPr>
            <w:tcW w:w="1701" w:type="dxa"/>
            <w:tcMar>
              <w:top w:w="0" w:type="dxa"/>
              <w:left w:w="0" w:type="dxa"/>
              <w:bottom w:w="0" w:type="dxa"/>
              <w:right w:w="0" w:type="dxa"/>
            </w:tcMar>
            <w:hideMark/>
          </w:tcPr>
          <w:p w14:paraId="7D3B09CA" w14:textId="77777777" w:rsidR="000A30C3" w:rsidRPr="00BF3CC1" w:rsidRDefault="000A30C3" w:rsidP="00650B62">
            <w:pPr>
              <w:pStyle w:val="EYDocumentprompts"/>
              <w:rPr>
                <w:rFonts w:cs="Arial"/>
                <w:lang w:val="ro-RO"/>
              </w:rPr>
            </w:pPr>
            <w:r w:rsidRPr="00BF3CC1">
              <w:rPr>
                <w:rFonts w:cs="Arial"/>
                <w:lang w:val="ro-RO"/>
              </w:rPr>
              <w:t>Companie:</w:t>
            </w:r>
          </w:p>
        </w:tc>
        <w:tc>
          <w:tcPr>
            <w:tcW w:w="7570" w:type="dxa"/>
            <w:tcMar>
              <w:top w:w="0" w:type="dxa"/>
              <w:left w:w="0" w:type="dxa"/>
              <w:bottom w:w="0" w:type="dxa"/>
              <w:right w:w="0" w:type="dxa"/>
            </w:tcMar>
            <w:hideMark/>
          </w:tcPr>
          <w:p w14:paraId="5CF38198" w14:textId="77777777" w:rsidR="000A30C3" w:rsidRPr="00BF3CC1" w:rsidRDefault="000A30C3" w:rsidP="00650B62">
            <w:pPr>
              <w:pStyle w:val="EYDocumentprompts"/>
              <w:rPr>
                <w:rFonts w:cs="Arial"/>
                <w:lang w:val="ro-RO"/>
              </w:rPr>
            </w:pPr>
            <w:r>
              <w:rPr>
                <w:rFonts w:cs="Arial"/>
                <w:lang w:val="ro-RO"/>
              </w:rPr>
              <w:t>EY Româ</w:t>
            </w:r>
            <w:r w:rsidRPr="00BF3CC1">
              <w:rPr>
                <w:rFonts w:cs="Arial"/>
                <w:lang w:val="ro-RO"/>
              </w:rPr>
              <w:t>nia</w:t>
            </w:r>
          </w:p>
        </w:tc>
      </w:tr>
      <w:tr w:rsidR="000A30C3" w:rsidRPr="00BF3CC1" w14:paraId="15922916" w14:textId="77777777" w:rsidTr="00650B62">
        <w:trPr>
          <w:trHeight w:val="20"/>
        </w:trPr>
        <w:tc>
          <w:tcPr>
            <w:tcW w:w="1701" w:type="dxa"/>
            <w:tcMar>
              <w:top w:w="0" w:type="dxa"/>
              <w:left w:w="0" w:type="dxa"/>
              <w:bottom w:w="0" w:type="dxa"/>
              <w:right w:w="0" w:type="dxa"/>
            </w:tcMar>
            <w:hideMark/>
          </w:tcPr>
          <w:p w14:paraId="414857A3" w14:textId="77777777" w:rsidR="000A30C3" w:rsidRPr="00BF3CC1" w:rsidRDefault="000A30C3" w:rsidP="00650B62">
            <w:pPr>
              <w:pStyle w:val="EYDocumentprompts"/>
              <w:rPr>
                <w:rFonts w:cs="Arial"/>
                <w:lang w:val="ro-RO"/>
              </w:rPr>
            </w:pPr>
            <w:r w:rsidRPr="00BF3CC1">
              <w:rPr>
                <w:rFonts w:cs="Arial"/>
                <w:lang w:val="ro-RO"/>
              </w:rPr>
              <w:t>Tel:</w:t>
            </w:r>
          </w:p>
        </w:tc>
        <w:tc>
          <w:tcPr>
            <w:tcW w:w="7570" w:type="dxa"/>
            <w:tcMar>
              <w:top w:w="0" w:type="dxa"/>
              <w:left w:w="0" w:type="dxa"/>
              <w:bottom w:w="0" w:type="dxa"/>
              <w:right w:w="0" w:type="dxa"/>
            </w:tcMar>
            <w:hideMark/>
          </w:tcPr>
          <w:p w14:paraId="0F56F218" w14:textId="77777777" w:rsidR="000A30C3" w:rsidRPr="00BF3CC1" w:rsidRDefault="000A30C3" w:rsidP="00650B62">
            <w:pPr>
              <w:pStyle w:val="EYDocumentprompts"/>
              <w:rPr>
                <w:rFonts w:cs="Arial"/>
                <w:lang w:val="ro-RO"/>
              </w:rPr>
            </w:pPr>
            <w:r w:rsidRPr="00BF3CC1">
              <w:rPr>
                <w:rFonts w:cs="Arial"/>
                <w:lang w:val="ro-RO"/>
              </w:rPr>
              <w:t>+40 21 402 4000</w:t>
            </w:r>
          </w:p>
        </w:tc>
      </w:tr>
      <w:tr w:rsidR="000A30C3" w:rsidRPr="00BF3CC1" w14:paraId="3E6A8718" w14:textId="77777777" w:rsidTr="00650B62">
        <w:trPr>
          <w:trHeight w:val="80"/>
        </w:trPr>
        <w:tc>
          <w:tcPr>
            <w:tcW w:w="1701" w:type="dxa"/>
            <w:tcMar>
              <w:top w:w="0" w:type="dxa"/>
              <w:left w:w="0" w:type="dxa"/>
              <w:bottom w:w="0" w:type="dxa"/>
              <w:right w:w="0" w:type="dxa"/>
            </w:tcMar>
            <w:hideMark/>
          </w:tcPr>
          <w:p w14:paraId="233EE478" w14:textId="77777777" w:rsidR="000A30C3" w:rsidRPr="00BF3CC1" w:rsidRDefault="000A30C3" w:rsidP="00650B62">
            <w:pPr>
              <w:pStyle w:val="EYDocumentprompts"/>
              <w:rPr>
                <w:rFonts w:cs="Arial"/>
                <w:lang w:val="ro-RO"/>
              </w:rPr>
            </w:pPr>
            <w:r w:rsidRPr="00BF3CC1">
              <w:rPr>
                <w:rFonts w:cs="Arial"/>
                <w:lang w:val="ro-RO"/>
              </w:rPr>
              <w:t>E-mail:</w:t>
            </w:r>
          </w:p>
        </w:tc>
        <w:tc>
          <w:tcPr>
            <w:tcW w:w="7570" w:type="dxa"/>
            <w:tcMar>
              <w:top w:w="0" w:type="dxa"/>
              <w:left w:w="0" w:type="dxa"/>
              <w:bottom w:w="0" w:type="dxa"/>
              <w:right w:w="0" w:type="dxa"/>
            </w:tcMar>
            <w:hideMark/>
          </w:tcPr>
          <w:p w14:paraId="72743BC5" w14:textId="77777777" w:rsidR="000A30C3" w:rsidRDefault="000E0C55" w:rsidP="00650B62">
            <w:pPr>
              <w:pStyle w:val="EYDocumentprompts"/>
              <w:rPr>
                <w:rStyle w:val="Hyperlink"/>
                <w:rFonts w:cs="Arial"/>
                <w:lang w:val="ro-RO"/>
              </w:rPr>
            </w:pPr>
            <w:hyperlink r:id="rId10" w:history="1">
              <w:r w:rsidR="000A30C3" w:rsidRPr="00D539DF">
                <w:rPr>
                  <w:rStyle w:val="Hyperlink"/>
                  <w:rFonts w:cs="Arial"/>
                  <w:lang w:val="ro-RO"/>
                </w:rPr>
                <w:t>anda.hutanu@ro.ey.com</w:t>
              </w:r>
            </w:hyperlink>
          </w:p>
          <w:p w14:paraId="3ECFA144" w14:textId="662D49C7" w:rsidR="00BA7BB5" w:rsidRPr="00BF3CC1" w:rsidRDefault="00BA7BB5" w:rsidP="00650B62">
            <w:pPr>
              <w:pStyle w:val="EYDocumentprompts"/>
              <w:rPr>
                <w:rFonts w:cs="Arial"/>
                <w:color w:val="0000FF"/>
                <w:u w:val="single"/>
                <w:lang w:val="ro-RO"/>
              </w:rPr>
            </w:pPr>
          </w:p>
        </w:tc>
      </w:tr>
    </w:tbl>
    <w:p w14:paraId="401F30C6" w14:textId="77777777" w:rsidR="00333805" w:rsidRDefault="00333805" w:rsidP="00244FD7">
      <w:pPr>
        <w:pStyle w:val="EYBodytextwithparaspace"/>
        <w:spacing w:after="240" w:line="240" w:lineRule="auto"/>
        <w:contextualSpacing/>
        <w:rPr>
          <w:rFonts w:cs="Arial"/>
          <w:b/>
          <w:bCs/>
          <w:sz w:val="28"/>
          <w:szCs w:val="28"/>
        </w:rPr>
      </w:pPr>
    </w:p>
    <w:p w14:paraId="568CA001" w14:textId="7406B373" w:rsidR="004B1B79" w:rsidRDefault="00BA7BB5" w:rsidP="00244FD7">
      <w:pPr>
        <w:pStyle w:val="EYBodytextwithparaspace"/>
        <w:spacing w:after="240" w:line="240" w:lineRule="auto"/>
        <w:contextualSpacing/>
        <w:rPr>
          <w:rFonts w:cs="Arial"/>
          <w:b/>
          <w:bCs/>
          <w:sz w:val="28"/>
          <w:szCs w:val="28"/>
        </w:rPr>
      </w:pPr>
      <w:r w:rsidRPr="00BA7BB5">
        <w:rPr>
          <w:rFonts w:cs="Arial"/>
          <w:b/>
          <w:bCs/>
          <w:sz w:val="28"/>
          <w:szCs w:val="28"/>
        </w:rPr>
        <w:t xml:space="preserve">Autoritatea Fiscală anunță intensificarea activității de control. În </w:t>
      </w:r>
      <w:r w:rsidR="00680462">
        <w:rPr>
          <w:rFonts w:cs="Arial"/>
          <w:b/>
          <w:bCs/>
          <w:sz w:val="28"/>
          <w:szCs w:val="28"/>
        </w:rPr>
        <w:t xml:space="preserve">anul 2020 a </w:t>
      </w:r>
      <w:r w:rsidRPr="00BA7BB5">
        <w:rPr>
          <w:rFonts w:cs="Arial"/>
          <w:b/>
          <w:bCs/>
          <w:sz w:val="28"/>
          <w:szCs w:val="28"/>
        </w:rPr>
        <w:t>pierd</w:t>
      </w:r>
      <w:r w:rsidR="00680462">
        <w:rPr>
          <w:rFonts w:cs="Arial"/>
          <w:b/>
          <w:bCs/>
          <w:sz w:val="28"/>
          <w:szCs w:val="28"/>
        </w:rPr>
        <w:t>ut</w:t>
      </w:r>
      <w:r w:rsidR="00A249E1">
        <w:rPr>
          <w:rFonts w:cs="Arial"/>
          <w:b/>
          <w:bCs/>
          <w:sz w:val="28"/>
          <w:szCs w:val="28"/>
        </w:rPr>
        <w:t xml:space="preserve">, </w:t>
      </w:r>
      <w:r w:rsidR="00680462">
        <w:rPr>
          <w:rFonts w:cs="Arial"/>
          <w:b/>
          <w:bCs/>
          <w:sz w:val="28"/>
          <w:szCs w:val="28"/>
        </w:rPr>
        <w:t>însă</w:t>
      </w:r>
      <w:r w:rsidR="00A249E1">
        <w:rPr>
          <w:rFonts w:cs="Arial"/>
          <w:b/>
          <w:bCs/>
          <w:sz w:val="28"/>
          <w:szCs w:val="28"/>
        </w:rPr>
        <w:t>,</w:t>
      </w:r>
      <w:r w:rsidRPr="00BA7BB5">
        <w:rPr>
          <w:rFonts w:cs="Arial"/>
          <w:b/>
          <w:bCs/>
          <w:sz w:val="28"/>
          <w:szCs w:val="28"/>
        </w:rPr>
        <w:t xml:space="preserve"> </w:t>
      </w:r>
      <w:r w:rsidR="00680462">
        <w:rPr>
          <w:rFonts w:cs="Arial"/>
          <w:b/>
          <w:bCs/>
          <w:sz w:val="28"/>
          <w:szCs w:val="28"/>
        </w:rPr>
        <w:t xml:space="preserve">aproape </w:t>
      </w:r>
      <w:r w:rsidRPr="00BA7BB5">
        <w:rPr>
          <w:rFonts w:cs="Arial"/>
          <w:b/>
          <w:bCs/>
          <w:sz w:val="28"/>
          <w:szCs w:val="28"/>
        </w:rPr>
        <w:t>jumătate din disputele fiscale cu contribuabilii</w:t>
      </w:r>
    </w:p>
    <w:p w14:paraId="60C84111" w14:textId="7D750243" w:rsidR="00E366D2" w:rsidRPr="00E366D2" w:rsidRDefault="00E366D2" w:rsidP="00244FD7">
      <w:pPr>
        <w:pStyle w:val="EYBodytextwithparaspace"/>
        <w:spacing w:after="240" w:line="240" w:lineRule="auto"/>
        <w:contextualSpacing/>
        <w:rPr>
          <w:rFonts w:cs="Arial"/>
          <w:i/>
          <w:iCs/>
          <w:szCs w:val="22"/>
        </w:rPr>
      </w:pPr>
    </w:p>
    <w:p w14:paraId="7641EF84" w14:textId="77777777" w:rsidR="00333805" w:rsidRDefault="00E366D2" w:rsidP="00E366D2">
      <w:pPr>
        <w:jc w:val="both"/>
        <w:rPr>
          <w:rFonts w:cs="Arial"/>
          <w:i/>
          <w:iCs/>
          <w:sz w:val="22"/>
          <w:szCs w:val="22"/>
        </w:rPr>
      </w:pPr>
      <w:r w:rsidRPr="00E366D2">
        <w:rPr>
          <w:rFonts w:cs="Arial"/>
          <w:i/>
          <w:iCs/>
          <w:sz w:val="22"/>
          <w:szCs w:val="22"/>
        </w:rPr>
        <w:t xml:space="preserve">Autori: </w:t>
      </w:r>
    </w:p>
    <w:p w14:paraId="73EA14FF" w14:textId="079EE849" w:rsidR="00A64AA3" w:rsidRDefault="00E366D2" w:rsidP="00E366D2">
      <w:pPr>
        <w:jc w:val="both"/>
        <w:rPr>
          <w:rFonts w:cs="Arial"/>
          <w:i/>
          <w:iCs/>
          <w:sz w:val="22"/>
          <w:szCs w:val="22"/>
        </w:rPr>
      </w:pPr>
      <w:bookmarkStart w:id="0" w:name="_Hlk98927590"/>
      <w:r w:rsidRPr="00E366D2">
        <w:rPr>
          <w:rFonts w:cs="Arial"/>
          <w:i/>
          <w:iCs/>
          <w:sz w:val="22"/>
          <w:szCs w:val="22"/>
        </w:rPr>
        <w:t>Emanuel Băncilă, Partener</w:t>
      </w:r>
      <w:r w:rsidR="00A249E1">
        <w:rPr>
          <w:rFonts w:cs="Arial"/>
          <w:i/>
          <w:iCs/>
          <w:sz w:val="22"/>
          <w:szCs w:val="22"/>
        </w:rPr>
        <w:t>,</w:t>
      </w:r>
      <w:r>
        <w:rPr>
          <w:rFonts w:cs="Arial"/>
          <w:i/>
          <w:iCs/>
          <w:sz w:val="22"/>
          <w:szCs w:val="22"/>
        </w:rPr>
        <w:t xml:space="preserve"> </w:t>
      </w:r>
      <w:r w:rsidR="00A64AA3" w:rsidRPr="00A64AA3">
        <w:rPr>
          <w:rFonts w:cs="Arial"/>
          <w:i/>
          <w:iCs/>
          <w:sz w:val="22"/>
          <w:szCs w:val="22"/>
        </w:rPr>
        <w:t xml:space="preserve">Coordonatorul </w:t>
      </w:r>
      <w:r w:rsidR="00A249E1">
        <w:rPr>
          <w:rFonts w:cs="Arial"/>
          <w:i/>
          <w:iCs/>
          <w:sz w:val="22"/>
          <w:szCs w:val="22"/>
        </w:rPr>
        <w:t>P</w:t>
      </w:r>
      <w:r w:rsidR="00A64AA3" w:rsidRPr="00A64AA3">
        <w:rPr>
          <w:rFonts w:cs="Arial"/>
          <w:i/>
          <w:iCs/>
          <w:sz w:val="22"/>
          <w:szCs w:val="22"/>
        </w:rPr>
        <w:t>racticii de inspecții și controverse fiscale, EY România</w:t>
      </w:r>
    </w:p>
    <w:p w14:paraId="056CAC0E" w14:textId="0F922034" w:rsidR="00E366D2" w:rsidRPr="00E366D2" w:rsidRDefault="00E366D2" w:rsidP="00E366D2">
      <w:pPr>
        <w:jc w:val="both"/>
        <w:rPr>
          <w:rFonts w:cs="Arial"/>
          <w:i/>
          <w:iCs/>
          <w:sz w:val="22"/>
          <w:szCs w:val="22"/>
        </w:rPr>
      </w:pPr>
      <w:r w:rsidRPr="00E366D2">
        <w:rPr>
          <w:rFonts w:cs="Arial"/>
          <w:i/>
          <w:iCs/>
          <w:sz w:val="22"/>
          <w:szCs w:val="22"/>
        </w:rPr>
        <w:t>Adrian Rus, Partener,</w:t>
      </w:r>
      <w:r>
        <w:rPr>
          <w:rFonts w:cs="Arial"/>
          <w:i/>
          <w:iCs/>
          <w:sz w:val="22"/>
          <w:szCs w:val="22"/>
        </w:rPr>
        <w:t xml:space="preserve"> liderul departamentului Preţuri de transfer,</w:t>
      </w:r>
      <w:r w:rsidRPr="00E366D2">
        <w:rPr>
          <w:rFonts w:cs="Arial"/>
          <w:i/>
          <w:iCs/>
          <w:sz w:val="22"/>
          <w:szCs w:val="22"/>
        </w:rPr>
        <w:t xml:space="preserve"> EY</w:t>
      </w:r>
      <w:r>
        <w:rPr>
          <w:rFonts w:cs="Arial"/>
          <w:i/>
          <w:iCs/>
          <w:sz w:val="22"/>
          <w:szCs w:val="22"/>
        </w:rPr>
        <w:t xml:space="preserve"> România</w:t>
      </w:r>
    </w:p>
    <w:bookmarkEnd w:id="0"/>
    <w:p w14:paraId="0CE4C36C" w14:textId="351157A0" w:rsidR="00E366D2" w:rsidRPr="00BA7BB5" w:rsidRDefault="00E366D2" w:rsidP="00244FD7">
      <w:pPr>
        <w:pStyle w:val="EYBodytextwithparaspace"/>
        <w:spacing w:after="240" w:line="240" w:lineRule="auto"/>
        <w:contextualSpacing/>
        <w:rPr>
          <w:rFonts w:cs="Arial"/>
          <w:b/>
          <w:bCs/>
          <w:sz w:val="28"/>
          <w:szCs w:val="28"/>
        </w:rPr>
      </w:pPr>
    </w:p>
    <w:p w14:paraId="7478447B" w14:textId="39976424" w:rsidR="009B5A4B" w:rsidRPr="00A051BE" w:rsidRDefault="009B5A4B" w:rsidP="009B5A4B">
      <w:pPr>
        <w:rPr>
          <w:rFonts w:cs="Arial"/>
          <w:sz w:val="22"/>
          <w:szCs w:val="22"/>
        </w:rPr>
      </w:pPr>
      <w:bookmarkStart w:id="1" w:name="_Hlk98927543"/>
      <w:r w:rsidRPr="00A051BE">
        <w:rPr>
          <w:rFonts w:cs="Arial"/>
          <w:sz w:val="22"/>
          <w:szCs w:val="22"/>
        </w:rPr>
        <w:t>Campania de controale comune ale ANAF cu Inspecția Muncii, pentru ”prevenirea” muncii nedeclarate</w:t>
      </w:r>
      <w:r w:rsidR="005A26FB">
        <w:rPr>
          <w:rFonts w:cs="Arial"/>
          <w:sz w:val="22"/>
          <w:szCs w:val="22"/>
        </w:rPr>
        <w:t xml:space="preserve"> și </w:t>
      </w:r>
      <w:r w:rsidRPr="00A051BE">
        <w:rPr>
          <w:rFonts w:cs="Arial"/>
          <w:sz w:val="22"/>
          <w:szCs w:val="22"/>
        </w:rPr>
        <w:t>proiectul-pilot pentru realizarea de controale în timp real, planificat să se deruleze în viitorul apropiat, pentru îmbunătățirea conformării voluntare sunt două dintre cele mai recente proiecte anunțate de autoritatea fiscală română.</w:t>
      </w:r>
      <w:bookmarkEnd w:id="1"/>
      <w:r w:rsidRPr="00A051BE">
        <w:rPr>
          <w:rFonts w:cs="Arial"/>
          <w:sz w:val="22"/>
          <w:szCs w:val="22"/>
        </w:rPr>
        <w:t xml:space="preserve"> De altfel, </w:t>
      </w:r>
      <w:r w:rsidR="00BB00E0" w:rsidRPr="00A051BE">
        <w:rPr>
          <w:rFonts w:cs="Arial"/>
          <w:sz w:val="22"/>
          <w:szCs w:val="22"/>
        </w:rPr>
        <w:t xml:space="preserve">ANAF a vorbit și despre </w:t>
      </w:r>
      <w:r w:rsidRPr="00A051BE">
        <w:rPr>
          <w:rFonts w:cs="Arial"/>
          <w:sz w:val="22"/>
          <w:szCs w:val="22"/>
        </w:rPr>
        <w:t>creșterea cu 10% a numărului de inspecții fiscale până la finele anului 2025</w:t>
      </w:r>
      <w:r w:rsidR="00BB00E0" w:rsidRPr="00A051BE">
        <w:rPr>
          <w:rFonts w:cs="Arial"/>
          <w:color w:val="121212"/>
          <w:sz w:val="22"/>
          <w:szCs w:val="22"/>
          <w:shd w:val="clear" w:color="auto" w:fill="FFFFFF"/>
        </w:rPr>
        <w:t>,</w:t>
      </w:r>
      <w:r w:rsidR="00C84FD1">
        <w:rPr>
          <w:rFonts w:cs="Arial"/>
          <w:color w:val="121212"/>
          <w:sz w:val="22"/>
          <w:szCs w:val="22"/>
          <w:shd w:val="clear" w:color="auto" w:fill="FFFFFF"/>
        </w:rPr>
        <w:t xml:space="preserve"> </w:t>
      </w:r>
      <w:r w:rsidRPr="00A051BE">
        <w:rPr>
          <w:rFonts w:cs="Arial"/>
          <w:sz w:val="22"/>
          <w:szCs w:val="22"/>
        </w:rPr>
        <w:t>dar și</w:t>
      </w:r>
      <w:r w:rsidR="00BB00E0" w:rsidRPr="00A051BE">
        <w:rPr>
          <w:rFonts w:cs="Arial"/>
          <w:sz w:val="22"/>
          <w:szCs w:val="22"/>
        </w:rPr>
        <w:t xml:space="preserve"> despre</w:t>
      </w:r>
      <w:r w:rsidRPr="00A051BE">
        <w:rPr>
          <w:rFonts w:cs="Arial"/>
          <w:sz w:val="22"/>
          <w:szCs w:val="22"/>
        </w:rPr>
        <w:t xml:space="preserve"> majorarea colectării cu 2,5 puncte procentuale</w:t>
      </w:r>
      <w:r w:rsidR="00527C74" w:rsidRPr="00A051BE">
        <w:rPr>
          <w:rFonts w:cs="Arial"/>
          <w:sz w:val="22"/>
          <w:szCs w:val="22"/>
        </w:rPr>
        <w:t xml:space="preserve"> din PIB</w:t>
      </w:r>
      <w:r w:rsidRPr="00A051BE">
        <w:rPr>
          <w:rFonts w:cs="Arial"/>
          <w:sz w:val="22"/>
          <w:szCs w:val="22"/>
        </w:rPr>
        <w:t xml:space="preserve"> în același interval de timp</w:t>
      </w:r>
      <w:r w:rsidR="00BB00E0" w:rsidRPr="00A051BE">
        <w:rPr>
          <w:rFonts w:cs="Arial"/>
          <w:sz w:val="22"/>
          <w:szCs w:val="22"/>
        </w:rPr>
        <w:t xml:space="preserve"> și reducerea decalajului de colectare a TVA, priorități prevăzute, de altfel, de </w:t>
      </w:r>
      <w:r w:rsidRPr="00A051BE">
        <w:rPr>
          <w:rFonts w:cs="Arial"/>
          <w:sz w:val="22"/>
          <w:szCs w:val="22"/>
        </w:rPr>
        <w:t xml:space="preserve">Planul Național de Reziliență și Redresare a României. </w:t>
      </w:r>
      <w:bookmarkStart w:id="2" w:name="_Hlk98927565"/>
      <w:r w:rsidRPr="00A051BE">
        <w:rPr>
          <w:rFonts w:cs="Arial"/>
          <w:sz w:val="22"/>
          <w:szCs w:val="22"/>
        </w:rPr>
        <w:t>Care sunt măsurile pe care se bazează Autoritatea să își realizeze obiectivele și pe care ar trebui să le cunoască și contribuabilii?</w:t>
      </w:r>
      <w:bookmarkEnd w:id="2"/>
    </w:p>
    <w:p w14:paraId="44E819AB" w14:textId="77777777" w:rsidR="009B5A4B" w:rsidRPr="00A051BE" w:rsidRDefault="009B5A4B" w:rsidP="009B5A4B">
      <w:pPr>
        <w:rPr>
          <w:rFonts w:cs="Arial"/>
          <w:sz w:val="22"/>
          <w:szCs w:val="22"/>
        </w:rPr>
      </w:pPr>
    </w:p>
    <w:p w14:paraId="4C61A78D" w14:textId="7A726AD4" w:rsidR="009B5A4B" w:rsidRPr="00A051BE" w:rsidRDefault="00496164" w:rsidP="009B5A4B">
      <w:pPr>
        <w:rPr>
          <w:rFonts w:cs="Arial"/>
          <w:vanish/>
          <w:sz w:val="22"/>
          <w:szCs w:val="22"/>
        </w:rPr>
      </w:pPr>
      <w:r w:rsidRPr="00A051BE">
        <w:rPr>
          <w:rFonts w:cs="Arial"/>
          <w:b/>
          <w:bCs/>
          <w:sz w:val="22"/>
          <w:szCs w:val="22"/>
        </w:rPr>
        <w:t>Indicatori de risc</w:t>
      </w:r>
      <w:r w:rsidR="009B5A4B" w:rsidRPr="00A051BE">
        <w:rPr>
          <w:rFonts w:cs="Arial"/>
          <w:b/>
          <w:bCs/>
          <w:sz w:val="22"/>
          <w:szCs w:val="22"/>
        </w:rPr>
        <w:t xml:space="preserve">. </w:t>
      </w:r>
      <w:r w:rsidR="009B5A4B" w:rsidRPr="00A051BE">
        <w:rPr>
          <w:rFonts w:cs="Arial"/>
          <w:sz w:val="22"/>
          <w:szCs w:val="22"/>
        </w:rPr>
        <w:t>ANAF a creat o structur</w:t>
      </w:r>
      <w:r w:rsidR="00994AE3" w:rsidRPr="00A051BE">
        <w:rPr>
          <w:rFonts w:cs="Arial"/>
          <w:sz w:val="22"/>
          <w:szCs w:val="22"/>
        </w:rPr>
        <w:t>ă</w:t>
      </w:r>
      <w:r w:rsidR="009B5A4B" w:rsidRPr="00A051BE">
        <w:rPr>
          <w:rFonts w:cs="Arial"/>
          <w:sz w:val="22"/>
          <w:szCs w:val="22"/>
        </w:rPr>
        <w:t xml:space="preserve"> specific</w:t>
      </w:r>
      <w:r w:rsidR="00994AE3" w:rsidRPr="00A051BE">
        <w:rPr>
          <w:rFonts w:cs="Arial"/>
          <w:sz w:val="22"/>
          <w:szCs w:val="22"/>
        </w:rPr>
        <w:t>ă</w:t>
      </w:r>
      <w:r w:rsidR="009B5A4B" w:rsidRPr="00A051BE">
        <w:rPr>
          <w:rFonts w:cs="Arial"/>
          <w:sz w:val="22"/>
          <w:szCs w:val="22"/>
        </w:rPr>
        <w:t xml:space="preserve"> de management al riscului, care, cel puțin </w:t>
      </w:r>
      <w:r w:rsidR="00994AE3" w:rsidRPr="00A051BE">
        <w:rPr>
          <w:rFonts w:cs="Arial"/>
          <w:sz w:val="22"/>
          <w:szCs w:val="22"/>
        </w:rPr>
        <w:t>î</w:t>
      </w:r>
      <w:r w:rsidR="009B5A4B" w:rsidRPr="00A051BE">
        <w:rPr>
          <w:rFonts w:cs="Arial"/>
          <w:sz w:val="22"/>
          <w:szCs w:val="22"/>
        </w:rPr>
        <w:t>n teorie, ar trebui să ajute la eficientizarea inspecțiilor fiscale prin crearea de clase de risc, în funcție de care urmează ca toți contribuabilii s</w:t>
      </w:r>
      <w:r w:rsidR="00994AE3" w:rsidRPr="00A051BE">
        <w:rPr>
          <w:rFonts w:cs="Arial"/>
          <w:sz w:val="22"/>
          <w:szCs w:val="22"/>
        </w:rPr>
        <w:t>ă</w:t>
      </w:r>
      <w:r w:rsidR="009B5A4B" w:rsidRPr="00A051BE">
        <w:rPr>
          <w:rFonts w:cs="Arial"/>
          <w:sz w:val="22"/>
          <w:szCs w:val="22"/>
        </w:rPr>
        <w:t xml:space="preserve"> fie planificați pentru inspecția fiscală. </w:t>
      </w:r>
    </w:p>
    <w:p w14:paraId="12792EDF" w14:textId="77777777" w:rsidR="00D61839" w:rsidRPr="00A051BE" w:rsidRDefault="00D61839" w:rsidP="009B5A4B">
      <w:pPr>
        <w:rPr>
          <w:rFonts w:cs="Arial"/>
          <w:vanish/>
          <w:sz w:val="22"/>
          <w:szCs w:val="22"/>
        </w:rPr>
      </w:pPr>
    </w:p>
    <w:p w14:paraId="5965B918" w14:textId="7FE97E75" w:rsidR="009B5A4B" w:rsidRPr="00A051BE" w:rsidRDefault="009B5A4B" w:rsidP="009B5A4B">
      <w:pPr>
        <w:rPr>
          <w:rFonts w:cs="Arial"/>
          <w:sz w:val="22"/>
          <w:szCs w:val="22"/>
        </w:rPr>
      </w:pPr>
      <w:r w:rsidRPr="00A051BE">
        <w:rPr>
          <w:rFonts w:cs="Arial"/>
          <w:sz w:val="22"/>
          <w:szCs w:val="22"/>
        </w:rPr>
        <w:t>Conform raportului de activitate al ANAF pe anul 2020, Direcția de Management al Riscului a testat deja aproximativ 100 de indicatori de risc, urmând ca, până la sfârșitul lui 2022, să îi definitiveze pe aceia în funcție de care se vor stabili clasele de risc. Momentan, pentru activitatea de inspecție fiscală se folosesc doar 11 indicatori de risc, a căror analiză este obligatorie înaintea începerii unei inspecții fiscale. De asemenea, la acest moment, procedura în urma căreia un contribuabil este clasificat ca fiind cu grad de risc fiscal mare, este netransparent</w:t>
      </w:r>
      <w:r w:rsidR="00D61839" w:rsidRPr="00A051BE">
        <w:rPr>
          <w:rFonts w:cs="Arial"/>
          <w:sz w:val="22"/>
          <w:szCs w:val="22"/>
        </w:rPr>
        <w:t>ă</w:t>
      </w:r>
      <w:r w:rsidRPr="00A051BE">
        <w:rPr>
          <w:rFonts w:cs="Arial"/>
          <w:sz w:val="22"/>
          <w:szCs w:val="22"/>
        </w:rPr>
        <w:t xml:space="preserve">, neputând fi contestată.  </w:t>
      </w:r>
    </w:p>
    <w:p w14:paraId="14DC9CC8" w14:textId="77777777" w:rsidR="009B5A4B" w:rsidRPr="00A051BE" w:rsidRDefault="009B5A4B" w:rsidP="009B5A4B">
      <w:pPr>
        <w:rPr>
          <w:rFonts w:cs="Arial"/>
          <w:sz w:val="22"/>
          <w:szCs w:val="22"/>
        </w:rPr>
      </w:pPr>
    </w:p>
    <w:p w14:paraId="2583FA8D" w14:textId="67D70AB4" w:rsidR="00D66BB3" w:rsidRDefault="00D61839" w:rsidP="009B5A4B">
      <w:pPr>
        <w:rPr>
          <w:rFonts w:cs="Arial"/>
          <w:sz w:val="22"/>
          <w:szCs w:val="22"/>
        </w:rPr>
      </w:pPr>
      <w:r w:rsidRPr="00A051BE">
        <w:rPr>
          <w:rFonts w:cs="Arial"/>
          <w:b/>
          <w:bCs/>
          <w:sz w:val="22"/>
          <w:szCs w:val="22"/>
        </w:rPr>
        <w:t>Informații din CBCR</w:t>
      </w:r>
      <w:r w:rsidR="009B5A4B" w:rsidRPr="00A051BE">
        <w:rPr>
          <w:rFonts w:cs="Arial"/>
          <w:b/>
          <w:bCs/>
          <w:sz w:val="22"/>
          <w:szCs w:val="22"/>
        </w:rPr>
        <w:t>.</w:t>
      </w:r>
      <w:r w:rsidR="009B5A4B" w:rsidRPr="00A051BE">
        <w:rPr>
          <w:rFonts w:cs="Arial"/>
          <w:sz w:val="22"/>
          <w:szCs w:val="22"/>
        </w:rPr>
        <w:t xml:space="preserve"> Strategia ANAF menționează între obiective și intensificarea acțiunilor de control în domeniul prețurilor de transfer, inclusiv prin gestionarea eficientă a informațiilor obținute ca urmare a utilizării instrumentelor de cooperare administrativă, cum este raportarea țară cu țară sau Country-by-Country Reporting. În practică, însă, nu este clar cum folosește ANAF informațiile din aceste raportări, menite, în principal, să evalueze potențialele riscuri </w:t>
      </w:r>
      <w:r w:rsidR="009B5A4B" w:rsidRPr="00A051BE">
        <w:rPr>
          <w:rFonts w:cs="Arial"/>
          <w:sz w:val="22"/>
          <w:szCs w:val="22"/>
        </w:rPr>
        <w:lastRenderedPageBreak/>
        <w:t xml:space="preserve">asociate prețurilor de transfer și cum identifică acele ținte pentru controalele </w:t>
      </w:r>
      <w:r w:rsidR="00333805">
        <w:rPr>
          <w:rFonts w:cs="Arial"/>
          <w:sz w:val="22"/>
          <w:szCs w:val="22"/>
        </w:rPr>
        <w:t>vizând prerțurile de transfer</w:t>
      </w:r>
      <w:r w:rsidR="00D66BB3">
        <w:rPr>
          <w:rFonts w:cs="Arial"/>
          <w:sz w:val="22"/>
          <w:szCs w:val="22"/>
        </w:rPr>
        <w:t>.</w:t>
      </w:r>
    </w:p>
    <w:p w14:paraId="27446E19" w14:textId="77777777" w:rsidR="00333805" w:rsidRDefault="00333805" w:rsidP="009B5A4B">
      <w:pPr>
        <w:rPr>
          <w:rFonts w:cs="Arial"/>
          <w:sz w:val="22"/>
          <w:szCs w:val="22"/>
        </w:rPr>
      </w:pPr>
    </w:p>
    <w:p w14:paraId="2E7AA4A3" w14:textId="3FC28BB5" w:rsidR="009B5A4B" w:rsidRPr="00A051BE" w:rsidRDefault="009B5A4B" w:rsidP="009B5A4B">
      <w:pPr>
        <w:rPr>
          <w:rFonts w:cs="Arial"/>
          <w:sz w:val="22"/>
          <w:szCs w:val="22"/>
        </w:rPr>
      </w:pPr>
      <w:r w:rsidRPr="00A051BE">
        <w:rPr>
          <w:rFonts w:cs="Arial"/>
          <w:sz w:val="22"/>
          <w:szCs w:val="22"/>
        </w:rPr>
        <w:t xml:space="preserve">Modul în care inspectorii fiscali colectează informații, cum selectează afacerile cu risc fiscal crescut și le inspectează este în permanentă transformare în ultimii ani, interpretarea umană fiind completată, mai nou, și de analize de date. În schimb, ceea ce evidențiază practica este că ANAF își va intensifica și mai mult acțiunile de control. </w:t>
      </w:r>
    </w:p>
    <w:p w14:paraId="447C2730" w14:textId="77777777" w:rsidR="00C20819" w:rsidRPr="00A051BE" w:rsidRDefault="00C20819" w:rsidP="009B5A4B">
      <w:pPr>
        <w:rPr>
          <w:rFonts w:cs="Arial"/>
          <w:sz w:val="22"/>
          <w:szCs w:val="22"/>
        </w:rPr>
      </w:pPr>
    </w:p>
    <w:p w14:paraId="320ACFAA" w14:textId="54B742FE" w:rsidR="009B5A4B" w:rsidRPr="00A051BE" w:rsidRDefault="009B5A4B" w:rsidP="009B5A4B">
      <w:pPr>
        <w:rPr>
          <w:rFonts w:cs="Arial"/>
          <w:sz w:val="22"/>
          <w:szCs w:val="22"/>
          <w:shd w:val="clear" w:color="auto" w:fill="FFFFFF"/>
        </w:rPr>
      </w:pPr>
      <w:r w:rsidRPr="00A051BE">
        <w:rPr>
          <w:rFonts w:cs="Arial"/>
          <w:sz w:val="22"/>
          <w:szCs w:val="22"/>
          <w:shd w:val="clear" w:color="auto" w:fill="FFFFFF"/>
        </w:rPr>
        <w:t>Mai îngrijorătoare decât creșterea volumului de inspecții fiscale sunt, însă, schimbările în modalitățile de abordare a inspecțiilor fiscale în domeniul prețurilor de transfer și în volumul informațiilor solicitate de către ANAF. Astfel, companiile care operează în România ar trebui să se întrebe dacă sunt pregătite adecvat pentru a răspunde nu doar rapid și cu încredere, ci, mai ales</w:t>
      </w:r>
      <w:r w:rsidR="00D66BB3">
        <w:rPr>
          <w:rFonts w:cs="Arial"/>
          <w:sz w:val="22"/>
          <w:szCs w:val="22"/>
          <w:shd w:val="clear" w:color="auto" w:fill="FFFFFF"/>
        </w:rPr>
        <w:t>,</w:t>
      </w:r>
      <w:r w:rsidRPr="00A051BE">
        <w:rPr>
          <w:rFonts w:cs="Arial"/>
          <w:sz w:val="22"/>
          <w:szCs w:val="22"/>
          <w:shd w:val="clear" w:color="auto" w:fill="FFFFFF"/>
        </w:rPr>
        <w:t xml:space="preserve"> într-un mod cât mai cuprinzător la întrebările detaliate din zona prețurilor de transfer adresate de ANAF. Vedem din ce în ce mai mult din partea ANAF nu numai solicitări de informații detaliate privind prețurile de transfer (care, însă, uneori nu sunt disponibile pentru societățile din Rom</w:t>
      </w:r>
      <w:r w:rsidR="00B250F7" w:rsidRPr="00A051BE">
        <w:rPr>
          <w:rFonts w:cs="Arial"/>
          <w:sz w:val="22"/>
          <w:szCs w:val="22"/>
          <w:shd w:val="clear" w:color="auto" w:fill="FFFFFF"/>
        </w:rPr>
        <w:t>â</w:t>
      </w:r>
      <w:r w:rsidRPr="00A051BE">
        <w:rPr>
          <w:rFonts w:cs="Arial"/>
          <w:sz w:val="22"/>
          <w:szCs w:val="22"/>
          <w:shd w:val="clear" w:color="auto" w:fill="FFFFFF"/>
        </w:rPr>
        <w:t xml:space="preserve">nia </w:t>
      </w:r>
      <w:r w:rsidR="00AC0AE0">
        <w:rPr>
          <w:rFonts w:cs="Arial"/>
          <w:sz w:val="22"/>
          <w:szCs w:val="22"/>
          <w:shd w:val="clear" w:color="auto" w:fill="FFFFFF"/>
        </w:rPr>
        <w:t xml:space="preserve">care sunt </w:t>
      </w:r>
      <w:r w:rsidRPr="00A051BE">
        <w:rPr>
          <w:rFonts w:cs="Arial"/>
          <w:sz w:val="22"/>
          <w:szCs w:val="22"/>
          <w:shd w:val="clear" w:color="auto" w:fill="FFFFFF"/>
        </w:rPr>
        <w:t>parte a unui grup de multinaționale)</w:t>
      </w:r>
      <w:r w:rsidR="00D66BB3">
        <w:rPr>
          <w:rFonts w:cs="Arial"/>
          <w:sz w:val="22"/>
          <w:szCs w:val="22"/>
          <w:shd w:val="clear" w:color="auto" w:fill="FFFFFF"/>
        </w:rPr>
        <w:t>,</w:t>
      </w:r>
      <w:r w:rsidRPr="00A051BE">
        <w:rPr>
          <w:rFonts w:cs="Arial"/>
          <w:sz w:val="22"/>
          <w:szCs w:val="22"/>
          <w:shd w:val="clear" w:color="auto" w:fill="FFFFFF"/>
        </w:rPr>
        <w:t xml:space="preserve"> dar și contest</w:t>
      </w:r>
      <w:r w:rsidR="00B250F7" w:rsidRPr="00A051BE">
        <w:rPr>
          <w:rFonts w:cs="Arial"/>
          <w:sz w:val="22"/>
          <w:szCs w:val="22"/>
          <w:shd w:val="clear" w:color="auto" w:fill="FFFFFF"/>
        </w:rPr>
        <w:t>ă</w:t>
      </w:r>
      <w:r w:rsidRPr="00A051BE">
        <w:rPr>
          <w:rFonts w:cs="Arial"/>
          <w:sz w:val="22"/>
          <w:szCs w:val="22"/>
          <w:shd w:val="clear" w:color="auto" w:fill="FFFFFF"/>
        </w:rPr>
        <w:t xml:space="preserve">ri ale profilelor funcționale și de risc ale companiilor românești.  </w:t>
      </w:r>
    </w:p>
    <w:p w14:paraId="720D960C" w14:textId="77777777" w:rsidR="00C20819" w:rsidRPr="00A051BE" w:rsidRDefault="00C20819" w:rsidP="009B5A4B">
      <w:pPr>
        <w:rPr>
          <w:rFonts w:cs="Arial"/>
          <w:sz w:val="22"/>
          <w:szCs w:val="22"/>
          <w:shd w:val="clear" w:color="auto" w:fill="FFFFFF"/>
        </w:rPr>
      </w:pPr>
    </w:p>
    <w:p w14:paraId="63CD8D6A" w14:textId="4E983E65" w:rsidR="009B5A4B" w:rsidRPr="00A051BE" w:rsidRDefault="00D66BB3" w:rsidP="009B5A4B">
      <w:pPr>
        <w:rPr>
          <w:rFonts w:cs="Arial"/>
          <w:sz w:val="22"/>
          <w:szCs w:val="22"/>
        </w:rPr>
      </w:pPr>
      <w:r>
        <w:rPr>
          <w:rFonts w:cs="Arial"/>
          <w:b/>
          <w:bCs/>
          <w:sz w:val="22"/>
          <w:szCs w:val="22"/>
        </w:rPr>
        <w:t>V</w:t>
      </w:r>
      <w:r w:rsidR="005A26FB">
        <w:rPr>
          <w:rFonts w:cs="Arial"/>
          <w:b/>
          <w:bCs/>
          <w:sz w:val="22"/>
          <w:szCs w:val="22"/>
        </w:rPr>
        <w:t>e</w:t>
      </w:r>
      <w:r>
        <w:rPr>
          <w:rFonts w:cs="Arial"/>
          <w:b/>
          <w:bCs/>
          <w:sz w:val="22"/>
          <w:szCs w:val="22"/>
        </w:rPr>
        <w:t>rificări</w:t>
      </w:r>
      <w:r w:rsidR="00B250F7" w:rsidRPr="00A051BE">
        <w:rPr>
          <w:rFonts w:cs="Arial"/>
          <w:b/>
          <w:bCs/>
          <w:sz w:val="22"/>
          <w:szCs w:val="22"/>
        </w:rPr>
        <w:t xml:space="preserve"> documentare.</w:t>
      </w:r>
      <w:r w:rsidR="00B250F7" w:rsidRPr="00A051BE">
        <w:rPr>
          <w:rFonts w:cs="Arial"/>
          <w:sz w:val="22"/>
          <w:szCs w:val="22"/>
        </w:rPr>
        <w:t xml:space="preserve"> </w:t>
      </w:r>
      <w:r w:rsidR="009B5A4B" w:rsidRPr="00A051BE">
        <w:rPr>
          <w:rFonts w:cs="Arial"/>
          <w:sz w:val="22"/>
          <w:szCs w:val="22"/>
        </w:rPr>
        <w:t xml:space="preserve">Separat, </w:t>
      </w:r>
      <w:r w:rsidR="00BB00E0" w:rsidRPr="00A051BE">
        <w:rPr>
          <w:rFonts w:cs="Arial"/>
          <w:sz w:val="22"/>
          <w:szCs w:val="22"/>
        </w:rPr>
        <w:t xml:space="preserve">a fost reactivat un </w:t>
      </w:r>
      <w:r w:rsidR="009B5A4B" w:rsidRPr="00A051BE">
        <w:rPr>
          <w:rFonts w:cs="Arial"/>
          <w:sz w:val="22"/>
          <w:szCs w:val="22"/>
        </w:rPr>
        <w:t xml:space="preserve">instrument existent </w:t>
      </w:r>
      <w:r w:rsidR="00BB00E0" w:rsidRPr="00A051BE">
        <w:rPr>
          <w:rFonts w:cs="Arial"/>
          <w:sz w:val="22"/>
          <w:szCs w:val="22"/>
        </w:rPr>
        <w:t>din 2016</w:t>
      </w:r>
      <w:r w:rsidR="009B5A4B" w:rsidRPr="00A051BE">
        <w:rPr>
          <w:rFonts w:cs="Arial"/>
          <w:sz w:val="22"/>
          <w:szCs w:val="22"/>
        </w:rPr>
        <w:t xml:space="preserve"> </w:t>
      </w:r>
      <w:r w:rsidR="00B250F7" w:rsidRPr="00A051BE">
        <w:rPr>
          <w:rFonts w:cs="Arial"/>
          <w:sz w:val="22"/>
          <w:szCs w:val="22"/>
        </w:rPr>
        <w:t>î</w:t>
      </w:r>
      <w:r w:rsidR="009B5A4B" w:rsidRPr="00A051BE">
        <w:rPr>
          <w:rFonts w:cs="Arial"/>
          <w:sz w:val="22"/>
          <w:szCs w:val="22"/>
        </w:rPr>
        <w:t>n legislația din Rom</w:t>
      </w:r>
      <w:r w:rsidR="00B250F7" w:rsidRPr="00A051BE">
        <w:rPr>
          <w:rFonts w:cs="Arial"/>
          <w:sz w:val="22"/>
          <w:szCs w:val="22"/>
        </w:rPr>
        <w:t>â</w:t>
      </w:r>
      <w:r w:rsidR="009B5A4B" w:rsidRPr="00A051BE">
        <w:rPr>
          <w:rFonts w:cs="Arial"/>
          <w:sz w:val="22"/>
          <w:szCs w:val="22"/>
        </w:rPr>
        <w:t>nia</w:t>
      </w:r>
      <w:r w:rsidR="00BB00E0" w:rsidRPr="00A051BE">
        <w:rPr>
          <w:rFonts w:cs="Arial"/>
          <w:sz w:val="22"/>
          <w:szCs w:val="22"/>
        </w:rPr>
        <w:t>, care a fos</w:t>
      </w:r>
      <w:r w:rsidR="00A249E1" w:rsidRPr="00A051BE">
        <w:rPr>
          <w:rFonts w:cs="Arial"/>
          <w:sz w:val="22"/>
          <w:szCs w:val="22"/>
        </w:rPr>
        <w:t>t</w:t>
      </w:r>
      <w:r w:rsidR="00BB00E0" w:rsidRPr="00A051BE">
        <w:rPr>
          <w:rFonts w:cs="Arial"/>
          <w:sz w:val="22"/>
          <w:szCs w:val="22"/>
        </w:rPr>
        <w:t xml:space="preserve"> ignorat până la finele lui 2021. Începând din acest an, însă, </w:t>
      </w:r>
      <w:r w:rsidR="008E6913">
        <w:rPr>
          <w:rFonts w:cs="Arial"/>
          <w:sz w:val="22"/>
          <w:szCs w:val="22"/>
        </w:rPr>
        <w:t>aceste „</w:t>
      </w:r>
      <w:r w:rsidR="005A26FB">
        <w:rPr>
          <w:rFonts w:cs="Arial"/>
          <w:sz w:val="22"/>
          <w:szCs w:val="22"/>
        </w:rPr>
        <w:t>verificări</w:t>
      </w:r>
      <w:r w:rsidR="008E6913">
        <w:rPr>
          <w:rFonts w:cs="Arial"/>
          <w:sz w:val="22"/>
          <w:szCs w:val="22"/>
        </w:rPr>
        <w:t xml:space="preserve"> </w:t>
      </w:r>
      <w:r w:rsidR="00BB00E0" w:rsidRPr="00A051BE">
        <w:rPr>
          <w:rFonts w:cs="Arial"/>
          <w:sz w:val="22"/>
          <w:szCs w:val="22"/>
        </w:rPr>
        <w:t>documentare</w:t>
      </w:r>
      <w:r w:rsidR="008E6913">
        <w:rPr>
          <w:rFonts w:cs="Arial"/>
          <w:sz w:val="22"/>
          <w:szCs w:val="22"/>
        </w:rPr>
        <w:t>”</w:t>
      </w:r>
      <w:r w:rsidR="009B5A4B" w:rsidRPr="00A051BE">
        <w:rPr>
          <w:rFonts w:cs="Arial"/>
          <w:sz w:val="22"/>
          <w:szCs w:val="22"/>
        </w:rPr>
        <w:t xml:space="preserve"> urmează s</w:t>
      </w:r>
      <w:r w:rsidR="00B250F7" w:rsidRPr="00A051BE">
        <w:rPr>
          <w:rFonts w:cs="Arial"/>
          <w:sz w:val="22"/>
          <w:szCs w:val="22"/>
        </w:rPr>
        <w:t>ă</w:t>
      </w:r>
      <w:r w:rsidR="009B5A4B" w:rsidRPr="00A051BE">
        <w:rPr>
          <w:rFonts w:cs="Arial"/>
          <w:sz w:val="22"/>
          <w:szCs w:val="22"/>
        </w:rPr>
        <w:t xml:space="preserve"> fie utilizat</w:t>
      </w:r>
      <w:r w:rsidR="00BB00E0" w:rsidRPr="00A051BE">
        <w:rPr>
          <w:rFonts w:cs="Arial"/>
          <w:sz w:val="22"/>
          <w:szCs w:val="22"/>
        </w:rPr>
        <w:t>e</w:t>
      </w:r>
      <w:r w:rsidR="009B5A4B" w:rsidRPr="00A051BE">
        <w:rPr>
          <w:rFonts w:cs="Arial"/>
          <w:sz w:val="22"/>
          <w:szCs w:val="22"/>
        </w:rPr>
        <w:t xml:space="preserve"> din ce în ce mai mult: autoritatea fiscală română și-a propus ca acest tip de control să reprezinte 60% din totalul verificărilor </w:t>
      </w:r>
      <w:r w:rsidR="00BB00E0" w:rsidRPr="00A051BE">
        <w:rPr>
          <w:rFonts w:cs="Arial"/>
          <w:sz w:val="22"/>
          <w:szCs w:val="22"/>
        </w:rPr>
        <w:t xml:space="preserve">până </w:t>
      </w:r>
      <w:r w:rsidR="009B5A4B" w:rsidRPr="00A051BE">
        <w:rPr>
          <w:rFonts w:cs="Arial"/>
          <w:sz w:val="22"/>
          <w:szCs w:val="22"/>
        </w:rPr>
        <w:t>în 2025. De menționat, însă, că această specie de control nu prezint</w:t>
      </w:r>
      <w:r w:rsidR="00AC0AE0">
        <w:rPr>
          <w:rFonts w:cs="Arial"/>
          <w:sz w:val="22"/>
          <w:szCs w:val="22"/>
        </w:rPr>
        <w:t>ă</w:t>
      </w:r>
      <w:r w:rsidR="009B5A4B" w:rsidRPr="00A051BE">
        <w:rPr>
          <w:rFonts w:cs="Arial"/>
          <w:sz w:val="22"/>
          <w:szCs w:val="22"/>
        </w:rPr>
        <w:t xml:space="preserve"> garanțiile legale necesare, nerespectând principiile general acceptate pentru o inspecție fiscală clasică. </w:t>
      </w:r>
    </w:p>
    <w:p w14:paraId="336C53E9" w14:textId="77777777" w:rsidR="001D1745" w:rsidRPr="00A051BE" w:rsidRDefault="001D1745" w:rsidP="009B5A4B">
      <w:pPr>
        <w:rPr>
          <w:rFonts w:cs="Arial"/>
          <w:sz w:val="22"/>
          <w:szCs w:val="22"/>
        </w:rPr>
      </w:pPr>
    </w:p>
    <w:p w14:paraId="5FB7017C" w14:textId="6A2D65A8" w:rsidR="009B5A4B" w:rsidRPr="00A051BE" w:rsidRDefault="009B5A4B" w:rsidP="009B5A4B">
      <w:pPr>
        <w:rPr>
          <w:rFonts w:cs="Arial"/>
          <w:sz w:val="22"/>
          <w:szCs w:val="22"/>
        </w:rPr>
      </w:pPr>
      <w:r w:rsidRPr="00A051BE">
        <w:rPr>
          <w:rFonts w:cs="Arial"/>
          <w:sz w:val="22"/>
          <w:szCs w:val="22"/>
        </w:rPr>
        <w:t>Astfel, se poate ajunge în situația în care un contribuabil este controlat fără s</w:t>
      </w:r>
      <w:r w:rsidR="00AC0AE0">
        <w:rPr>
          <w:rFonts w:cs="Arial"/>
          <w:sz w:val="22"/>
          <w:szCs w:val="22"/>
        </w:rPr>
        <w:t>ă</w:t>
      </w:r>
      <w:r w:rsidRPr="00A051BE">
        <w:rPr>
          <w:rFonts w:cs="Arial"/>
          <w:sz w:val="22"/>
          <w:szCs w:val="22"/>
        </w:rPr>
        <w:t xml:space="preserve"> știe, în opoziție cu inspecția fiscală clasică</w:t>
      </w:r>
      <w:r w:rsidR="00AC0AE0">
        <w:rPr>
          <w:rFonts w:cs="Arial"/>
          <w:sz w:val="22"/>
          <w:szCs w:val="22"/>
        </w:rPr>
        <w:t>,</w:t>
      </w:r>
      <w:r w:rsidRPr="00A051BE">
        <w:rPr>
          <w:rFonts w:cs="Arial"/>
          <w:sz w:val="22"/>
          <w:szCs w:val="22"/>
        </w:rPr>
        <w:t xml:space="preserve"> care este o procedură transparentă, ce nu poate începe fără un aviz de inspecție, cu delimitarea clară a obiectului controlului, într-o perioad</w:t>
      </w:r>
      <w:r w:rsidR="00AC0AE0">
        <w:rPr>
          <w:rFonts w:cs="Arial"/>
          <w:sz w:val="22"/>
          <w:szCs w:val="22"/>
        </w:rPr>
        <w:t>ă</w:t>
      </w:r>
      <w:r w:rsidRPr="00A051BE">
        <w:rPr>
          <w:rFonts w:cs="Arial"/>
          <w:sz w:val="22"/>
          <w:szCs w:val="22"/>
        </w:rPr>
        <w:t xml:space="preserve"> de timp bine determinată și cu respectarea dreptului la apărare pe întreg parcursul inspecției.</w:t>
      </w:r>
      <w:r w:rsidR="004F6360" w:rsidRPr="00A051BE">
        <w:rPr>
          <w:rFonts w:cs="Arial"/>
          <w:sz w:val="22"/>
          <w:szCs w:val="22"/>
        </w:rPr>
        <w:t xml:space="preserve"> Din </w:t>
      </w:r>
      <w:r w:rsidR="00FB177B" w:rsidRPr="00A051BE">
        <w:rPr>
          <w:rFonts w:cs="Arial"/>
          <w:sz w:val="22"/>
          <w:szCs w:val="22"/>
        </w:rPr>
        <w:t>păcate</w:t>
      </w:r>
      <w:r w:rsidR="004F6360" w:rsidRPr="00A051BE">
        <w:rPr>
          <w:rFonts w:cs="Arial"/>
          <w:sz w:val="22"/>
          <w:szCs w:val="22"/>
        </w:rPr>
        <w:t xml:space="preserve">, </w:t>
      </w:r>
      <w:r w:rsidR="00AC0AE0">
        <w:rPr>
          <w:rFonts w:cs="Arial"/>
          <w:sz w:val="22"/>
          <w:szCs w:val="22"/>
        </w:rPr>
        <w:t>î</w:t>
      </w:r>
      <w:r w:rsidR="00FB177B" w:rsidRPr="00A051BE">
        <w:rPr>
          <w:rFonts w:cs="Arial"/>
          <w:sz w:val="22"/>
          <w:szCs w:val="22"/>
        </w:rPr>
        <w:t>n luna martie 2022 o serie de contribuabili persoane fizice se confrunt</w:t>
      </w:r>
      <w:r w:rsidR="00AC0AE0">
        <w:rPr>
          <w:rFonts w:cs="Arial"/>
          <w:sz w:val="22"/>
          <w:szCs w:val="22"/>
        </w:rPr>
        <w:t>ă</w:t>
      </w:r>
      <w:r w:rsidR="00FB177B" w:rsidRPr="00A051BE">
        <w:rPr>
          <w:rFonts w:cs="Arial"/>
          <w:sz w:val="22"/>
          <w:szCs w:val="22"/>
        </w:rPr>
        <w:t xml:space="preserve"> cu decizii de impunere emise </w:t>
      </w:r>
      <w:r w:rsidR="00AC0AE0">
        <w:rPr>
          <w:rFonts w:cs="Arial"/>
          <w:sz w:val="22"/>
          <w:szCs w:val="22"/>
        </w:rPr>
        <w:t>î</w:t>
      </w:r>
      <w:r w:rsidR="00FB177B" w:rsidRPr="00A051BE">
        <w:rPr>
          <w:rFonts w:cs="Arial"/>
          <w:sz w:val="22"/>
          <w:szCs w:val="22"/>
        </w:rPr>
        <w:t>n baza unor verificări documentare cu stabilirea eronat</w:t>
      </w:r>
      <w:r w:rsidR="00AC0AE0">
        <w:rPr>
          <w:rFonts w:cs="Arial"/>
          <w:sz w:val="22"/>
          <w:szCs w:val="22"/>
        </w:rPr>
        <w:t>ă</w:t>
      </w:r>
      <w:r w:rsidR="00FB177B" w:rsidRPr="00A051BE">
        <w:rPr>
          <w:rFonts w:cs="Arial"/>
          <w:sz w:val="22"/>
          <w:szCs w:val="22"/>
        </w:rPr>
        <w:t xml:space="preserve"> a bazei de impunere.</w:t>
      </w:r>
      <w:r w:rsidRPr="00A051BE">
        <w:rPr>
          <w:rFonts w:cs="Arial"/>
          <w:sz w:val="22"/>
          <w:szCs w:val="22"/>
        </w:rPr>
        <w:t xml:space="preserve"> </w:t>
      </w:r>
    </w:p>
    <w:p w14:paraId="71AE2695" w14:textId="77777777" w:rsidR="00CD36C8" w:rsidRPr="00A051BE" w:rsidRDefault="00CD36C8" w:rsidP="009B5A4B">
      <w:pPr>
        <w:rPr>
          <w:rFonts w:cs="Arial"/>
          <w:sz w:val="22"/>
          <w:szCs w:val="22"/>
        </w:rPr>
      </w:pPr>
    </w:p>
    <w:p w14:paraId="0AC0D40F" w14:textId="6AA1D983" w:rsidR="009B5A4B" w:rsidRPr="00A051BE" w:rsidRDefault="009B5A4B" w:rsidP="009B5A4B">
      <w:pPr>
        <w:rPr>
          <w:rFonts w:cs="Arial"/>
          <w:sz w:val="22"/>
          <w:szCs w:val="22"/>
        </w:rPr>
      </w:pPr>
      <w:r w:rsidRPr="00A051BE">
        <w:rPr>
          <w:rFonts w:cs="Arial"/>
          <w:b/>
          <w:bCs/>
          <w:sz w:val="22"/>
          <w:szCs w:val="22"/>
        </w:rPr>
        <w:t>SAF-T.</w:t>
      </w:r>
      <w:r w:rsidRPr="00A051BE">
        <w:rPr>
          <w:rFonts w:cs="Arial"/>
          <w:sz w:val="22"/>
          <w:szCs w:val="22"/>
        </w:rPr>
        <w:t xml:space="preserve"> Anul acesta este pentru România anul SAF-T (Fișierul Standard de Audit Fiscal), obligatoriu pentru marii contribuabili de la 1 ianuarie 2022, cu o perioadă de grație de șase luni pentru anumite companii, intrate la finele lui 2021 în rândul marilor contribuabili. Raportarea SAF-T, reprezintă într-adevăr un mijloc de eficientizare a inspecțiilor fiscale</w:t>
      </w:r>
      <w:r w:rsidR="00AC0AE0">
        <w:rPr>
          <w:rFonts w:cs="Arial"/>
          <w:sz w:val="22"/>
          <w:szCs w:val="22"/>
        </w:rPr>
        <w:t>. P</w:t>
      </w:r>
      <w:r w:rsidR="00A249E1" w:rsidRPr="00A051BE">
        <w:rPr>
          <w:rFonts w:cs="Arial"/>
          <w:color w:val="393939"/>
          <w:sz w:val="22"/>
          <w:szCs w:val="22"/>
          <w:shd w:val="clear" w:color="auto" w:fill="FFFFFF"/>
        </w:rPr>
        <w:t>rin gradul mare de detaliu</w:t>
      </w:r>
      <w:r w:rsidR="00A051BE">
        <w:rPr>
          <w:rFonts w:cs="Arial"/>
          <w:color w:val="393939"/>
          <w:sz w:val="22"/>
          <w:szCs w:val="22"/>
          <w:shd w:val="clear" w:color="auto" w:fill="FFFFFF"/>
        </w:rPr>
        <w:t xml:space="preserve"> - </w:t>
      </w:r>
      <w:r w:rsidR="00A051BE" w:rsidRPr="00A051BE">
        <w:rPr>
          <w:rFonts w:cs="Arial"/>
          <w:sz w:val="22"/>
          <w:szCs w:val="22"/>
        </w:rPr>
        <w:t>S</w:t>
      </w:r>
      <w:r w:rsidR="00A051BE" w:rsidRPr="00A051BE">
        <w:rPr>
          <w:rFonts w:cs="Arial"/>
          <w:color w:val="393939"/>
          <w:sz w:val="22"/>
          <w:szCs w:val="22"/>
          <w:shd w:val="clear" w:color="auto" w:fill="FFFFFF"/>
        </w:rPr>
        <w:t>AF-T solicită completarea obligatorie a 260 de câmpuri dintr-un total de 800</w:t>
      </w:r>
      <w:r w:rsidR="00A051BE">
        <w:rPr>
          <w:rFonts w:cs="Arial"/>
          <w:color w:val="393939"/>
          <w:sz w:val="22"/>
          <w:szCs w:val="22"/>
          <w:shd w:val="clear" w:color="auto" w:fill="FFFFFF"/>
        </w:rPr>
        <w:t>,</w:t>
      </w:r>
      <w:r w:rsidR="00A249E1" w:rsidRPr="00A051BE">
        <w:rPr>
          <w:rFonts w:cs="Arial"/>
          <w:color w:val="393939"/>
          <w:sz w:val="22"/>
          <w:szCs w:val="22"/>
          <w:shd w:val="clear" w:color="auto" w:fill="FFFFFF"/>
        </w:rPr>
        <w:t xml:space="preserve"> se creează premisele unor controale fiscale de la distanță și, pe termen mediu, eliminarea sau simplificarea anumitor declarații din zona TVA.</w:t>
      </w:r>
      <w:r w:rsidR="00A051BE">
        <w:rPr>
          <w:rFonts w:cs="Arial"/>
          <w:color w:val="393939"/>
          <w:sz w:val="22"/>
          <w:szCs w:val="22"/>
          <w:shd w:val="clear" w:color="auto" w:fill="FFFFFF"/>
        </w:rPr>
        <w:t xml:space="preserve"> În acest fel, o</w:t>
      </w:r>
      <w:r w:rsidR="00A249E1" w:rsidRPr="00A051BE">
        <w:rPr>
          <w:rFonts w:cs="Arial"/>
          <w:color w:val="393939"/>
          <w:sz w:val="22"/>
          <w:szCs w:val="22"/>
          <w:shd w:val="clear" w:color="auto" w:fill="FFFFFF"/>
        </w:rPr>
        <w:t xml:space="preserve"> companie </w:t>
      </w:r>
      <w:r w:rsidR="00A051BE">
        <w:rPr>
          <w:rFonts w:cs="Arial"/>
          <w:color w:val="393939"/>
          <w:sz w:val="22"/>
          <w:szCs w:val="22"/>
          <w:shd w:val="clear" w:color="auto" w:fill="FFFFFF"/>
        </w:rPr>
        <w:t>va putea</w:t>
      </w:r>
      <w:r w:rsidR="00A249E1" w:rsidRPr="00A051BE">
        <w:rPr>
          <w:rFonts w:cs="Arial"/>
          <w:color w:val="393939"/>
          <w:sz w:val="22"/>
          <w:szCs w:val="22"/>
          <w:shd w:val="clear" w:color="auto" w:fill="FFFFFF"/>
        </w:rPr>
        <w:t xml:space="preserve"> beneficia de o inspecție fiscală de la distanță, cu timpi reduși și interacțiune limitată</w:t>
      </w:r>
      <w:r w:rsidR="00A051BE">
        <w:rPr>
          <w:rFonts w:cs="Arial"/>
          <w:color w:val="393939"/>
          <w:sz w:val="22"/>
          <w:szCs w:val="22"/>
          <w:shd w:val="clear" w:color="auto" w:fill="FFFFFF"/>
        </w:rPr>
        <w:t>.</w:t>
      </w:r>
    </w:p>
    <w:p w14:paraId="20FC7F02" w14:textId="77777777" w:rsidR="00C20819" w:rsidRPr="00A051BE" w:rsidRDefault="00C20819" w:rsidP="009B5A4B">
      <w:pPr>
        <w:rPr>
          <w:rFonts w:cs="Arial"/>
          <w:sz w:val="22"/>
          <w:szCs w:val="22"/>
        </w:rPr>
      </w:pPr>
    </w:p>
    <w:p w14:paraId="718D887F" w14:textId="77777777" w:rsidR="00C20819" w:rsidRPr="00A051BE" w:rsidRDefault="00C20819" w:rsidP="009B5A4B">
      <w:pPr>
        <w:rPr>
          <w:rFonts w:cs="Arial"/>
          <w:sz w:val="22"/>
          <w:szCs w:val="22"/>
        </w:rPr>
      </w:pPr>
    </w:p>
    <w:p w14:paraId="42D1B523" w14:textId="32CFE170" w:rsidR="009B5A4B" w:rsidRDefault="001D1745" w:rsidP="009B5A4B">
      <w:pPr>
        <w:rPr>
          <w:rFonts w:cstheme="minorHAnsi"/>
          <w:sz w:val="22"/>
          <w:szCs w:val="22"/>
        </w:rPr>
      </w:pPr>
      <w:r w:rsidRPr="00A051BE">
        <w:rPr>
          <w:rFonts w:cs="Arial"/>
          <w:b/>
          <w:bCs/>
          <w:sz w:val="22"/>
          <w:szCs w:val="22"/>
        </w:rPr>
        <w:t>Contribuabilii au câștig de cauză</w:t>
      </w:r>
      <w:r w:rsidR="009B5A4B" w:rsidRPr="00A051BE">
        <w:rPr>
          <w:rFonts w:cs="Arial"/>
          <w:b/>
          <w:bCs/>
          <w:sz w:val="22"/>
          <w:szCs w:val="22"/>
        </w:rPr>
        <w:t xml:space="preserve">. </w:t>
      </w:r>
      <w:r w:rsidR="009B5A4B" w:rsidRPr="00A051BE">
        <w:rPr>
          <w:rFonts w:cs="Arial"/>
          <w:sz w:val="22"/>
          <w:szCs w:val="22"/>
        </w:rPr>
        <w:t>Pe de altă parte, însă, o atenție deosebită trebuie acordată și corectitudinii actului de inspecție fiscală. Pentru o astfel de radiografie trebui</w:t>
      </w:r>
      <w:r w:rsidR="00AC0AE0">
        <w:rPr>
          <w:rFonts w:cs="Arial"/>
          <w:sz w:val="22"/>
          <w:szCs w:val="22"/>
        </w:rPr>
        <w:t>e</w:t>
      </w:r>
      <w:r w:rsidR="009B5A4B" w:rsidRPr="00A051BE">
        <w:rPr>
          <w:rFonts w:cs="Arial"/>
          <w:sz w:val="22"/>
          <w:szCs w:val="22"/>
        </w:rPr>
        <w:t xml:space="preserve"> s</w:t>
      </w:r>
      <w:r w:rsidRPr="00A051BE">
        <w:rPr>
          <w:rFonts w:cs="Arial"/>
          <w:sz w:val="22"/>
          <w:szCs w:val="22"/>
        </w:rPr>
        <w:t>ă</w:t>
      </w:r>
      <w:r w:rsidR="009B5A4B" w:rsidRPr="00A051BE">
        <w:rPr>
          <w:rFonts w:cs="Arial"/>
          <w:sz w:val="22"/>
          <w:szCs w:val="22"/>
        </w:rPr>
        <w:t xml:space="preserve"> analizăm evoluția numărului de acte de impunere desființate în cadrul c</w:t>
      </w:r>
      <w:r w:rsidR="00AC0AE0">
        <w:rPr>
          <w:rFonts w:cs="Arial"/>
          <w:sz w:val="22"/>
          <w:szCs w:val="22"/>
        </w:rPr>
        <w:t>ă</w:t>
      </w:r>
      <w:r w:rsidR="009B5A4B" w:rsidRPr="00A051BE">
        <w:rPr>
          <w:rFonts w:cs="Arial"/>
          <w:sz w:val="22"/>
          <w:szCs w:val="22"/>
        </w:rPr>
        <w:t xml:space="preserve">ilor administrative și judiciare de atac. </w:t>
      </w:r>
      <w:r w:rsidR="00AC0AE0">
        <w:rPr>
          <w:rFonts w:cs="Arial"/>
          <w:sz w:val="22"/>
          <w:szCs w:val="22"/>
        </w:rPr>
        <w:t>Î</w:t>
      </w:r>
      <w:r w:rsidR="009B5A4B" w:rsidRPr="00A051BE">
        <w:rPr>
          <w:rFonts w:cs="Arial"/>
          <w:sz w:val="22"/>
          <w:szCs w:val="22"/>
        </w:rPr>
        <w:t>n România, finalizarea definitivă a unei proceduri de contestare a unui act inspecție fiscal</w:t>
      </w:r>
      <w:r w:rsidRPr="00A051BE">
        <w:rPr>
          <w:rFonts w:cs="Arial"/>
          <w:sz w:val="22"/>
          <w:szCs w:val="22"/>
        </w:rPr>
        <w:t xml:space="preserve">ă </w:t>
      </w:r>
      <w:r w:rsidR="009B5A4B" w:rsidRPr="00A051BE">
        <w:rPr>
          <w:rFonts w:cs="Arial"/>
          <w:sz w:val="22"/>
          <w:szCs w:val="22"/>
        </w:rPr>
        <w:t>poate dura între cinci și șase ani. Or</w:t>
      </w:r>
      <w:r w:rsidRPr="00A051BE">
        <w:rPr>
          <w:rFonts w:cs="Arial"/>
          <w:sz w:val="22"/>
          <w:szCs w:val="22"/>
        </w:rPr>
        <w:t>i</w:t>
      </w:r>
      <w:r w:rsidR="009B5A4B" w:rsidRPr="00A051BE">
        <w:rPr>
          <w:rFonts w:cs="Arial"/>
          <w:sz w:val="22"/>
          <w:szCs w:val="22"/>
        </w:rPr>
        <w:t xml:space="preserve">, în anul 2020, </w:t>
      </w:r>
      <w:r w:rsidRPr="00A051BE">
        <w:rPr>
          <w:rFonts w:cs="Arial"/>
          <w:sz w:val="22"/>
          <w:szCs w:val="22"/>
        </w:rPr>
        <w:t>în</w:t>
      </w:r>
      <w:r>
        <w:rPr>
          <w:rFonts w:cstheme="minorHAnsi"/>
          <w:sz w:val="22"/>
          <w:szCs w:val="22"/>
        </w:rPr>
        <w:t xml:space="preserve"> </w:t>
      </w:r>
      <w:r w:rsidR="009B5A4B" w:rsidRPr="009B5A4B">
        <w:rPr>
          <w:rFonts w:cstheme="minorHAnsi"/>
          <w:sz w:val="22"/>
          <w:szCs w:val="22"/>
        </w:rPr>
        <w:t>aproximativ 30% dintre c</w:t>
      </w:r>
      <w:r>
        <w:rPr>
          <w:rFonts w:cstheme="minorHAnsi"/>
          <w:sz w:val="22"/>
          <w:szCs w:val="22"/>
        </w:rPr>
        <w:t>azuri</w:t>
      </w:r>
      <w:r w:rsidR="009B5A4B" w:rsidRPr="009B5A4B">
        <w:rPr>
          <w:rFonts w:cstheme="minorHAnsi"/>
          <w:sz w:val="22"/>
          <w:szCs w:val="22"/>
        </w:rPr>
        <w:t xml:space="preserve"> (raportat la total</w:t>
      </w:r>
      <w:r w:rsidR="00AC0AE0">
        <w:rPr>
          <w:rFonts w:cstheme="minorHAnsi"/>
          <w:sz w:val="22"/>
          <w:szCs w:val="22"/>
        </w:rPr>
        <w:t>ul de</w:t>
      </w:r>
      <w:r w:rsidR="009B5A4B" w:rsidRPr="009B5A4B">
        <w:rPr>
          <w:rFonts w:cstheme="minorHAnsi"/>
          <w:sz w:val="22"/>
          <w:szCs w:val="22"/>
        </w:rPr>
        <w:t xml:space="preserve"> sume impuse de ANAF), contribuabilii au avut câștig de cauză în fața instanțelor de judecată, desființând actele de impunere emise de inspecția fiscal</w:t>
      </w:r>
      <w:r>
        <w:rPr>
          <w:rFonts w:cstheme="minorHAnsi"/>
          <w:sz w:val="22"/>
          <w:szCs w:val="22"/>
        </w:rPr>
        <w:t>ă</w:t>
      </w:r>
      <w:r w:rsidR="009B5A4B" w:rsidRPr="009B5A4B">
        <w:rPr>
          <w:rFonts w:cstheme="minorHAnsi"/>
          <w:sz w:val="22"/>
          <w:szCs w:val="22"/>
        </w:rPr>
        <w:t>. La acest procent</w:t>
      </w:r>
      <w:r w:rsidR="00AC0AE0">
        <w:rPr>
          <w:rFonts w:cstheme="minorHAnsi"/>
          <w:sz w:val="22"/>
          <w:szCs w:val="22"/>
        </w:rPr>
        <w:t>,</w:t>
      </w:r>
      <w:r w:rsidR="009B5A4B" w:rsidRPr="009B5A4B">
        <w:rPr>
          <w:rFonts w:cstheme="minorHAnsi"/>
          <w:sz w:val="22"/>
          <w:szCs w:val="22"/>
        </w:rPr>
        <w:t xml:space="preserve"> trebuie adăugat și un altul, de 15%, pentru care contribuabilii au obținut anularea actelor de impunere în faza administrativ</w:t>
      </w:r>
      <w:r w:rsidR="00AC0AE0">
        <w:rPr>
          <w:rFonts w:cstheme="minorHAnsi"/>
          <w:sz w:val="22"/>
          <w:szCs w:val="22"/>
        </w:rPr>
        <w:t>ă</w:t>
      </w:r>
      <w:r w:rsidR="009B5A4B" w:rsidRPr="009B5A4B">
        <w:rPr>
          <w:rFonts w:cstheme="minorHAnsi"/>
          <w:sz w:val="22"/>
          <w:szCs w:val="22"/>
        </w:rPr>
        <w:t xml:space="preserve"> a contestării (fără a mai fi necesar</w:t>
      </w:r>
      <w:r w:rsidR="00545D40">
        <w:rPr>
          <w:rFonts w:cstheme="minorHAnsi"/>
          <w:sz w:val="22"/>
          <w:szCs w:val="22"/>
        </w:rPr>
        <w:t>ă</w:t>
      </w:r>
      <w:r w:rsidR="009B5A4B" w:rsidRPr="009B5A4B">
        <w:rPr>
          <w:rFonts w:cstheme="minorHAnsi"/>
          <w:sz w:val="22"/>
          <w:szCs w:val="22"/>
        </w:rPr>
        <w:t xml:space="preserve"> parcurgerea procedurii judiciare </w:t>
      </w:r>
      <w:r w:rsidR="00545D40">
        <w:rPr>
          <w:rFonts w:cstheme="minorHAnsi"/>
          <w:sz w:val="22"/>
          <w:szCs w:val="22"/>
        </w:rPr>
        <w:t>î</w:t>
      </w:r>
      <w:r w:rsidR="009B5A4B" w:rsidRPr="009B5A4B">
        <w:rPr>
          <w:rFonts w:cstheme="minorHAnsi"/>
          <w:sz w:val="22"/>
          <w:szCs w:val="22"/>
        </w:rPr>
        <w:t xml:space="preserve">n </w:t>
      </w:r>
      <w:r w:rsidR="000023A1" w:rsidRPr="009B5A4B">
        <w:rPr>
          <w:rFonts w:cstheme="minorHAnsi"/>
          <w:sz w:val="22"/>
          <w:szCs w:val="22"/>
        </w:rPr>
        <w:t>fa</w:t>
      </w:r>
      <w:r w:rsidR="000023A1">
        <w:rPr>
          <w:rFonts w:cstheme="minorHAnsi"/>
          <w:sz w:val="22"/>
          <w:szCs w:val="22"/>
        </w:rPr>
        <w:t>ț</w:t>
      </w:r>
      <w:r w:rsidR="000023A1" w:rsidRPr="009B5A4B">
        <w:rPr>
          <w:rFonts w:cstheme="minorHAnsi"/>
          <w:sz w:val="22"/>
          <w:szCs w:val="22"/>
        </w:rPr>
        <w:t>a</w:t>
      </w:r>
      <w:r w:rsidR="009B5A4B" w:rsidRPr="009B5A4B">
        <w:rPr>
          <w:rFonts w:cstheme="minorHAnsi"/>
          <w:sz w:val="22"/>
          <w:szCs w:val="22"/>
        </w:rPr>
        <w:t xml:space="preserve"> instanțelor de judecată). Totodată,  autoritatea fiscală  </w:t>
      </w:r>
      <w:r w:rsidR="009B5A4B" w:rsidRPr="009B5A4B">
        <w:rPr>
          <w:rFonts w:cstheme="minorHAnsi"/>
          <w:sz w:val="22"/>
          <w:szCs w:val="22"/>
        </w:rPr>
        <w:lastRenderedPageBreak/>
        <w:t>a raportat că</w:t>
      </w:r>
      <w:r w:rsidR="00AC0AE0">
        <w:rPr>
          <w:rFonts w:cstheme="minorHAnsi"/>
          <w:sz w:val="22"/>
          <w:szCs w:val="22"/>
        </w:rPr>
        <w:t>,</w:t>
      </w:r>
      <w:r w:rsidR="009B5A4B" w:rsidRPr="009B5A4B">
        <w:rPr>
          <w:rFonts w:cstheme="minorHAnsi"/>
          <w:sz w:val="22"/>
          <w:szCs w:val="22"/>
        </w:rPr>
        <w:t xml:space="preserve"> în peste 300 de cauze</w:t>
      </w:r>
      <w:r w:rsidR="00AC0AE0">
        <w:rPr>
          <w:rFonts w:cstheme="minorHAnsi"/>
          <w:sz w:val="22"/>
          <w:szCs w:val="22"/>
        </w:rPr>
        <w:t>,</w:t>
      </w:r>
      <w:r w:rsidR="009B5A4B" w:rsidRPr="009B5A4B">
        <w:rPr>
          <w:rFonts w:cstheme="minorHAnsi"/>
          <w:sz w:val="22"/>
          <w:szCs w:val="22"/>
        </w:rPr>
        <w:t xml:space="preserve"> instanțele au dispus reluarea procedurii de soluționare. Astfel, dacă ulterior aceste cauze vor fi soluționate în favoarea contribuabilului, este probabil ca acest procent să se </w:t>
      </w:r>
      <w:r w:rsidR="00435A57">
        <w:rPr>
          <w:rFonts w:cstheme="minorHAnsi"/>
          <w:sz w:val="22"/>
          <w:szCs w:val="22"/>
        </w:rPr>
        <w:t>crească</w:t>
      </w:r>
      <w:r w:rsidR="00435A57" w:rsidRPr="009B5A4B">
        <w:rPr>
          <w:rFonts w:cstheme="minorHAnsi"/>
          <w:sz w:val="22"/>
          <w:szCs w:val="22"/>
        </w:rPr>
        <w:t xml:space="preserve"> </w:t>
      </w:r>
      <w:r w:rsidR="009B5A4B" w:rsidRPr="009B5A4B">
        <w:rPr>
          <w:rFonts w:cstheme="minorHAnsi"/>
          <w:sz w:val="22"/>
          <w:szCs w:val="22"/>
        </w:rPr>
        <w:t xml:space="preserve">semnificativ. </w:t>
      </w:r>
    </w:p>
    <w:p w14:paraId="6BE57F1C" w14:textId="77777777" w:rsidR="00545D40" w:rsidRPr="009B5A4B" w:rsidRDefault="00545D40" w:rsidP="009B5A4B">
      <w:pPr>
        <w:rPr>
          <w:rFonts w:cstheme="minorHAnsi"/>
          <w:sz w:val="22"/>
          <w:szCs w:val="22"/>
        </w:rPr>
      </w:pPr>
    </w:p>
    <w:p w14:paraId="021ECB3F" w14:textId="6C084B72" w:rsidR="009B5A4B" w:rsidRDefault="009B5A4B" w:rsidP="009B5A4B">
      <w:pPr>
        <w:rPr>
          <w:rFonts w:cstheme="minorHAnsi"/>
          <w:sz w:val="22"/>
          <w:szCs w:val="22"/>
        </w:rPr>
      </w:pPr>
      <w:r w:rsidRPr="009B5A4B">
        <w:rPr>
          <w:rFonts w:cstheme="minorHAnsi"/>
          <w:sz w:val="22"/>
          <w:szCs w:val="22"/>
        </w:rPr>
        <w:t xml:space="preserve">Din analiza </w:t>
      </w:r>
      <w:r w:rsidR="00435A57" w:rsidRPr="009B5A4B">
        <w:rPr>
          <w:rFonts w:cstheme="minorHAnsi"/>
          <w:sz w:val="22"/>
          <w:szCs w:val="22"/>
        </w:rPr>
        <w:t>cifrel</w:t>
      </w:r>
      <w:r w:rsidR="00435A57">
        <w:rPr>
          <w:rFonts w:cstheme="minorHAnsi"/>
          <w:sz w:val="22"/>
          <w:szCs w:val="22"/>
        </w:rPr>
        <w:t>or</w:t>
      </w:r>
      <w:r w:rsidR="00435A57" w:rsidRPr="009B5A4B">
        <w:rPr>
          <w:rFonts w:cstheme="minorHAnsi"/>
          <w:sz w:val="22"/>
          <w:szCs w:val="22"/>
        </w:rPr>
        <w:t xml:space="preserve"> </w:t>
      </w:r>
      <w:r w:rsidRPr="009B5A4B">
        <w:rPr>
          <w:rFonts w:cstheme="minorHAnsi"/>
          <w:sz w:val="22"/>
          <w:szCs w:val="22"/>
        </w:rPr>
        <w:t xml:space="preserve">publicate de </w:t>
      </w:r>
      <w:r w:rsidR="00527C74">
        <w:rPr>
          <w:rFonts w:cstheme="minorHAnsi"/>
          <w:sz w:val="22"/>
          <w:szCs w:val="22"/>
        </w:rPr>
        <w:t>ANAF</w:t>
      </w:r>
      <w:r w:rsidRPr="009B5A4B">
        <w:rPr>
          <w:rFonts w:cstheme="minorHAnsi"/>
          <w:sz w:val="22"/>
          <w:szCs w:val="22"/>
        </w:rPr>
        <w:t xml:space="preserve"> putem concluziona că un procent destul de mare, între 45% - 50% din sumele impuse de A</w:t>
      </w:r>
      <w:r w:rsidR="00527C74">
        <w:rPr>
          <w:rFonts w:cstheme="minorHAnsi"/>
          <w:sz w:val="22"/>
          <w:szCs w:val="22"/>
        </w:rPr>
        <w:t>NAF</w:t>
      </w:r>
      <w:r w:rsidRPr="009B5A4B">
        <w:rPr>
          <w:rFonts w:cstheme="minorHAnsi"/>
          <w:sz w:val="22"/>
          <w:szCs w:val="22"/>
        </w:rPr>
        <w:t xml:space="preserve"> în urma inspecțiilor fiscale sunt anulate ulterior prin contestare de către contribuabili. Având </w:t>
      </w:r>
      <w:r w:rsidR="00545D40">
        <w:rPr>
          <w:rFonts w:cstheme="minorHAnsi"/>
          <w:sz w:val="22"/>
          <w:szCs w:val="22"/>
        </w:rPr>
        <w:t>î</w:t>
      </w:r>
      <w:r w:rsidRPr="009B5A4B">
        <w:rPr>
          <w:rFonts w:cstheme="minorHAnsi"/>
          <w:sz w:val="22"/>
          <w:szCs w:val="22"/>
        </w:rPr>
        <w:t>n vedere</w:t>
      </w:r>
      <w:r w:rsidR="00545D40">
        <w:rPr>
          <w:rFonts w:cstheme="minorHAnsi"/>
          <w:sz w:val="22"/>
          <w:szCs w:val="22"/>
        </w:rPr>
        <w:t xml:space="preserve"> că</w:t>
      </w:r>
      <w:r w:rsidRPr="009B5A4B">
        <w:rPr>
          <w:rFonts w:cstheme="minorHAnsi"/>
          <w:sz w:val="22"/>
          <w:szCs w:val="22"/>
        </w:rPr>
        <w:t xml:space="preserve"> sumele câștigate de contribuabili sunt purtătoare de dobânzi (i.e. 7,3% pe an), iar o dispută fiscal</w:t>
      </w:r>
      <w:r w:rsidR="00545D40">
        <w:rPr>
          <w:rFonts w:cstheme="minorHAnsi"/>
          <w:sz w:val="22"/>
          <w:szCs w:val="22"/>
        </w:rPr>
        <w:t>ă</w:t>
      </w:r>
      <w:r w:rsidRPr="009B5A4B">
        <w:rPr>
          <w:rFonts w:cstheme="minorHAnsi"/>
          <w:sz w:val="22"/>
          <w:szCs w:val="22"/>
        </w:rPr>
        <w:t xml:space="preserve"> durează în principiu peste 5 ani, rezult</w:t>
      </w:r>
      <w:r w:rsidR="00545D40">
        <w:rPr>
          <w:rFonts w:cstheme="minorHAnsi"/>
          <w:sz w:val="22"/>
          <w:szCs w:val="22"/>
        </w:rPr>
        <w:t xml:space="preserve">ă </w:t>
      </w:r>
      <w:r w:rsidRPr="009B5A4B">
        <w:rPr>
          <w:rFonts w:cstheme="minorHAnsi"/>
          <w:sz w:val="22"/>
          <w:szCs w:val="22"/>
        </w:rPr>
        <w:t>c</w:t>
      </w:r>
      <w:r w:rsidR="00545D40">
        <w:rPr>
          <w:rFonts w:cstheme="minorHAnsi"/>
          <w:sz w:val="22"/>
          <w:szCs w:val="22"/>
        </w:rPr>
        <w:t>ă</w:t>
      </w:r>
      <w:r w:rsidRPr="009B5A4B">
        <w:rPr>
          <w:rFonts w:cstheme="minorHAnsi"/>
          <w:sz w:val="22"/>
          <w:szCs w:val="22"/>
        </w:rPr>
        <w:t xml:space="preserve"> A</w:t>
      </w:r>
      <w:r w:rsidR="00527C74">
        <w:rPr>
          <w:rFonts w:cstheme="minorHAnsi"/>
          <w:sz w:val="22"/>
          <w:szCs w:val="22"/>
        </w:rPr>
        <w:t>NAF</w:t>
      </w:r>
      <w:r w:rsidRPr="009B5A4B">
        <w:rPr>
          <w:rFonts w:cstheme="minorHAnsi"/>
          <w:sz w:val="22"/>
          <w:szCs w:val="22"/>
        </w:rPr>
        <w:t xml:space="preserve"> va returna ulterior contribuabililor o dobândă de peste 40% aplicat</w:t>
      </w:r>
      <w:r w:rsidR="00545D40">
        <w:rPr>
          <w:rFonts w:cstheme="minorHAnsi"/>
          <w:sz w:val="22"/>
          <w:szCs w:val="22"/>
        </w:rPr>
        <w:t>ă</w:t>
      </w:r>
      <w:r w:rsidRPr="009B5A4B">
        <w:rPr>
          <w:rFonts w:cstheme="minorHAnsi"/>
          <w:sz w:val="22"/>
          <w:szCs w:val="22"/>
        </w:rPr>
        <w:t xml:space="preserve"> la sumele anulate. </w:t>
      </w:r>
    </w:p>
    <w:p w14:paraId="4FF3DF49" w14:textId="77777777" w:rsidR="00C20819" w:rsidRPr="009B5A4B" w:rsidRDefault="00C20819" w:rsidP="009B5A4B">
      <w:pPr>
        <w:rPr>
          <w:rFonts w:cstheme="minorHAnsi"/>
          <w:sz w:val="22"/>
          <w:szCs w:val="22"/>
        </w:rPr>
      </w:pPr>
    </w:p>
    <w:p w14:paraId="7267E6F5" w14:textId="15433261" w:rsidR="009B5A4B" w:rsidRPr="009B5A4B" w:rsidRDefault="009B5A4B" w:rsidP="009B5A4B">
      <w:pPr>
        <w:rPr>
          <w:rFonts w:cstheme="minorHAnsi"/>
          <w:sz w:val="22"/>
          <w:szCs w:val="22"/>
        </w:rPr>
      </w:pPr>
      <w:r w:rsidRPr="009B5A4B">
        <w:rPr>
          <w:rFonts w:cstheme="minorHAnsi"/>
          <w:sz w:val="22"/>
          <w:szCs w:val="22"/>
        </w:rPr>
        <w:t xml:space="preserve">Dar, până </w:t>
      </w:r>
      <w:r w:rsidR="00435A57">
        <w:rPr>
          <w:rFonts w:cstheme="minorHAnsi"/>
          <w:sz w:val="22"/>
          <w:szCs w:val="22"/>
        </w:rPr>
        <w:t>să ajungă</w:t>
      </w:r>
      <w:r w:rsidRPr="009B5A4B">
        <w:rPr>
          <w:rFonts w:cstheme="minorHAnsi"/>
          <w:sz w:val="22"/>
          <w:szCs w:val="22"/>
        </w:rPr>
        <w:t xml:space="preserve"> în instanță, riscurile pot veni de oriunde – chiar și din controlul activităților de rutină sau din controlul companiilor solide din punct de vedere comercial. Recalificarea tranzacțiilor capătă noi accente, autoritățile fiscale chestionând autoritățile de reglementare specifice fiecărei industrii, pentru acest tip de controverse și dispute fiscale neexistând niciun fel de precedent</w:t>
      </w:r>
      <w:r w:rsidR="00545D40">
        <w:rPr>
          <w:rFonts w:cstheme="minorHAnsi"/>
          <w:sz w:val="22"/>
          <w:szCs w:val="22"/>
        </w:rPr>
        <w:t>.</w:t>
      </w:r>
    </w:p>
    <w:p w14:paraId="5AA18FA9" w14:textId="77777777" w:rsidR="00244FD7" w:rsidRPr="00244FD7" w:rsidRDefault="00244FD7" w:rsidP="00244FD7">
      <w:pPr>
        <w:pStyle w:val="EYBodytextwithparaspace"/>
        <w:spacing w:after="240"/>
        <w:contextualSpacing/>
        <w:rPr>
          <w:b/>
        </w:rPr>
      </w:pPr>
    </w:p>
    <w:p w14:paraId="4A30D286" w14:textId="77777777" w:rsidR="000A3147" w:rsidRPr="000A3147" w:rsidRDefault="000A3147" w:rsidP="000A3147">
      <w:pPr>
        <w:rPr>
          <w:rFonts w:eastAsiaTheme="minorHAnsi" w:cstheme="minorBidi"/>
          <w:b/>
          <w:bCs/>
          <w:kern w:val="12"/>
          <w:sz w:val="18"/>
          <w:szCs w:val="18"/>
        </w:rPr>
      </w:pPr>
      <w:r w:rsidRPr="000A3147">
        <w:rPr>
          <w:rFonts w:eastAsiaTheme="minorHAnsi" w:cstheme="minorBidi"/>
          <w:b/>
          <w:bCs/>
          <w:kern w:val="12"/>
          <w:sz w:val="18"/>
          <w:szCs w:val="18"/>
        </w:rPr>
        <w:t>Despre EY România</w:t>
      </w:r>
    </w:p>
    <w:p w14:paraId="4E092A6F" w14:textId="77777777" w:rsidR="000A3147" w:rsidRPr="000A3147" w:rsidRDefault="000A3147" w:rsidP="000A3147">
      <w:pPr>
        <w:rPr>
          <w:rFonts w:eastAsiaTheme="minorHAnsi" w:cstheme="minorBidi"/>
          <w:b/>
          <w:bCs/>
          <w:kern w:val="12"/>
          <w:sz w:val="18"/>
          <w:szCs w:val="18"/>
        </w:rPr>
      </w:pPr>
    </w:p>
    <w:p w14:paraId="50ADB04D" w14:textId="77777777" w:rsidR="000A3147" w:rsidRPr="000A3147" w:rsidRDefault="000A3147" w:rsidP="000A3147">
      <w:pPr>
        <w:rPr>
          <w:rFonts w:eastAsiaTheme="minorHAnsi" w:cstheme="minorBidi"/>
          <w:kern w:val="12"/>
          <w:sz w:val="18"/>
          <w:szCs w:val="18"/>
        </w:rPr>
      </w:pPr>
      <w:r w:rsidRPr="000A3147">
        <w:rPr>
          <w:rFonts w:eastAsiaTheme="minorHAnsi" w:cstheme="minorBidi"/>
          <w:kern w:val="12"/>
          <w:sz w:val="18"/>
          <w:szCs w:val="18"/>
        </w:rPr>
        <w:t>EY este una dintre cele mai mari firme de servicii profesionale la nivel global, cu 312.250 de angajați în peste 700 de birouri în 150 de țări și venituri de aproximativ 40 miliarde de USD în anul fiscal încheiat la 30 iunie 2021. Rețeaua lor este cea mai integrată la nivel global, iar resursele din cadrul acesteia îi ajută să le ofere clienților servicii prin care să beneficieze de oportunitățile din întreaga lume.</w:t>
      </w:r>
    </w:p>
    <w:p w14:paraId="53518B82" w14:textId="76175813" w:rsidR="000A30C3" w:rsidRDefault="000A3147" w:rsidP="000A3147">
      <w:pPr>
        <w:rPr>
          <w:rFonts w:eastAsiaTheme="minorHAnsi" w:cstheme="minorBidi"/>
          <w:kern w:val="12"/>
          <w:sz w:val="18"/>
          <w:szCs w:val="18"/>
        </w:rPr>
      </w:pPr>
      <w:r w:rsidRPr="000A3147">
        <w:rPr>
          <w:rFonts w:eastAsiaTheme="minorHAnsi" w:cstheme="minorBidi"/>
          <w:kern w:val="12"/>
          <w:sz w:val="18"/>
          <w:szCs w:val="18"/>
        </w:rPr>
        <w:t>Prezentă în România din anul 1992, EY este liderul de pe piața serviciilor profesionale. Cei peste 800 de angajați din România și Republica Moldova furnizează servicii integrate de audit, asistență fiscală, juridică, strategie și tranzacții, consultanță către companii multinaționale și locale. Avem birouri în București, Cluj-Napoca, Timișoara, Iași și Chișinău. EY România s-a afiliat în 2014 singurei competiții de nivel mondial dedicată antreprenorialului, EY Entrepreneur Of The Year. Câștigătorul ediției locale reprezintă România în finala mondială ce are loc în fiecare an, în luna iunie, la Monte Carlo. În finala mondială se acordă titlul World Entrepreneur Of The Year.</w:t>
      </w:r>
    </w:p>
    <w:p w14:paraId="176D3234" w14:textId="613520E2" w:rsidR="00BB6595" w:rsidRPr="00634DD2" w:rsidRDefault="00BB6595" w:rsidP="000424CE">
      <w:pPr>
        <w:pStyle w:val="EYNormal"/>
        <w:rPr>
          <w:rFonts w:ascii="Arial" w:hAnsi="Arial" w:cs="Arial"/>
          <w:sz w:val="18"/>
          <w:szCs w:val="18"/>
        </w:rPr>
      </w:pPr>
    </w:p>
    <w:sectPr w:rsidR="00BB6595" w:rsidRPr="00634DD2" w:rsidSect="008731BE">
      <w:headerReference w:type="default" r:id="rId11"/>
      <w:footerReference w:type="default" r:id="rId12"/>
      <w:headerReference w:type="first" r:id="rId13"/>
      <w:pgSz w:w="11907" w:h="16840" w:code="9"/>
      <w:pgMar w:top="2722" w:right="1282" w:bottom="936" w:left="1368" w:header="706"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7CD8" w14:textId="77777777" w:rsidR="000E0C55" w:rsidRDefault="000E0C55">
      <w:r>
        <w:separator/>
      </w:r>
    </w:p>
  </w:endnote>
  <w:endnote w:type="continuationSeparator" w:id="0">
    <w:p w14:paraId="79A388EA" w14:textId="77777777" w:rsidR="000E0C55" w:rsidRDefault="000E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8DC7" w14:textId="0BF4D02C" w:rsidR="008731BE" w:rsidRDefault="000A30C3">
    <w:pPr>
      <w:pStyle w:val="Footer"/>
    </w:pPr>
    <w:r>
      <w:rPr>
        <w:noProof/>
        <w:lang w:eastAsia="ro-RO"/>
      </w:rPr>
      <mc:AlternateContent>
        <mc:Choice Requires="wps">
          <w:drawing>
            <wp:anchor distT="0" distB="0" distL="114300" distR="114300" simplePos="0" relativeHeight="251659264" behindDoc="1" locked="1" layoutInCell="1" allowOverlap="1" wp14:anchorId="23CC86E2" wp14:editId="784BB893">
              <wp:simplePos x="0" y="0"/>
              <wp:positionH relativeFrom="column">
                <wp:posOffset>0</wp:posOffset>
              </wp:positionH>
              <wp:positionV relativeFrom="page">
                <wp:posOffset>10333355</wp:posOffset>
              </wp:positionV>
              <wp:extent cx="1714500" cy="114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
                      </a:xfrm>
                      <a:prstGeom prst="rect">
                        <a:avLst/>
                      </a:prstGeom>
                      <a:noFill/>
                      <a:ln>
                        <a:noFill/>
                      </a:ln>
                    </wps:spPr>
                    <wps:txbx>
                      <w:txbxContent>
                        <w:p w14:paraId="77586310" w14:textId="77777777" w:rsidR="008731BE" w:rsidRPr="00195C92" w:rsidRDefault="000E0C55" w:rsidP="008731BE">
                          <w:pPr>
                            <w:pStyle w:val="EYFooterinf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C86E2" id="_x0000_t202" coordsize="21600,21600" o:spt="202" path="m,l,21600r21600,l21600,xe">
              <v:stroke joinstyle="miter"/>
              <v:path gradientshapeok="t" o:connecttype="rect"/>
            </v:shapetype>
            <v:shape id="Text Box 5" o:spid="_x0000_s1027" type="#_x0000_t202" style="position:absolute;margin-left:0;margin-top:813.65pt;width:13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" filled="f" stroked="f">
              <v:textbox inset="0,0,0,0">
                <w:txbxContent>
                  <w:p w14:paraId="77586310" w14:textId="77777777" w:rsidR="008731BE" w:rsidRPr="00195C92" w:rsidRDefault="000E0C55" w:rsidP="008731BE">
                    <w:pPr>
                      <w:pStyle w:val="EYFooterinfo"/>
                    </w:pP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1C09" w14:textId="77777777" w:rsidR="000E0C55" w:rsidRDefault="000E0C55">
      <w:r>
        <w:separator/>
      </w:r>
    </w:p>
  </w:footnote>
  <w:footnote w:type="continuationSeparator" w:id="0">
    <w:p w14:paraId="0D021902" w14:textId="77777777" w:rsidR="000E0C55" w:rsidRDefault="000E0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3720" w14:textId="5DF5CC24" w:rsidR="008731BE" w:rsidRDefault="00A646D4" w:rsidP="008731BE">
    <w:pPr>
      <w:pStyle w:val="Header"/>
    </w:pPr>
    <w:r>
      <w:rPr>
        <w:noProof/>
        <w:lang w:eastAsia="ro-RO"/>
      </w:rPr>
      <w:drawing>
        <wp:anchor distT="0" distB="0" distL="114300" distR="114300" simplePos="0" relativeHeight="251662336" behindDoc="1" locked="0" layoutInCell="1" allowOverlap="1" wp14:anchorId="40140666" wp14:editId="5B4659A9">
          <wp:simplePos x="0" y="0"/>
          <wp:positionH relativeFrom="column">
            <wp:posOffset>-1905</wp:posOffset>
          </wp:positionH>
          <wp:positionV relativeFrom="paragraph">
            <wp:posOffset>18415</wp:posOffset>
          </wp:positionV>
          <wp:extent cx="847725" cy="996950"/>
          <wp:effectExtent l="0" t="0" r="9525" b="0"/>
          <wp:wrapTight wrapText="bothSides">
            <wp:wrapPolygon edited="0">
              <wp:start x="0" y="0"/>
              <wp:lineTo x="0" y="21050"/>
              <wp:lineTo x="21357" y="21050"/>
              <wp:lineTo x="21357" y="0"/>
              <wp:lineTo x="0" y="0"/>
            </wp:wrapPolygon>
          </wp:wrapTight>
          <wp:docPr id="2" name="Picture 2" descr="http://brandingzone.ey.net/national/tbz3.nsf/SitePage/Brand+elements_EY+logo/$file/EY_logo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ndingzone.ey.net/national/tbz3.nsf/SitePage/Brand+elements_EY+logo/$file/EY_logo_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96950"/>
                  </a:xfrm>
                  <a:prstGeom prst="rect">
                    <a:avLst/>
                  </a:prstGeom>
                  <a:noFill/>
                  <a:ln>
                    <a:noFill/>
                  </a:ln>
                </pic:spPr>
              </pic:pic>
            </a:graphicData>
          </a:graphic>
        </wp:anchor>
      </w:drawing>
    </w:r>
    <w:r w:rsidR="000A30C3">
      <w:rPr>
        <w:noProof/>
        <w:lang w:eastAsia="ro-RO"/>
      </w:rPr>
      <mc:AlternateContent>
        <mc:Choice Requires="wps">
          <w:drawing>
            <wp:anchor distT="0" distB="0" distL="114300" distR="114300" simplePos="0" relativeHeight="251660288" behindDoc="0" locked="0" layoutInCell="1" allowOverlap="1" wp14:anchorId="34EA83BC" wp14:editId="5FF53B6E">
              <wp:simplePos x="0" y="0"/>
              <wp:positionH relativeFrom="page">
                <wp:posOffset>5403850</wp:posOffset>
              </wp:positionH>
              <wp:positionV relativeFrom="page">
                <wp:posOffset>403225</wp:posOffset>
              </wp:positionV>
              <wp:extent cx="1800225" cy="61785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17855"/>
                      </a:xfrm>
                      <a:prstGeom prst="rect">
                        <a:avLst/>
                      </a:prstGeom>
                      <a:noFill/>
                      <a:ln>
                        <a:noFill/>
                      </a:ln>
                    </wps:spPr>
                    <wps:txbx>
                      <w:txbxContent>
                        <w:p w14:paraId="383F9910" w14:textId="77777777" w:rsidR="008731BE" w:rsidRDefault="00A646D4" w:rsidP="008731BE">
                          <w:pPr>
                            <w:pStyle w:val="EYContinuationheader"/>
                            <w:jc w:val="right"/>
                          </w:pPr>
                          <w:r>
                            <w:t xml:space="preserve">Pagina </w:t>
                          </w:r>
                          <w:r w:rsidR="00B74BC5">
                            <w:fldChar w:fldCharType="begin"/>
                          </w:r>
                          <w:r>
                            <w:instrText xml:space="preserve"> PAGE  \* Arabic  \* MERGEFORMAT </w:instrText>
                          </w:r>
                          <w:r w:rsidR="00B74BC5">
                            <w:fldChar w:fldCharType="separate"/>
                          </w:r>
                          <w:r w:rsidR="003A6CD6">
                            <w:rPr>
                              <w:noProof/>
                            </w:rPr>
                            <w:t>3</w:t>
                          </w:r>
                          <w:r w:rsidR="00B74BC5">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A83BC" id="_x0000_t202" coordsize="21600,21600" o:spt="202" path="m,l,21600r21600,l21600,xe">
              <v:stroke joinstyle="miter"/>
              <v:path gradientshapeok="t" o:connecttype="rect"/>
            </v:shapetype>
            <v:shape id="Text Box 7" o:spid="_x0000_s1026" type="#_x0000_t202" style="position:absolute;margin-left:425.5pt;margin-top:31.75pt;width:141.75pt;height:48.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" filled="f" stroked="f">
              <v:textbox inset="0,0,0,0">
                <w:txbxContent>
                  <w:p w14:paraId="383F9910" w14:textId="77777777" w:rsidR="008731BE" w:rsidRDefault="00A646D4" w:rsidP="008731BE">
                    <w:pPr>
                      <w:pStyle w:val="EYContinuationheader"/>
                      <w:jc w:val="right"/>
                    </w:pPr>
                    <w:r>
                      <w:t xml:space="preserve">Pagina </w:t>
                    </w:r>
                    <w:r w:rsidR="00B74BC5">
                      <w:fldChar w:fldCharType="begin"/>
                    </w:r>
                    <w:r>
                      <w:instrText xml:space="preserve"> PAGE  \* Arabic  \* MERGEFORMAT </w:instrText>
                    </w:r>
                    <w:r w:rsidR="00B74BC5">
                      <w:fldChar w:fldCharType="separate"/>
                    </w:r>
                    <w:r w:rsidR="003A6CD6">
                      <w:rPr>
                        <w:noProof/>
                      </w:rPr>
                      <w:t>3</w:t>
                    </w:r>
                    <w:r w:rsidR="00B74BC5">
                      <w:fldChar w:fldCharType="end"/>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C318" w14:textId="77777777" w:rsidR="008731BE" w:rsidRDefault="00A646D4">
    <w:pPr>
      <w:pStyle w:val="Header"/>
    </w:pPr>
    <w:r>
      <w:rPr>
        <w:noProof/>
        <w:lang w:eastAsia="ro-RO"/>
      </w:rPr>
      <w:drawing>
        <wp:anchor distT="0" distB="0" distL="114300" distR="114300" simplePos="0" relativeHeight="251661312" behindDoc="1" locked="0" layoutInCell="1" allowOverlap="1" wp14:anchorId="785F5FCB" wp14:editId="7DEAEAD3">
          <wp:simplePos x="0" y="0"/>
          <wp:positionH relativeFrom="column">
            <wp:posOffset>-11430</wp:posOffset>
          </wp:positionH>
          <wp:positionV relativeFrom="paragraph">
            <wp:posOffset>-133985</wp:posOffset>
          </wp:positionV>
          <wp:extent cx="847725" cy="996950"/>
          <wp:effectExtent l="0" t="0" r="9525" b="0"/>
          <wp:wrapTight wrapText="bothSides">
            <wp:wrapPolygon edited="0">
              <wp:start x="0" y="0"/>
              <wp:lineTo x="0" y="21050"/>
              <wp:lineTo x="21357" y="21050"/>
              <wp:lineTo x="21357" y="0"/>
              <wp:lineTo x="0" y="0"/>
            </wp:wrapPolygon>
          </wp:wrapTight>
          <wp:docPr id="1" name="Picture 1" descr="http://brandingzone.ey.net/national/tbz3.nsf/SitePage/Brand+elements_EY+logo/$file/EY_logo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ndingzone.ey.net/national/tbz3.nsf/SitePage/Brand+elements_EY+logo/$file/EY_logo_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96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6E80"/>
    <w:multiLevelType w:val="hybridMultilevel"/>
    <w:tmpl w:val="F6745320"/>
    <w:lvl w:ilvl="0" w:tplc="AB06A944">
      <w:start w:val="1"/>
      <w:numFmt w:val="bullet"/>
      <w:lvlText w:val=""/>
      <w:lvlJc w:val="left"/>
      <w:pPr>
        <w:ind w:left="720" w:hanging="360"/>
      </w:pPr>
      <w:rPr>
        <w:rFonts w:ascii="Wingdings 3" w:hAnsi="Wingdings 3"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5569E"/>
    <w:multiLevelType w:val="hybridMultilevel"/>
    <w:tmpl w:val="39C23C88"/>
    <w:lvl w:ilvl="0" w:tplc="AB06A944">
      <w:start w:val="1"/>
      <w:numFmt w:val="bullet"/>
      <w:lvlText w:val=""/>
      <w:lvlJc w:val="left"/>
      <w:pPr>
        <w:ind w:left="720" w:hanging="360"/>
      </w:pPr>
      <w:rPr>
        <w:rFonts w:ascii="Wingdings 3" w:hAnsi="Wingdings 3"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EA"/>
    <w:rsid w:val="000023A1"/>
    <w:rsid w:val="00002F9B"/>
    <w:rsid w:val="000118C0"/>
    <w:rsid w:val="00014FCA"/>
    <w:rsid w:val="00015075"/>
    <w:rsid w:val="000424CE"/>
    <w:rsid w:val="0004334D"/>
    <w:rsid w:val="000500F1"/>
    <w:rsid w:val="00051CFA"/>
    <w:rsid w:val="0005477E"/>
    <w:rsid w:val="00072965"/>
    <w:rsid w:val="000746E5"/>
    <w:rsid w:val="00092FF0"/>
    <w:rsid w:val="00093829"/>
    <w:rsid w:val="00094877"/>
    <w:rsid w:val="00095366"/>
    <w:rsid w:val="000A2E33"/>
    <w:rsid w:val="000A30C3"/>
    <w:rsid w:val="000A3147"/>
    <w:rsid w:val="000B62F3"/>
    <w:rsid w:val="000D61B9"/>
    <w:rsid w:val="000E0C55"/>
    <w:rsid w:val="000F0F7C"/>
    <w:rsid w:val="00103F90"/>
    <w:rsid w:val="00126C72"/>
    <w:rsid w:val="00136CE2"/>
    <w:rsid w:val="00136DDD"/>
    <w:rsid w:val="0013771C"/>
    <w:rsid w:val="00146B1C"/>
    <w:rsid w:val="001518FA"/>
    <w:rsid w:val="00163F8D"/>
    <w:rsid w:val="00170FD9"/>
    <w:rsid w:val="0017314E"/>
    <w:rsid w:val="001772ED"/>
    <w:rsid w:val="001879EC"/>
    <w:rsid w:val="001977A3"/>
    <w:rsid w:val="001A4B8A"/>
    <w:rsid w:val="001B0350"/>
    <w:rsid w:val="001B7D9D"/>
    <w:rsid w:val="001C4197"/>
    <w:rsid w:val="001D1745"/>
    <w:rsid w:val="001D63F1"/>
    <w:rsid w:val="001F2A24"/>
    <w:rsid w:val="001F5517"/>
    <w:rsid w:val="0020127C"/>
    <w:rsid w:val="0022335F"/>
    <w:rsid w:val="002240EA"/>
    <w:rsid w:val="00244FD7"/>
    <w:rsid w:val="00250409"/>
    <w:rsid w:val="002641C8"/>
    <w:rsid w:val="00272E7E"/>
    <w:rsid w:val="002A476A"/>
    <w:rsid w:val="002B316E"/>
    <w:rsid w:val="002D663B"/>
    <w:rsid w:val="002F5C56"/>
    <w:rsid w:val="00305E50"/>
    <w:rsid w:val="00316676"/>
    <w:rsid w:val="00333279"/>
    <w:rsid w:val="00333805"/>
    <w:rsid w:val="00337E79"/>
    <w:rsid w:val="00352BEF"/>
    <w:rsid w:val="00356F74"/>
    <w:rsid w:val="00370D92"/>
    <w:rsid w:val="003908A8"/>
    <w:rsid w:val="003A6CD6"/>
    <w:rsid w:val="003B75BF"/>
    <w:rsid w:val="003C4618"/>
    <w:rsid w:val="003D247A"/>
    <w:rsid w:val="003F4F3D"/>
    <w:rsid w:val="004041EB"/>
    <w:rsid w:val="00412E12"/>
    <w:rsid w:val="00413663"/>
    <w:rsid w:val="00415BE2"/>
    <w:rsid w:val="00423019"/>
    <w:rsid w:val="004310C7"/>
    <w:rsid w:val="00432B27"/>
    <w:rsid w:val="00435A57"/>
    <w:rsid w:val="004360DE"/>
    <w:rsid w:val="00453BEA"/>
    <w:rsid w:val="0046717B"/>
    <w:rsid w:val="00480BD2"/>
    <w:rsid w:val="00486F15"/>
    <w:rsid w:val="00490A99"/>
    <w:rsid w:val="00496164"/>
    <w:rsid w:val="004B1B79"/>
    <w:rsid w:val="004E1A81"/>
    <w:rsid w:val="004E3CC7"/>
    <w:rsid w:val="004F5813"/>
    <w:rsid w:val="004F6360"/>
    <w:rsid w:val="005045C1"/>
    <w:rsid w:val="00511049"/>
    <w:rsid w:val="005132A6"/>
    <w:rsid w:val="00527C74"/>
    <w:rsid w:val="00545D40"/>
    <w:rsid w:val="00545F9B"/>
    <w:rsid w:val="005469EB"/>
    <w:rsid w:val="00554419"/>
    <w:rsid w:val="0056122D"/>
    <w:rsid w:val="0057371A"/>
    <w:rsid w:val="00581424"/>
    <w:rsid w:val="00582EFC"/>
    <w:rsid w:val="005859A1"/>
    <w:rsid w:val="00593641"/>
    <w:rsid w:val="005A26FB"/>
    <w:rsid w:val="005A383F"/>
    <w:rsid w:val="005B6C1F"/>
    <w:rsid w:val="005C07C8"/>
    <w:rsid w:val="005C110F"/>
    <w:rsid w:val="005C2734"/>
    <w:rsid w:val="005C2A47"/>
    <w:rsid w:val="005C40DD"/>
    <w:rsid w:val="005C673A"/>
    <w:rsid w:val="005D432C"/>
    <w:rsid w:val="005D5870"/>
    <w:rsid w:val="005E0311"/>
    <w:rsid w:val="005E276C"/>
    <w:rsid w:val="005F0C14"/>
    <w:rsid w:val="00603EB3"/>
    <w:rsid w:val="00604BAC"/>
    <w:rsid w:val="00630F30"/>
    <w:rsid w:val="00634DD2"/>
    <w:rsid w:val="00665728"/>
    <w:rsid w:val="006757D3"/>
    <w:rsid w:val="00680462"/>
    <w:rsid w:val="00682376"/>
    <w:rsid w:val="00682B3A"/>
    <w:rsid w:val="00690AA2"/>
    <w:rsid w:val="006A1B66"/>
    <w:rsid w:val="006B5E42"/>
    <w:rsid w:val="006B76B4"/>
    <w:rsid w:val="006C53A4"/>
    <w:rsid w:val="006C6879"/>
    <w:rsid w:val="006D1A3D"/>
    <w:rsid w:val="006F2BCD"/>
    <w:rsid w:val="006F759F"/>
    <w:rsid w:val="00700AE8"/>
    <w:rsid w:val="00713CF2"/>
    <w:rsid w:val="00714AB4"/>
    <w:rsid w:val="00742BE4"/>
    <w:rsid w:val="007454AC"/>
    <w:rsid w:val="00745904"/>
    <w:rsid w:val="007537D0"/>
    <w:rsid w:val="00783F72"/>
    <w:rsid w:val="007858E4"/>
    <w:rsid w:val="00791BF9"/>
    <w:rsid w:val="00792860"/>
    <w:rsid w:val="00797F0D"/>
    <w:rsid w:val="007A2060"/>
    <w:rsid w:val="007A2745"/>
    <w:rsid w:val="007B176D"/>
    <w:rsid w:val="007C5366"/>
    <w:rsid w:val="007D69DD"/>
    <w:rsid w:val="007E69BE"/>
    <w:rsid w:val="0081476F"/>
    <w:rsid w:val="00822B0C"/>
    <w:rsid w:val="00836CE8"/>
    <w:rsid w:val="00850F92"/>
    <w:rsid w:val="00852838"/>
    <w:rsid w:val="00880947"/>
    <w:rsid w:val="00890C55"/>
    <w:rsid w:val="008A041B"/>
    <w:rsid w:val="008A6BA4"/>
    <w:rsid w:val="008B154E"/>
    <w:rsid w:val="008C39E8"/>
    <w:rsid w:val="008D01A6"/>
    <w:rsid w:val="008D2DD2"/>
    <w:rsid w:val="008E0658"/>
    <w:rsid w:val="008E6913"/>
    <w:rsid w:val="00906E2D"/>
    <w:rsid w:val="00916D09"/>
    <w:rsid w:val="00923387"/>
    <w:rsid w:val="009238BB"/>
    <w:rsid w:val="009347C4"/>
    <w:rsid w:val="00947E51"/>
    <w:rsid w:val="009604AA"/>
    <w:rsid w:val="009631B0"/>
    <w:rsid w:val="0097115F"/>
    <w:rsid w:val="00994AE3"/>
    <w:rsid w:val="00995652"/>
    <w:rsid w:val="00995A75"/>
    <w:rsid w:val="009B2E5E"/>
    <w:rsid w:val="009B5A4B"/>
    <w:rsid w:val="009B647A"/>
    <w:rsid w:val="009C66D9"/>
    <w:rsid w:val="009D38F7"/>
    <w:rsid w:val="009E02CD"/>
    <w:rsid w:val="009E73DA"/>
    <w:rsid w:val="009F6941"/>
    <w:rsid w:val="00A04348"/>
    <w:rsid w:val="00A04E50"/>
    <w:rsid w:val="00A051BE"/>
    <w:rsid w:val="00A216F6"/>
    <w:rsid w:val="00A22984"/>
    <w:rsid w:val="00A249E1"/>
    <w:rsid w:val="00A37BE0"/>
    <w:rsid w:val="00A44E41"/>
    <w:rsid w:val="00A508BF"/>
    <w:rsid w:val="00A50B26"/>
    <w:rsid w:val="00A5647F"/>
    <w:rsid w:val="00A57603"/>
    <w:rsid w:val="00A646D4"/>
    <w:rsid w:val="00A64AA3"/>
    <w:rsid w:val="00A82698"/>
    <w:rsid w:val="00AC0AE0"/>
    <w:rsid w:val="00AE4226"/>
    <w:rsid w:val="00AF02ED"/>
    <w:rsid w:val="00AF331B"/>
    <w:rsid w:val="00AF62B9"/>
    <w:rsid w:val="00B04D40"/>
    <w:rsid w:val="00B226EF"/>
    <w:rsid w:val="00B250F7"/>
    <w:rsid w:val="00B259BF"/>
    <w:rsid w:val="00B35D2D"/>
    <w:rsid w:val="00B4327D"/>
    <w:rsid w:val="00B47CF7"/>
    <w:rsid w:val="00B5320E"/>
    <w:rsid w:val="00B65078"/>
    <w:rsid w:val="00B74BC5"/>
    <w:rsid w:val="00B7561C"/>
    <w:rsid w:val="00B84411"/>
    <w:rsid w:val="00BA5491"/>
    <w:rsid w:val="00BA7BB5"/>
    <w:rsid w:val="00BB00E0"/>
    <w:rsid w:val="00BB6595"/>
    <w:rsid w:val="00BC0EA8"/>
    <w:rsid w:val="00BE6A7C"/>
    <w:rsid w:val="00BE7E5F"/>
    <w:rsid w:val="00BF4B62"/>
    <w:rsid w:val="00C021FD"/>
    <w:rsid w:val="00C056D1"/>
    <w:rsid w:val="00C05EE0"/>
    <w:rsid w:val="00C20819"/>
    <w:rsid w:val="00C22B6E"/>
    <w:rsid w:val="00C249F4"/>
    <w:rsid w:val="00C33916"/>
    <w:rsid w:val="00C351F0"/>
    <w:rsid w:val="00C47837"/>
    <w:rsid w:val="00C658DB"/>
    <w:rsid w:val="00C70327"/>
    <w:rsid w:val="00C771E8"/>
    <w:rsid w:val="00C84FD1"/>
    <w:rsid w:val="00C86014"/>
    <w:rsid w:val="00C95A22"/>
    <w:rsid w:val="00CA47A2"/>
    <w:rsid w:val="00CD36C8"/>
    <w:rsid w:val="00CD4936"/>
    <w:rsid w:val="00CE59A7"/>
    <w:rsid w:val="00D15495"/>
    <w:rsid w:val="00D16246"/>
    <w:rsid w:val="00D23151"/>
    <w:rsid w:val="00D2420F"/>
    <w:rsid w:val="00D33067"/>
    <w:rsid w:val="00D337B4"/>
    <w:rsid w:val="00D34D3D"/>
    <w:rsid w:val="00D4392C"/>
    <w:rsid w:val="00D50C87"/>
    <w:rsid w:val="00D51BB0"/>
    <w:rsid w:val="00D573BA"/>
    <w:rsid w:val="00D61839"/>
    <w:rsid w:val="00D63402"/>
    <w:rsid w:val="00D66BB3"/>
    <w:rsid w:val="00D70E75"/>
    <w:rsid w:val="00D71A46"/>
    <w:rsid w:val="00D74301"/>
    <w:rsid w:val="00D74D81"/>
    <w:rsid w:val="00D84746"/>
    <w:rsid w:val="00D852D5"/>
    <w:rsid w:val="00DB18FD"/>
    <w:rsid w:val="00DD5754"/>
    <w:rsid w:val="00DE1158"/>
    <w:rsid w:val="00DE3589"/>
    <w:rsid w:val="00DE3FBC"/>
    <w:rsid w:val="00DE489E"/>
    <w:rsid w:val="00DF1741"/>
    <w:rsid w:val="00E04CD5"/>
    <w:rsid w:val="00E077AF"/>
    <w:rsid w:val="00E105A0"/>
    <w:rsid w:val="00E2421D"/>
    <w:rsid w:val="00E268D9"/>
    <w:rsid w:val="00E366D2"/>
    <w:rsid w:val="00E52E86"/>
    <w:rsid w:val="00E57297"/>
    <w:rsid w:val="00E604EA"/>
    <w:rsid w:val="00E7570A"/>
    <w:rsid w:val="00E9730D"/>
    <w:rsid w:val="00EB07FA"/>
    <w:rsid w:val="00EB40F2"/>
    <w:rsid w:val="00EB7094"/>
    <w:rsid w:val="00EC06E2"/>
    <w:rsid w:val="00EC3845"/>
    <w:rsid w:val="00ED63B2"/>
    <w:rsid w:val="00EF6DDC"/>
    <w:rsid w:val="00F03A14"/>
    <w:rsid w:val="00F276CE"/>
    <w:rsid w:val="00F35DD4"/>
    <w:rsid w:val="00F4119B"/>
    <w:rsid w:val="00F41DC8"/>
    <w:rsid w:val="00F46A6D"/>
    <w:rsid w:val="00F54ED1"/>
    <w:rsid w:val="00F61A55"/>
    <w:rsid w:val="00F66E7B"/>
    <w:rsid w:val="00F8222F"/>
    <w:rsid w:val="00F82F37"/>
    <w:rsid w:val="00F840A5"/>
    <w:rsid w:val="00F97025"/>
    <w:rsid w:val="00FA1CCA"/>
    <w:rsid w:val="00FB177B"/>
    <w:rsid w:val="00FD1386"/>
    <w:rsid w:val="00FD3F66"/>
    <w:rsid w:val="00FD63CC"/>
    <w:rsid w:val="00FF39B7"/>
    <w:rsid w:val="00FF5A1C"/>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7E3A6"/>
  <w15:docId w15:val="{EFF560BA-EC5E-46BB-A6C7-3320D216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EA"/>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04EA"/>
    <w:pPr>
      <w:tabs>
        <w:tab w:val="center" w:pos="4320"/>
        <w:tab w:val="right" w:pos="8640"/>
      </w:tabs>
    </w:pPr>
  </w:style>
  <w:style w:type="character" w:customStyle="1" w:styleId="HeaderChar">
    <w:name w:val="Header Char"/>
    <w:basedOn w:val="DefaultParagraphFont"/>
    <w:link w:val="Header"/>
    <w:rsid w:val="00E604EA"/>
    <w:rPr>
      <w:rFonts w:ascii="Arial" w:eastAsia="Times New Roman" w:hAnsi="Arial" w:cs="Times New Roman"/>
      <w:sz w:val="20"/>
      <w:szCs w:val="24"/>
      <w:lang w:val="ro-RO"/>
    </w:rPr>
  </w:style>
  <w:style w:type="paragraph" w:customStyle="1" w:styleId="EYBoldsubjectheading">
    <w:name w:val="EY Bold subject heading"/>
    <w:basedOn w:val="Normal"/>
    <w:rsid w:val="00E604EA"/>
    <w:pPr>
      <w:suppressAutoHyphens/>
      <w:spacing w:before="480" w:line="260" w:lineRule="atLeast"/>
    </w:pPr>
    <w:rPr>
      <w:b/>
      <w:kern w:val="12"/>
      <w:sz w:val="26"/>
    </w:rPr>
  </w:style>
  <w:style w:type="paragraph" w:customStyle="1" w:styleId="EYFooterinfo">
    <w:name w:val="EY Footer info"/>
    <w:basedOn w:val="Normal"/>
    <w:rsid w:val="00E604EA"/>
    <w:pPr>
      <w:suppressAutoHyphens/>
    </w:pPr>
    <w:rPr>
      <w:color w:val="808080"/>
      <w:kern w:val="12"/>
      <w:sz w:val="11"/>
    </w:rPr>
  </w:style>
  <w:style w:type="paragraph" w:customStyle="1" w:styleId="EYDocumentpromptsbold">
    <w:name w:val="EY Document prompts (bold)"/>
    <w:basedOn w:val="Normal"/>
    <w:uiPriority w:val="99"/>
    <w:rsid w:val="00E604EA"/>
    <w:pPr>
      <w:suppressAutoHyphens/>
      <w:spacing w:line="260" w:lineRule="atLeast"/>
    </w:pPr>
    <w:rPr>
      <w:rFonts w:ascii="Arial Bold" w:hAnsi="Arial Bold"/>
      <w:b/>
      <w:kern w:val="12"/>
    </w:rPr>
  </w:style>
  <w:style w:type="paragraph" w:customStyle="1" w:styleId="EYContinuationheader">
    <w:name w:val="EY Continuation header"/>
    <w:basedOn w:val="Normal"/>
    <w:rsid w:val="00E604EA"/>
    <w:pPr>
      <w:tabs>
        <w:tab w:val="left" w:pos="2495"/>
      </w:tabs>
      <w:suppressAutoHyphens/>
      <w:spacing w:line="260" w:lineRule="atLeast"/>
    </w:pPr>
    <w:rPr>
      <w:kern w:val="12"/>
    </w:rPr>
  </w:style>
  <w:style w:type="paragraph" w:styleId="Footer">
    <w:name w:val="footer"/>
    <w:basedOn w:val="Normal"/>
    <w:link w:val="FooterChar"/>
    <w:rsid w:val="00E604EA"/>
    <w:pPr>
      <w:tabs>
        <w:tab w:val="center" w:pos="4320"/>
        <w:tab w:val="right" w:pos="8640"/>
      </w:tabs>
    </w:pPr>
  </w:style>
  <w:style w:type="character" w:customStyle="1" w:styleId="FooterChar">
    <w:name w:val="Footer Char"/>
    <w:basedOn w:val="DefaultParagraphFont"/>
    <w:link w:val="Footer"/>
    <w:rsid w:val="00E604EA"/>
    <w:rPr>
      <w:rFonts w:ascii="Arial" w:eastAsia="Times New Roman" w:hAnsi="Arial" w:cs="Times New Roman"/>
      <w:sz w:val="20"/>
      <w:szCs w:val="24"/>
      <w:lang w:val="ro-RO"/>
    </w:rPr>
  </w:style>
  <w:style w:type="character" w:customStyle="1" w:styleId="EYBodytextwithparaspaceChar">
    <w:name w:val="EY Body text (with para space) Char"/>
    <w:basedOn w:val="DefaultParagraphFont"/>
    <w:link w:val="EYBodytextwithparaspace"/>
    <w:rsid w:val="00E604EA"/>
    <w:rPr>
      <w:rFonts w:ascii="Arial" w:hAnsi="Arial"/>
      <w:kern w:val="12"/>
      <w:szCs w:val="24"/>
    </w:rPr>
  </w:style>
  <w:style w:type="paragraph" w:customStyle="1" w:styleId="EYBodytextsubhead2">
    <w:name w:val="EY Body text subhead 2"/>
    <w:basedOn w:val="Normal"/>
    <w:rsid w:val="00E604EA"/>
    <w:pPr>
      <w:tabs>
        <w:tab w:val="left" w:pos="907"/>
      </w:tabs>
      <w:suppressAutoHyphens/>
      <w:spacing w:after="200" w:line="500" w:lineRule="atLeast"/>
    </w:pPr>
    <w:rPr>
      <w:rFonts w:ascii="Arial Bold" w:hAnsi="Arial Bold"/>
      <w:b/>
      <w:i/>
      <w:kern w:val="12"/>
    </w:rPr>
  </w:style>
  <w:style w:type="paragraph" w:customStyle="1" w:styleId="EYBodytextwithparaspace">
    <w:name w:val="EY Body text (with para space)"/>
    <w:basedOn w:val="Normal"/>
    <w:link w:val="EYBodytextwithparaspaceChar"/>
    <w:rsid w:val="00E604EA"/>
    <w:pPr>
      <w:tabs>
        <w:tab w:val="left" w:pos="907"/>
      </w:tabs>
      <w:suppressAutoHyphens/>
      <w:spacing w:after="400" w:line="360" w:lineRule="auto"/>
    </w:pPr>
    <w:rPr>
      <w:rFonts w:eastAsiaTheme="minorHAnsi" w:cstheme="minorBidi"/>
      <w:kern w:val="12"/>
      <w:sz w:val="22"/>
    </w:rPr>
  </w:style>
  <w:style w:type="paragraph" w:customStyle="1" w:styleId="EYHeading2">
    <w:name w:val="EY Heading 2"/>
    <w:basedOn w:val="Normal"/>
    <w:next w:val="EYBodytextwithparaspace"/>
    <w:link w:val="EYHeading2Char"/>
    <w:uiPriority w:val="99"/>
    <w:rsid w:val="00E604EA"/>
    <w:pPr>
      <w:keepNext/>
      <w:suppressAutoHyphens/>
      <w:spacing w:before="120" w:after="120"/>
    </w:pPr>
    <w:rPr>
      <w:b/>
      <w:kern w:val="12"/>
      <w:sz w:val="22"/>
    </w:rPr>
  </w:style>
  <w:style w:type="character" w:customStyle="1" w:styleId="EYHeading2Char">
    <w:name w:val="EY Heading 2 Char"/>
    <w:basedOn w:val="DefaultParagraphFont"/>
    <w:link w:val="EYHeading2"/>
    <w:uiPriority w:val="99"/>
    <w:locked/>
    <w:rsid w:val="00E604EA"/>
    <w:rPr>
      <w:rFonts w:ascii="Arial" w:eastAsia="Times New Roman" w:hAnsi="Arial" w:cs="Times New Roman"/>
      <w:b/>
      <w:kern w:val="12"/>
      <w:szCs w:val="24"/>
    </w:rPr>
  </w:style>
  <w:style w:type="character" w:customStyle="1" w:styleId="EYNormalChar">
    <w:name w:val="EY Normal Char"/>
    <w:basedOn w:val="DefaultParagraphFont"/>
    <w:link w:val="EYNormal"/>
    <w:locked/>
    <w:rsid w:val="00E604EA"/>
    <w:rPr>
      <w:rFonts w:cs="Times New Roman"/>
      <w:kern w:val="12"/>
      <w:szCs w:val="24"/>
    </w:rPr>
  </w:style>
  <w:style w:type="paragraph" w:customStyle="1" w:styleId="EYNormal">
    <w:name w:val="EY Normal"/>
    <w:link w:val="EYNormalChar"/>
    <w:rsid w:val="00E604EA"/>
    <w:pPr>
      <w:suppressAutoHyphens/>
      <w:spacing w:after="0" w:line="240" w:lineRule="auto"/>
    </w:pPr>
    <w:rPr>
      <w:rFonts w:cs="Times New Roman"/>
      <w:kern w:val="12"/>
      <w:szCs w:val="24"/>
    </w:rPr>
  </w:style>
  <w:style w:type="character" w:styleId="Hyperlink">
    <w:name w:val="Hyperlink"/>
    <w:basedOn w:val="DefaultParagraphFont"/>
    <w:uiPriority w:val="99"/>
    <w:unhideWhenUsed/>
    <w:rsid w:val="00E604EA"/>
    <w:rPr>
      <w:color w:val="0563C1" w:themeColor="hyperlink"/>
      <w:u w:val="single"/>
    </w:rPr>
  </w:style>
  <w:style w:type="character" w:styleId="CommentReference">
    <w:name w:val="annotation reference"/>
    <w:basedOn w:val="DefaultParagraphFont"/>
    <w:uiPriority w:val="99"/>
    <w:semiHidden/>
    <w:unhideWhenUsed/>
    <w:rsid w:val="008D01A6"/>
    <w:rPr>
      <w:sz w:val="16"/>
      <w:szCs w:val="16"/>
    </w:rPr>
  </w:style>
  <w:style w:type="paragraph" w:styleId="CommentText">
    <w:name w:val="annotation text"/>
    <w:basedOn w:val="Normal"/>
    <w:link w:val="CommentTextChar"/>
    <w:uiPriority w:val="99"/>
    <w:semiHidden/>
    <w:unhideWhenUsed/>
    <w:rsid w:val="008D01A6"/>
    <w:rPr>
      <w:szCs w:val="20"/>
    </w:rPr>
  </w:style>
  <w:style w:type="character" w:customStyle="1" w:styleId="CommentTextChar">
    <w:name w:val="Comment Text Char"/>
    <w:basedOn w:val="DefaultParagraphFont"/>
    <w:link w:val="CommentText"/>
    <w:uiPriority w:val="99"/>
    <w:semiHidden/>
    <w:rsid w:val="008D01A6"/>
    <w:rPr>
      <w:rFonts w:ascii="Arial" w:eastAsia="Times New Roman" w:hAnsi="Arial"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8D01A6"/>
    <w:rPr>
      <w:b/>
      <w:bCs/>
    </w:rPr>
  </w:style>
  <w:style w:type="character" w:customStyle="1" w:styleId="CommentSubjectChar">
    <w:name w:val="Comment Subject Char"/>
    <w:basedOn w:val="CommentTextChar"/>
    <w:link w:val="CommentSubject"/>
    <w:uiPriority w:val="99"/>
    <w:semiHidden/>
    <w:rsid w:val="008D01A6"/>
    <w:rPr>
      <w:rFonts w:ascii="Arial" w:eastAsia="Times New Roman" w:hAnsi="Arial" w:cs="Times New Roman"/>
      <w:b/>
      <w:bCs/>
      <w:sz w:val="20"/>
      <w:szCs w:val="20"/>
      <w:lang w:val="ro-RO"/>
    </w:rPr>
  </w:style>
  <w:style w:type="paragraph" w:styleId="BalloonText">
    <w:name w:val="Balloon Text"/>
    <w:basedOn w:val="Normal"/>
    <w:link w:val="BalloonTextChar"/>
    <w:uiPriority w:val="99"/>
    <w:semiHidden/>
    <w:unhideWhenUsed/>
    <w:rsid w:val="008D0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1A6"/>
    <w:rPr>
      <w:rFonts w:ascii="Segoe UI" w:eastAsia="Times New Roman" w:hAnsi="Segoe UI" w:cs="Segoe UI"/>
      <w:sz w:val="18"/>
      <w:szCs w:val="18"/>
      <w:lang w:val="ro-RO"/>
    </w:rPr>
  </w:style>
  <w:style w:type="character" w:styleId="FollowedHyperlink">
    <w:name w:val="FollowedHyperlink"/>
    <w:basedOn w:val="DefaultParagraphFont"/>
    <w:uiPriority w:val="99"/>
    <w:semiHidden/>
    <w:unhideWhenUsed/>
    <w:rsid w:val="0057371A"/>
    <w:rPr>
      <w:color w:val="954F72" w:themeColor="followedHyperlink"/>
      <w:u w:val="single"/>
    </w:rPr>
  </w:style>
  <w:style w:type="character" w:customStyle="1" w:styleId="MeniuneNerezolvat1">
    <w:name w:val="Mențiune Nerezolvat1"/>
    <w:basedOn w:val="DefaultParagraphFont"/>
    <w:uiPriority w:val="99"/>
    <w:semiHidden/>
    <w:unhideWhenUsed/>
    <w:rsid w:val="007D69DD"/>
    <w:rPr>
      <w:color w:val="605E5C"/>
      <w:shd w:val="clear" w:color="auto" w:fill="E1DFDD"/>
    </w:rPr>
  </w:style>
  <w:style w:type="paragraph" w:customStyle="1" w:styleId="EYDocumenttitle">
    <w:name w:val="EY Document title"/>
    <w:basedOn w:val="Normal"/>
    <w:next w:val="Normal"/>
    <w:uiPriority w:val="99"/>
    <w:rsid w:val="000A30C3"/>
    <w:pPr>
      <w:suppressAutoHyphens/>
    </w:pPr>
    <w:rPr>
      <w:spacing w:val="-4"/>
      <w:kern w:val="12"/>
      <w:sz w:val="36"/>
    </w:rPr>
  </w:style>
  <w:style w:type="paragraph" w:customStyle="1" w:styleId="EYDocumentprompts">
    <w:name w:val="EY Document prompts"/>
    <w:basedOn w:val="EYNormal"/>
    <w:uiPriority w:val="99"/>
    <w:rsid w:val="000A30C3"/>
    <w:pPr>
      <w:spacing w:before="60" w:after="60" w:line="240" w:lineRule="atLeast"/>
    </w:pPr>
    <w:rPr>
      <w:rFonts w:ascii="Arial" w:eastAsia="Times New Roman" w:hAnsi="Arial"/>
      <w:sz w:val="20"/>
      <w:lang w:val="en-GB"/>
    </w:rPr>
  </w:style>
  <w:style w:type="character" w:customStyle="1" w:styleId="MeniuneNerezolvat2">
    <w:name w:val="Mențiune Nerezolvat2"/>
    <w:basedOn w:val="DefaultParagraphFont"/>
    <w:uiPriority w:val="99"/>
    <w:semiHidden/>
    <w:unhideWhenUsed/>
    <w:rsid w:val="000A30C3"/>
    <w:rPr>
      <w:color w:val="605E5C"/>
      <w:shd w:val="clear" w:color="auto" w:fill="E1DFDD"/>
    </w:rPr>
  </w:style>
  <w:style w:type="paragraph" w:styleId="NormalWeb">
    <w:name w:val="Normal (Web)"/>
    <w:basedOn w:val="Normal"/>
    <w:uiPriority w:val="99"/>
    <w:semiHidden/>
    <w:unhideWhenUsed/>
    <w:rsid w:val="00072965"/>
    <w:pPr>
      <w:spacing w:before="100" w:beforeAutospacing="1" w:after="100" w:afterAutospacing="1"/>
    </w:pPr>
    <w:rPr>
      <w:rFonts w:ascii="Times New Roman" w:eastAsiaTheme="minorHAnsi" w:hAnsi="Times New Roman"/>
      <w:sz w:val="24"/>
      <w:lang w:eastAsia="ro-RO"/>
    </w:rPr>
  </w:style>
  <w:style w:type="character" w:styleId="UnresolvedMention">
    <w:name w:val="Unresolved Mention"/>
    <w:basedOn w:val="DefaultParagraphFont"/>
    <w:uiPriority w:val="99"/>
    <w:semiHidden/>
    <w:unhideWhenUsed/>
    <w:rsid w:val="00593641"/>
    <w:rPr>
      <w:color w:val="605E5C"/>
      <w:shd w:val="clear" w:color="auto" w:fill="E1DFDD"/>
    </w:rPr>
  </w:style>
  <w:style w:type="paragraph" w:styleId="Revision">
    <w:name w:val="Revision"/>
    <w:hidden/>
    <w:uiPriority w:val="99"/>
    <w:semiHidden/>
    <w:rsid w:val="00D33067"/>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237817">
      <w:bodyDiv w:val="1"/>
      <w:marLeft w:val="0"/>
      <w:marRight w:val="0"/>
      <w:marTop w:val="0"/>
      <w:marBottom w:val="0"/>
      <w:divBdr>
        <w:top w:val="none" w:sz="0" w:space="0" w:color="auto"/>
        <w:left w:val="none" w:sz="0" w:space="0" w:color="auto"/>
        <w:bottom w:val="none" w:sz="0" w:space="0" w:color="auto"/>
        <w:right w:val="none" w:sz="0" w:space="0" w:color="auto"/>
      </w:divBdr>
    </w:div>
    <w:div w:id="17459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da.hutanu@ro.e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BF0B9CEACA34A981A7F46EA19F3F9" ma:contentTypeVersion="12" ma:contentTypeDescription="Create a new document." ma:contentTypeScope="" ma:versionID="cc8ffc874984966ee79012f110195910">
  <xsd:schema xmlns:xsd="http://www.w3.org/2001/XMLSchema" xmlns:xs="http://www.w3.org/2001/XMLSchema" xmlns:p="http://schemas.microsoft.com/office/2006/metadata/properties" xmlns:ns3="fd550b8b-0dd7-4de3-a8e6-af527f15a8ac" xmlns:ns4="45cbc027-4fdb-4325-ba4c-14e20f088a7f" targetNamespace="http://schemas.microsoft.com/office/2006/metadata/properties" ma:root="true" ma:fieldsID="0b4085e1d47cf19cc0ca9c96945ecf35" ns3:_="" ns4:_="">
    <xsd:import namespace="fd550b8b-0dd7-4de3-a8e6-af527f15a8ac"/>
    <xsd:import namespace="45cbc027-4fdb-4325-ba4c-14e20f088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0b8b-0dd7-4de3-a8e6-af527f15a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bc027-4fdb-4325-ba4c-14e20f088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6D205-9DA8-4FB9-B780-78CF73E5E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0b8b-0dd7-4de3-a8e6-af527f15a8ac"/>
    <ds:schemaRef ds:uri="45cbc027-4fdb-4325-ba4c-14e20f088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1B5B5-D6F4-4B83-BD6C-D40C4C73B4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29CB8E-5848-47E5-A67B-9121F4E085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1349</Words>
  <Characters>7695</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11 6  FAAS 2018 release 051018.docx</vt:lpstr>
      <vt:lpstr>11 6  FAAS 2018 release 051018.docx</vt:lpstr>
    </vt:vector>
  </TitlesOfParts>
  <Company>EY</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6  FAAS 2018 release 051018.docx</dc:title>
  <dc:subject/>
  <dc:creator>Konstantinos Makrygiannis</dc:creator>
  <cp:keywords/>
  <dc:description/>
  <cp:lastModifiedBy>Felicia Moga</cp:lastModifiedBy>
  <cp:revision>4</cp:revision>
  <dcterms:created xsi:type="dcterms:W3CDTF">2022-03-23T09:13:00Z</dcterms:created>
  <dcterms:modified xsi:type="dcterms:W3CDTF">2022-03-23T09:37:00Z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0x010100B7FBF0B9CEACA34A981A7F46EA19F3F9</vt:lpwstr>
  </property>
  <property fmtid="{D5CDD505-2E9C-101B-9397-08002B2CF9AE}" pid="3" name="EYGSSubServiceLine">
    <vt:lpwstr>34;#Brand, Marketing and Communications|6b39c8d3-6895-4456-aa8f-09ed4243bc47</vt:lpwstr>
  </property>
  <property fmtid="{D5CDD505-2E9C-101B-9397-08002B2CF9AE}" pid="4" name="EYGSAdditionalServiceLine1">
    <vt:lpwstr>5;#Core Business Services (CBS)|2cf6a111-d37c-43c1-940d-c7e1830826b5</vt:lpwstr>
  </property>
  <property fmtid="{D5CDD505-2E9C-101B-9397-08002B2CF9AE}" pid="5" name="EYGSAdditionalSubSServiceLine1">
    <vt:lpwstr>35;#Brand and External Communications|b0b352fe-33c7-4bca-8731-a9b0648a65de</vt:lpwstr>
  </property>
  <property fmtid="{D5CDD505-2E9C-101B-9397-08002B2CF9AE}" pid="6" name="EYGSGeographicScope">
    <vt:lpwstr>17;#Global|500f1427-2ec5-408e-9c7e-c7ecab3f14e9</vt:lpwstr>
  </property>
  <property fmtid="{D5CDD505-2E9C-101B-9397-08002B2CF9AE}" pid="7" name="EYGSSubSector">
    <vt:lpwstr/>
  </property>
  <property fmtid="{D5CDD505-2E9C-101B-9397-08002B2CF9AE}" pid="8" name="EYGSAdditionalSubServiceLine1">
    <vt:lpwstr>34;#Brand, Marketing and Communications|6b39c8d3-6895-4456-aa8f-09ed4243bc47</vt:lpwstr>
  </property>
  <property fmtid="{D5CDD505-2E9C-101B-9397-08002B2CF9AE}" pid="9" name="EYGSAdditionalSector">
    <vt:lpwstr/>
  </property>
  <property fmtid="{D5CDD505-2E9C-101B-9397-08002B2CF9AE}" pid="10" name="EYGSSubSServiceLine">
    <vt:lpwstr>35;#Brand and External Communications|b0b352fe-33c7-4bca-8731-a9b0648a65de</vt:lpwstr>
  </property>
  <property fmtid="{D5CDD505-2E9C-101B-9397-08002B2CF9AE}" pid="11" name="EYGSAdditionalSubServiceLine">
    <vt:lpwstr>34;#Brand, Marketing and Communications|6b39c8d3-6895-4456-aa8f-09ed4243bc47</vt:lpwstr>
  </property>
  <property fmtid="{D5CDD505-2E9C-101B-9397-08002B2CF9AE}" pid="12" name="EYGSAreas">
    <vt:lpwstr>22;#EMEIA|f996ef64-9eed-4e53-bc49-92020faa37ae</vt:lpwstr>
  </property>
  <property fmtid="{D5CDD505-2E9C-101B-9397-08002B2CF9AE}" pid="13" name="EYGSAdditionalSubSServiceLine">
    <vt:lpwstr>35;#Brand and External Communications|b0b352fe-33c7-4bca-8731-a9b0648a65de</vt:lpwstr>
  </property>
  <property fmtid="{D5CDD505-2E9C-101B-9397-08002B2CF9AE}" pid="14" name="EYGSAdditionalServiceLine">
    <vt:lpwstr>5;#Core Business Services (CBS)|2cf6a111-d37c-43c1-940d-c7e1830826b5</vt:lpwstr>
  </property>
  <property fmtid="{D5CDD505-2E9C-101B-9397-08002B2CF9AE}" pid="15" name="EYGSServiceLine">
    <vt:lpwstr>5;#Core Business Services (CBS)|2cf6a111-d37c-43c1-940d-c7e1830826b5</vt:lpwstr>
  </property>
  <property fmtid="{D5CDD505-2E9C-101B-9397-08002B2CF9AE}" pid="16" name="EYGSScoreSector">
    <vt:lpwstr/>
  </property>
  <property fmtid="{D5CDD505-2E9C-101B-9397-08002B2CF9AE}" pid="17" name="EYGSRegion">
    <vt:lpwstr>23;#UK and Ireland|6b52dc23-e127-4bdd-a180-89180e1e93dd</vt:lpwstr>
  </property>
  <property fmtid="{D5CDD505-2E9C-101B-9397-08002B2CF9AE}" pid="18" name="EYGSAdditionalSector1">
    <vt:lpwstr/>
  </property>
  <property fmtid="{D5CDD505-2E9C-101B-9397-08002B2CF9AE}" pid="19" name="_docset_NoMedatataSyncRequired">
    <vt:lpwstr>False</vt:lpwstr>
  </property>
  <property fmtid="{D5CDD505-2E9C-101B-9397-08002B2CF9AE}" pid="20" name="_dlc_DocIdItemGuid">
    <vt:lpwstr>10f2309a-a07c-403b-b307-c98073d9a0c0</vt:lpwstr>
  </property>
</Properties>
</file>