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9F5C67" w:rsidRDefault="00B8226C" w:rsidP="006A3CE3">
      <w:pPr>
        <w:pStyle w:val="NormalWeb"/>
        <w:shd w:val="clear" w:color="auto" w:fill="FFFFFF"/>
        <w:spacing w:before="0" w:beforeAutospacing="0" w:after="0" w:afterAutospacing="0" w:line="360" w:lineRule="auto"/>
        <w:jc w:val="both"/>
        <w:rPr>
          <w:rStyle w:val="Strong"/>
          <w:rFonts w:ascii="Arial" w:hAnsi="Arial" w:cs="Arial"/>
          <w:b w:val="0"/>
          <w:bCs w:val="0"/>
          <w:sz w:val="22"/>
          <w:szCs w:val="22"/>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9F5C67"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9F5C67" w:rsidRDefault="001454E9" w:rsidP="00E21C89">
            <w:pPr>
              <w:pStyle w:val="EYDocumentpromptsbold"/>
              <w:rPr>
                <w:rFonts w:ascii="Arial" w:hAnsi="Arial" w:cs="Arial"/>
                <w:b w:val="0"/>
                <w:sz w:val="22"/>
                <w:szCs w:val="22"/>
              </w:rPr>
            </w:pPr>
          </w:p>
          <w:p w14:paraId="3AF138F8" w14:textId="77777777" w:rsidR="001454E9" w:rsidRPr="009F5C67" w:rsidRDefault="001454E9" w:rsidP="00E21C89">
            <w:pPr>
              <w:pStyle w:val="EYDocumentpromptsbold"/>
              <w:rPr>
                <w:rFonts w:ascii="Arial" w:hAnsi="Arial" w:cs="Arial"/>
                <w:b w:val="0"/>
                <w:sz w:val="32"/>
                <w:szCs w:val="32"/>
              </w:rPr>
            </w:pPr>
          </w:p>
          <w:p w14:paraId="53236320" w14:textId="4727C99E" w:rsidR="001454E9" w:rsidRPr="009F5C67" w:rsidRDefault="001454E9" w:rsidP="00E21C89">
            <w:pPr>
              <w:pStyle w:val="EYDocumentpromptsbold"/>
              <w:rPr>
                <w:rFonts w:ascii="Arial" w:hAnsi="Arial" w:cs="Arial"/>
                <w:b w:val="0"/>
                <w:sz w:val="32"/>
                <w:szCs w:val="32"/>
              </w:rPr>
            </w:pPr>
            <w:r w:rsidRPr="009F5C67">
              <w:rPr>
                <w:rFonts w:ascii="Arial" w:hAnsi="Arial" w:cs="Arial"/>
                <w:b w:val="0"/>
                <w:sz w:val="32"/>
                <w:szCs w:val="32"/>
              </w:rPr>
              <w:t>Punct de vedere</w:t>
            </w:r>
          </w:p>
          <w:p w14:paraId="542FE407" w14:textId="77777777" w:rsidR="001454E9" w:rsidRPr="009F5C67" w:rsidRDefault="001454E9" w:rsidP="00E21C89">
            <w:pPr>
              <w:pStyle w:val="EYDocumentpromptsbold"/>
              <w:rPr>
                <w:rFonts w:ascii="Arial" w:hAnsi="Arial" w:cs="Arial"/>
                <w:b w:val="0"/>
                <w:sz w:val="22"/>
                <w:szCs w:val="22"/>
              </w:rPr>
            </w:pPr>
          </w:p>
          <w:p w14:paraId="4C4BD2BC" w14:textId="3D62A614" w:rsidR="001454E9" w:rsidRPr="009F5C67" w:rsidRDefault="00BC7591" w:rsidP="00296658">
            <w:pPr>
              <w:pStyle w:val="EYDocumentpromptsbold"/>
              <w:rPr>
                <w:rFonts w:ascii="Arial" w:hAnsi="Arial" w:cs="Arial"/>
                <w:bCs/>
                <w:sz w:val="22"/>
                <w:szCs w:val="22"/>
                <w:highlight w:val="yellow"/>
              </w:rPr>
            </w:pPr>
            <w:r w:rsidRPr="009F5C67">
              <w:rPr>
                <w:rFonts w:ascii="Arial" w:hAnsi="Arial" w:cs="Arial"/>
                <w:bCs/>
                <w:sz w:val="22"/>
                <w:szCs w:val="22"/>
              </w:rPr>
              <w:t>28</w:t>
            </w:r>
            <w:r w:rsidR="00D92DC7" w:rsidRPr="009F5C67">
              <w:rPr>
                <w:rFonts w:ascii="Arial" w:hAnsi="Arial" w:cs="Arial"/>
                <w:bCs/>
                <w:sz w:val="22"/>
                <w:szCs w:val="22"/>
              </w:rPr>
              <w:t xml:space="preserve"> </w:t>
            </w:r>
            <w:r w:rsidR="00B67292" w:rsidRPr="009F5C67">
              <w:rPr>
                <w:rFonts w:ascii="Arial" w:hAnsi="Arial" w:cs="Arial"/>
                <w:bCs/>
                <w:sz w:val="22"/>
                <w:szCs w:val="22"/>
              </w:rPr>
              <w:t>ianuari</w:t>
            </w:r>
            <w:r w:rsidR="001A525D" w:rsidRPr="009F5C67">
              <w:rPr>
                <w:rFonts w:ascii="Arial" w:hAnsi="Arial" w:cs="Arial"/>
                <w:bCs/>
                <w:sz w:val="22"/>
                <w:szCs w:val="22"/>
              </w:rPr>
              <w:t xml:space="preserve">e </w:t>
            </w:r>
            <w:r w:rsidR="001454E9" w:rsidRPr="009F5C67">
              <w:rPr>
                <w:rFonts w:ascii="Arial" w:hAnsi="Arial" w:cs="Arial"/>
                <w:bCs/>
                <w:sz w:val="22"/>
                <w:szCs w:val="22"/>
              </w:rPr>
              <w:t>202</w:t>
            </w:r>
            <w:r w:rsidR="00B67292" w:rsidRPr="009F5C67">
              <w:rPr>
                <w:rFonts w:ascii="Arial" w:hAnsi="Arial" w:cs="Arial"/>
                <w:bCs/>
                <w:sz w:val="22"/>
                <w:szCs w:val="22"/>
              </w:rPr>
              <w:t>2</w:t>
            </w:r>
          </w:p>
        </w:tc>
      </w:tr>
      <w:tr w:rsidR="008A2557" w:rsidRPr="009F5C67"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9F5C67" w:rsidRDefault="008A2557" w:rsidP="00573AA5">
            <w:pPr>
              <w:pStyle w:val="EYDocumentprompts"/>
              <w:rPr>
                <w:rFonts w:cs="Arial"/>
                <w:sz w:val="22"/>
                <w:szCs w:val="22"/>
              </w:rPr>
            </w:pPr>
            <w:r w:rsidRPr="009F5C67">
              <w:rPr>
                <w:rFonts w:cs="Arial"/>
                <w:sz w:val="22"/>
                <w:szCs w:val="22"/>
              </w:rPr>
              <w:t>Contact:</w:t>
            </w:r>
          </w:p>
        </w:tc>
        <w:tc>
          <w:tcPr>
            <w:tcW w:w="7570" w:type="dxa"/>
            <w:tcMar>
              <w:top w:w="0" w:type="dxa"/>
              <w:left w:w="0" w:type="dxa"/>
              <w:bottom w:w="0" w:type="dxa"/>
              <w:right w:w="0" w:type="dxa"/>
            </w:tcMar>
            <w:hideMark/>
          </w:tcPr>
          <w:p w14:paraId="13557A3C" w14:textId="77777777" w:rsidR="008A2557" w:rsidRPr="009F5C67" w:rsidRDefault="008A2557" w:rsidP="00573AA5">
            <w:pPr>
              <w:pStyle w:val="EYDocumentprompts"/>
              <w:rPr>
                <w:rFonts w:cs="Arial"/>
                <w:sz w:val="22"/>
                <w:szCs w:val="22"/>
              </w:rPr>
            </w:pPr>
            <w:r w:rsidRPr="009F5C67">
              <w:rPr>
                <w:rFonts w:cs="Arial"/>
                <w:sz w:val="22"/>
                <w:szCs w:val="22"/>
              </w:rPr>
              <w:t>Anda Huțanu</w:t>
            </w:r>
          </w:p>
        </w:tc>
      </w:tr>
      <w:tr w:rsidR="008A2557" w:rsidRPr="009F5C67"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9F5C67" w:rsidRDefault="008A2557" w:rsidP="00573AA5">
            <w:pPr>
              <w:pStyle w:val="EYDocumentprompts"/>
              <w:rPr>
                <w:rFonts w:cs="Arial"/>
                <w:sz w:val="22"/>
                <w:szCs w:val="22"/>
              </w:rPr>
            </w:pPr>
            <w:r w:rsidRPr="009F5C67">
              <w:rPr>
                <w:rFonts w:cs="Arial"/>
                <w:sz w:val="22"/>
                <w:szCs w:val="22"/>
              </w:rPr>
              <w:t>Company:</w:t>
            </w:r>
          </w:p>
        </w:tc>
        <w:tc>
          <w:tcPr>
            <w:tcW w:w="7570" w:type="dxa"/>
            <w:tcMar>
              <w:top w:w="0" w:type="dxa"/>
              <w:left w:w="0" w:type="dxa"/>
              <w:bottom w:w="0" w:type="dxa"/>
              <w:right w:w="0" w:type="dxa"/>
            </w:tcMar>
            <w:hideMark/>
          </w:tcPr>
          <w:p w14:paraId="3BD92546" w14:textId="77777777" w:rsidR="008A2557" w:rsidRPr="009F5C67" w:rsidRDefault="008A2557" w:rsidP="00573AA5">
            <w:pPr>
              <w:pStyle w:val="EYDocumentprompts"/>
              <w:rPr>
                <w:rFonts w:cs="Arial"/>
                <w:sz w:val="22"/>
                <w:szCs w:val="22"/>
              </w:rPr>
            </w:pPr>
            <w:r w:rsidRPr="009F5C67">
              <w:rPr>
                <w:rFonts w:cs="Arial"/>
                <w:sz w:val="22"/>
                <w:szCs w:val="22"/>
              </w:rPr>
              <w:t>EY Romania</w:t>
            </w:r>
          </w:p>
        </w:tc>
      </w:tr>
      <w:tr w:rsidR="008A2557" w:rsidRPr="009F5C67"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9F5C67" w:rsidRDefault="008A2557" w:rsidP="00573AA5">
            <w:pPr>
              <w:pStyle w:val="EYDocumentprompts"/>
              <w:rPr>
                <w:rFonts w:cs="Arial"/>
                <w:sz w:val="22"/>
                <w:szCs w:val="22"/>
              </w:rPr>
            </w:pPr>
            <w:r w:rsidRPr="009F5C67">
              <w:rPr>
                <w:rFonts w:cs="Arial"/>
                <w:sz w:val="22"/>
                <w:szCs w:val="22"/>
              </w:rPr>
              <w:t>Tel.:</w:t>
            </w:r>
          </w:p>
        </w:tc>
        <w:tc>
          <w:tcPr>
            <w:tcW w:w="7570" w:type="dxa"/>
            <w:tcMar>
              <w:top w:w="0" w:type="dxa"/>
              <w:left w:w="0" w:type="dxa"/>
              <w:bottom w:w="0" w:type="dxa"/>
              <w:right w:w="0" w:type="dxa"/>
            </w:tcMar>
            <w:hideMark/>
          </w:tcPr>
          <w:p w14:paraId="275AC313" w14:textId="77777777" w:rsidR="008A2557" w:rsidRPr="009F5C67" w:rsidRDefault="008A2557" w:rsidP="00573AA5">
            <w:pPr>
              <w:pStyle w:val="EYDocumentprompts"/>
              <w:rPr>
                <w:rFonts w:cs="Arial"/>
                <w:sz w:val="22"/>
                <w:szCs w:val="22"/>
              </w:rPr>
            </w:pPr>
            <w:r w:rsidRPr="009F5C67">
              <w:rPr>
                <w:rFonts w:cs="Arial"/>
                <w:sz w:val="22"/>
                <w:szCs w:val="22"/>
              </w:rPr>
              <w:t>+40 21 402 4000</w:t>
            </w:r>
          </w:p>
        </w:tc>
      </w:tr>
      <w:tr w:rsidR="008A2557" w:rsidRPr="009F5C67"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9F5C67" w:rsidRDefault="008A2557" w:rsidP="00573AA5">
            <w:pPr>
              <w:pStyle w:val="EYDocumentprompts"/>
              <w:rPr>
                <w:rFonts w:cs="Arial"/>
                <w:sz w:val="22"/>
                <w:szCs w:val="22"/>
              </w:rPr>
            </w:pPr>
            <w:r w:rsidRPr="009F5C67">
              <w:rPr>
                <w:rFonts w:cs="Arial"/>
                <w:sz w:val="22"/>
                <w:szCs w:val="22"/>
              </w:rPr>
              <w:t>Email:</w:t>
            </w:r>
          </w:p>
        </w:tc>
        <w:tc>
          <w:tcPr>
            <w:tcW w:w="7570" w:type="dxa"/>
            <w:tcMar>
              <w:top w:w="0" w:type="dxa"/>
              <w:left w:w="0" w:type="dxa"/>
              <w:bottom w:w="0" w:type="dxa"/>
              <w:right w:w="0" w:type="dxa"/>
            </w:tcMar>
            <w:hideMark/>
          </w:tcPr>
          <w:p w14:paraId="35B78F2A" w14:textId="77777777" w:rsidR="008A2557" w:rsidRPr="009F5C67" w:rsidRDefault="00C32BC8" w:rsidP="00573AA5">
            <w:pPr>
              <w:pStyle w:val="EYDocumentprompts"/>
              <w:rPr>
                <w:rFonts w:cs="Arial"/>
                <w:color w:val="0000FF"/>
                <w:sz w:val="22"/>
                <w:szCs w:val="22"/>
                <w:u w:val="single"/>
              </w:rPr>
            </w:pPr>
            <w:hyperlink r:id="rId11" w:history="1">
              <w:r w:rsidR="008A2557" w:rsidRPr="009F5C67">
                <w:rPr>
                  <w:rStyle w:val="Hyperlink"/>
                  <w:rFonts w:cs="Arial"/>
                  <w:sz w:val="22"/>
                  <w:szCs w:val="22"/>
                </w:rPr>
                <w:t>anda.hutanu@ro.ey.com</w:t>
              </w:r>
            </w:hyperlink>
          </w:p>
        </w:tc>
      </w:tr>
    </w:tbl>
    <w:p w14:paraId="29695D73" w14:textId="77777777" w:rsidR="008A2557" w:rsidRPr="009F5C67" w:rsidRDefault="008A2557" w:rsidP="008A2557">
      <w:pPr>
        <w:pStyle w:val="NormalWeb"/>
        <w:shd w:val="clear" w:color="auto" w:fill="FFFFFF"/>
        <w:spacing w:before="0" w:beforeAutospacing="0" w:after="0" w:afterAutospacing="0"/>
        <w:jc w:val="both"/>
        <w:rPr>
          <w:rStyle w:val="Strong"/>
          <w:rFonts w:ascii="Arial" w:hAnsi="Arial" w:cs="Arial"/>
          <w:b w:val="0"/>
          <w:bCs w:val="0"/>
          <w:sz w:val="22"/>
          <w:szCs w:val="22"/>
          <w:bdr w:val="none" w:sz="0" w:space="0" w:color="auto" w:frame="1"/>
          <w:lang w:val="ro-RO"/>
        </w:rPr>
      </w:pPr>
    </w:p>
    <w:p w14:paraId="44B0747E" w14:textId="77777777" w:rsidR="00CD746A" w:rsidRPr="009F5C67" w:rsidRDefault="00CD746A" w:rsidP="001454E9">
      <w:pPr>
        <w:pStyle w:val="NormalWeb"/>
        <w:shd w:val="clear" w:color="auto" w:fill="FFFFFF"/>
        <w:spacing w:before="0" w:beforeAutospacing="0" w:after="0" w:afterAutospacing="0"/>
        <w:jc w:val="both"/>
        <w:rPr>
          <w:rFonts w:ascii="Arial" w:hAnsi="Arial" w:cs="Arial"/>
          <w:b/>
          <w:bCs/>
          <w:sz w:val="28"/>
          <w:szCs w:val="28"/>
          <w:lang w:val="ro-RO"/>
        </w:rPr>
      </w:pPr>
    </w:p>
    <w:p w14:paraId="71FC2BE4" w14:textId="52DFE980" w:rsidR="00BC7591" w:rsidRPr="009F5C67" w:rsidRDefault="00BC7591" w:rsidP="00BC7591">
      <w:pPr>
        <w:rPr>
          <w:rFonts w:ascii="Arial" w:eastAsia="Times New Roman" w:hAnsi="Arial" w:cs="Arial"/>
          <w:b/>
          <w:bCs/>
          <w:sz w:val="28"/>
          <w:szCs w:val="28"/>
        </w:rPr>
      </w:pPr>
      <w:r w:rsidRPr="009F5C67">
        <w:rPr>
          <w:rFonts w:ascii="Arial" w:eastAsia="Times New Roman" w:hAnsi="Arial" w:cs="Arial"/>
          <w:b/>
          <w:bCs/>
          <w:sz w:val="28"/>
          <w:szCs w:val="28"/>
        </w:rPr>
        <w:t>Aderarea României la OCDE: suntem, oare, pregătiți? La capitolul fiscalitate – nu</w:t>
      </w:r>
    </w:p>
    <w:p w14:paraId="724DF9B2" w14:textId="29842E0B" w:rsidR="00CA05AF" w:rsidRPr="009F5C67" w:rsidRDefault="001454E9" w:rsidP="00CA05AF">
      <w:pPr>
        <w:spacing w:after="0" w:line="240" w:lineRule="auto"/>
        <w:jc w:val="both"/>
        <w:rPr>
          <w:rStyle w:val="Strong"/>
          <w:rFonts w:ascii="Arial" w:hAnsi="Arial" w:cs="Arial"/>
          <w:b w:val="0"/>
          <w:bCs w:val="0"/>
          <w:i/>
          <w:iCs/>
          <w:bdr w:val="none" w:sz="0" w:space="0" w:color="auto" w:frame="1"/>
        </w:rPr>
      </w:pPr>
      <w:r w:rsidRPr="009F5C67">
        <w:rPr>
          <w:rStyle w:val="Strong"/>
          <w:rFonts w:ascii="Arial" w:hAnsi="Arial" w:cs="Arial"/>
          <w:b w:val="0"/>
          <w:bCs w:val="0"/>
          <w:i/>
          <w:iCs/>
          <w:bdr w:val="none" w:sz="0" w:space="0" w:color="auto" w:frame="1"/>
        </w:rPr>
        <w:t>Autor</w:t>
      </w:r>
      <w:r w:rsidR="00736B61" w:rsidRPr="009F5C67">
        <w:rPr>
          <w:rStyle w:val="Strong"/>
          <w:rFonts w:ascii="Arial" w:hAnsi="Arial" w:cs="Arial"/>
          <w:b w:val="0"/>
          <w:bCs w:val="0"/>
          <w:i/>
          <w:iCs/>
          <w:bdr w:val="none" w:sz="0" w:space="0" w:color="auto" w:frame="1"/>
        </w:rPr>
        <w:t xml:space="preserve">i: </w:t>
      </w:r>
      <w:r w:rsidR="00CA05AF" w:rsidRPr="009F5C67">
        <w:rPr>
          <w:rStyle w:val="Strong"/>
          <w:rFonts w:ascii="Arial" w:hAnsi="Arial" w:cs="Arial"/>
          <w:b w:val="0"/>
          <w:bCs w:val="0"/>
          <w:i/>
          <w:iCs/>
          <w:bdr w:val="none" w:sz="0" w:space="0" w:color="auto" w:frame="1"/>
        </w:rPr>
        <w:t>Adrian Rus, Partener, Liderul practicii de prețuri de transfer, EY România</w:t>
      </w:r>
    </w:p>
    <w:p w14:paraId="34710851" w14:textId="74FA90A5" w:rsidR="00CA05AF" w:rsidRPr="009F5C67" w:rsidRDefault="00CA05AF" w:rsidP="00CA05AF">
      <w:pPr>
        <w:spacing w:after="0" w:line="240" w:lineRule="auto"/>
        <w:jc w:val="both"/>
        <w:rPr>
          <w:rStyle w:val="Strong"/>
          <w:rFonts w:ascii="Arial" w:hAnsi="Arial" w:cs="Arial"/>
          <w:b w:val="0"/>
          <w:bCs w:val="0"/>
          <w:i/>
          <w:iCs/>
          <w:bdr w:val="none" w:sz="0" w:space="0" w:color="auto" w:frame="1"/>
        </w:rPr>
      </w:pPr>
      <w:r w:rsidRPr="009F5C67">
        <w:rPr>
          <w:rStyle w:val="Strong"/>
          <w:rFonts w:ascii="Arial" w:hAnsi="Arial" w:cs="Arial"/>
          <w:b w:val="0"/>
          <w:bCs w:val="0"/>
          <w:i/>
          <w:iCs/>
          <w:bdr w:val="none" w:sz="0" w:space="0" w:color="auto" w:frame="1"/>
        </w:rPr>
        <w:t>Emanuel Băncilă, Partener, Coordonatorul practicii de inspecții și controverse fiscale, EY România</w:t>
      </w:r>
    </w:p>
    <w:p w14:paraId="589F3CD7" w14:textId="48068F76" w:rsidR="00B83A45" w:rsidRPr="009F5C67" w:rsidRDefault="00CA05AF" w:rsidP="00CA05AF">
      <w:pPr>
        <w:spacing w:after="0" w:line="240" w:lineRule="auto"/>
        <w:jc w:val="both"/>
        <w:rPr>
          <w:rStyle w:val="Strong"/>
          <w:rFonts w:ascii="Arial" w:hAnsi="Arial" w:cs="Arial"/>
          <w:b w:val="0"/>
          <w:bCs w:val="0"/>
          <w:i/>
          <w:iCs/>
          <w:bdr w:val="none" w:sz="0" w:space="0" w:color="auto" w:frame="1"/>
        </w:rPr>
      </w:pPr>
      <w:r w:rsidRPr="009F5C67">
        <w:rPr>
          <w:rStyle w:val="Strong"/>
          <w:rFonts w:ascii="Arial" w:hAnsi="Arial" w:cs="Arial"/>
          <w:b w:val="0"/>
          <w:bCs w:val="0"/>
          <w:i/>
          <w:iCs/>
          <w:bdr w:val="none" w:sz="0" w:space="0" w:color="auto" w:frame="1"/>
        </w:rPr>
        <w:t xml:space="preserve">Alex </w:t>
      </w:r>
      <w:proofErr w:type="spellStart"/>
      <w:r w:rsidRPr="009F5C67">
        <w:rPr>
          <w:rStyle w:val="Strong"/>
          <w:rFonts w:ascii="Arial" w:hAnsi="Arial" w:cs="Arial"/>
          <w:b w:val="0"/>
          <w:bCs w:val="0"/>
          <w:i/>
          <w:iCs/>
          <w:bdr w:val="none" w:sz="0" w:space="0" w:color="auto" w:frame="1"/>
        </w:rPr>
        <w:t>Slujitoru</w:t>
      </w:r>
      <w:proofErr w:type="spellEnd"/>
      <w:r w:rsidRPr="009F5C67">
        <w:rPr>
          <w:rStyle w:val="Strong"/>
          <w:rFonts w:ascii="Arial" w:hAnsi="Arial" w:cs="Arial"/>
          <w:b w:val="0"/>
          <w:bCs w:val="0"/>
          <w:i/>
          <w:iCs/>
          <w:bdr w:val="none" w:sz="0" w:space="0" w:color="auto" w:frame="1"/>
        </w:rPr>
        <w:t>,</w:t>
      </w:r>
      <w:r w:rsidR="00FF29EE" w:rsidRPr="009F5C67">
        <w:rPr>
          <w:rStyle w:val="Strong"/>
          <w:rFonts w:ascii="Arial" w:hAnsi="Arial" w:cs="Arial"/>
          <w:b w:val="0"/>
          <w:bCs w:val="0"/>
          <w:i/>
          <w:iCs/>
          <w:bdr w:val="none" w:sz="0" w:space="0" w:color="auto" w:frame="1"/>
        </w:rPr>
        <w:t xml:space="preserve"> Avocat, Băncilă, Diaconu </w:t>
      </w:r>
      <w:proofErr w:type="spellStart"/>
      <w:r w:rsidR="00FF29EE" w:rsidRPr="009F5C67">
        <w:rPr>
          <w:rStyle w:val="Strong"/>
          <w:rFonts w:ascii="Arial" w:hAnsi="Arial" w:cs="Arial"/>
          <w:b w:val="0"/>
          <w:bCs w:val="0"/>
          <w:i/>
          <w:iCs/>
          <w:bdr w:val="none" w:sz="0" w:space="0" w:color="auto" w:frame="1"/>
        </w:rPr>
        <w:t>şi</w:t>
      </w:r>
      <w:proofErr w:type="spellEnd"/>
      <w:r w:rsidR="00FF29EE" w:rsidRPr="009F5C67">
        <w:rPr>
          <w:rStyle w:val="Strong"/>
          <w:rFonts w:ascii="Arial" w:hAnsi="Arial" w:cs="Arial"/>
          <w:b w:val="0"/>
          <w:bCs w:val="0"/>
          <w:i/>
          <w:iCs/>
          <w:bdr w:val="none" w:sz="0" w:space="0" w:color="auto" w:frame="1"/>
        </w:rPr>
        <w:t xml:space="preserve"> </w:t>
      </w:r>
      <w:proofErr w:type="spellStart"/>
      <w:r w:rsidR="00FF29EE" w:rsidRPr="009F5C67">
        <w:rPr>
          <w:rStyle w:val="Strong"/>
          <w:rFonts w:ascii="Arial" w:hAnsi="Arial" w:cs="Arial"/>
          <w:b w:val="0"/>
          <w:bCs w:val="0"/>
          <w:i/>
          <w:iCs/>
          <w:bdr w:val="none" w:sz="0" w:space="0" w:color="auto" w:frame="1"/>
        </w:rPr>
        <w:t>Asociaţii</w:t>
      </w:r>
      <w:proofErr w:type="spellEnd"/>
      <w:r w:rsidR="00FF29EE" w:rsidRPr="009F5C67">
        <w:rPr>
          <w:rStyle w:val="Strong"/>
          <w:rFonts w:ascii="Arial" w:hAnsi="Arial" w:cs="Arial"/>
          <w:b w:val="0"/>
          <w:bCs w:val="0"/>
          <w:i/>
          <w:iCs/>
          <w:bdr w:val="none" w:sz="0" w:space="0" w:color="auto" w:frame="1"/>
        </w:rPr>
        <w:t xml:space="preserve"> SPRL</w:t>
      </w:r>
    </w:p>
    <w:p w14:paraId="3EBA7A95" w14:textId="12FD825E" w:rsidR="00FF62C6" w:rsidRPr="009F5C67" w:rsidRDefault="00FF62C6" w:rsidP="00F00B53">
      <w:pPr>
        <w:spacing w:after="0" w:line="240" w:lineRule="auto"/>
        <w:rPr>
          <w:rStyle w:val="Strong"/>
          <w:rFonts w:ascii="Arial" w:hAnsi="Arial" w:cs="Arial"/>
          <w:b w:val="0"/>
          <w:bCs w:val="0"/>
          <w:i/>
          <w:iCs/>
          <w:bdr w:val="none" w:sz="0" w:space="0" w:color="auto" w:frame="1"/>
        </w:rPr>
      </w:pPr>
    </w:p>
    <w:p w14:paraId="012D5B19" w14:textId="6547DD0C" w:rsidR="00FF62C6" w:rsidRPr="009F5C67" w:rsidRDefault="00FF62C6" w:rsidP="00F00B53">
      <w:pPr>
        <w:spacing w:after="0" w:line="290" w:lineRule="atLeast"/>
        <w:rPr>
          <w:rFonts w:ascii="Arial" w:hAnsi="Arial" w:cs="Arial"/>
        </w:rPr>
      </w:pPr>
      <w:bookmarkStart w:id="0" w:name="_Hlk94263035"/>
      <w:r w:rsidRPr="009F5C67">
        <w:rPr>
          <w:rFonts w:ascii="Arial" w:hAnsi="Arial" w:cs="Arial"/>
        </w:rPr>
        <w:t xml:space="preserve">Știrea că România ar putea fi una dintre țările membre ale Organizației pentru Cooperare și Dezvoltare Economică </w:t>
      </w:r>
      <w:r w:rsidR="00CC354F" w:rsidRPr="009F5C67">
        <w:rPr>
          <w:rFonts w:ascii="Arial" w:hAnsi="Arial" w:cs="Arial"/>
        </w:rPr>
        <w:t xml:space="preserve">(OCDE) </w:t>
      </w:r>
      <w:r w:rsidRPr="009F5C67">
        <w:rPr>
          <w:rFonts w:ascii="Arial" w:hAnsi="Arial" w:cs="Arial"/>
        </w:rPr>
        <w:t>într-un orizont mic de timp este binevenită și de salutat. Mai ales că unul dintre principalele impedimente în discuțiile din anii trecuți a venit și din zona fiscală (respectarea Legii Responsabilității Fiscal-Bugetare, flexibilitate și spațiu fiscal), noul impuls în negocierile de aderare ar putea însemna că România a progresat în zona fiscală și, mai ales, ar putea semnala o recunoaștere a progreselor realizate în nenumărate zone de impact pentru taxarea corespunzătoare a profiturilor în locurile în care se desfășoară activitatea economică și se creează plus-valoarea. Este, oare, acest progres suficient pentru a ne asigura că România ajunge în sfârșit în rândul țărilor ce dețin economii de piață stabile și puternice?</w:t>
      </w:r>
    </w:p>
    <w:bookmarkEnd w:id="0"/>
    <w:p w14:paraId="440C81EF" w14:textId="77777777" w:rsidR="00FF62C6" w:rsidRPr="009F5C67" w:rsidRDefault="00FF62C6" w:rsidP="00F00B53">
      <w:pPr>
        <w:spacing w:after="0" w:line="290" w:lineRule="atLeast"/>
        <w:rPr>
          <w:rFonts w:ascii="Arial" w:hAnsi="Arial" w:cs="Arial"/>
        </w:rPr>
      </w:pPr>
    </w:p>
    <w:p w14:paraId="44E12CAA" w14:textId="5C33609F" w:rsidR="00F00B53" w:rsidRPr="009F5C67" w:rsidRDefault="00F00B53" w:rsidP="00F00B53">
      <w:pPr>
        <w:spacing w:after="0" w:line="240" w:lineRule="auto"/>
        <w:rPr>
          <w:rFonts w:ascii="Arial" w:hAnsi="Arial" w:cs="Arial"/>
        </w:rPr>
      </w:pPr>
      <w:r w:rsidRPr="009F5C67">
        <w:rPr>
          <w:rFonts w:ascii="Arial" w:hAnsi="Arial" w:cs="Arial"/>
        </w:rPr>
        <w:t>Conform celui mai recent raport al OCDE cu privire la România – „Making Dispute Resolution More Effective – MAP Peer Review Report, Romania”, dat publicității în 25 mai 2021, per total</w:t>
      </w:r>
      <w:r w:rsidR="00CC354F" w:rsidRPr="009F5C67">
        <w:rPr>
          <w:rFonts w:ascii="Arial" w:hAnsi="Arial" w:cs="Arial"/>
        </w:rPr>
        <w:t>,</w:t>
      </w:r>
      <w:r w:rsidRPr="009F5C67">
        <w:rPr>
          <w:rFonts w:ascii="Arial" w:hAnsi="Arial" w:cs="Arial"/>
        </w:rPr>
        <w:t xml:space="preserve"> România îndeplinește mai puțin de jumătate din elementele „Acțiunii 14 Standarde Minime”, deși a reușit să remedieze o serie de deficiențe identificate de OCDE.</w:t>
      </w:r>
    </w:p>
    <w:p w14:paraId="64550C09" w14:textId="77777777" w:rsidR="00315E3A" w:rsidRPr="009F5C67" w:rsidRDefault="00315E3A" w:rsidP="00F00B53">
      <w:pPr>
        <w:spacing w:after="0" w:line="240" w:lineRule="auto"/>
        <w:rPr>
          <w:rFonts w:ascii="Arial" w:hAnsi="Arial" w:cs="Arial"/>
        </w:rPr>
      </w:pPr>
    </w:p>
    <w:p w14:paraId="0D7B4BDB" w14:textId="3FBA9C77" w:rsidR="00F00B53" w:rsidRPr="009F5C67" w:rsidRDefault="00F00B53" w:rsidP="00F00B53">
      <w:pPr>
        <w:spacing w:after="0" w:line="240" w:lineRule="auto"/>
        <w:rPr>
          <w:rFonts w:ascii="Arial" w:hAnsi="Arial" w:cs="Arial"/>
        </w:rPr>
      </w:pPr>
      <w:r w:rsidRPr="009F5C67">
        <w:rPr>
          <w:rFonts w:ascii="Arial" w:hAnsi="Arial" w:cs="Arial"/>
        </w:rPr>
        <w:t xml:space="preserve">Spre exemplu, OCDE a constatat că, deși România are o rețea dezvoltată de tratate fiscale și este parte la Convenția privind eliminarea dublei impuneri în legătură cu ajustarea profiturilor întreprinderilor asociate 90/436/CEE (EUAC), aproximativ o treime din tratate nu conțin dispoziții privind implementarea acordului amiabil privind eliminarea dublei impuneri, indiferent de termenele de prescripție prevăzute de legea română. Aproximativ un sfert din tratate nu prevăd un termen de formulare a solicitării de eliminare a dublei impuneri, iar aproximativ o zecime din </w:t>
      </w:r>
      <w:r w:rsidRPr="009F5C67">
        <w:rPr>
          <w:rFonts w:ascii="Arial" w:hAnsi="Arial" w:cs="Arial"/>
        </w:rPr>
        <w:lastRenderedPageBreak/>
        <w:t>tratate nu conțin posibilitatea celor două state de a discuta și alte cazuri decât cele care</w:t>
      </w:r>
      <w:r w:rsidR="00CC354F" w:rsidRPr="009F5C67">
        <w:rPr>
          <w:rFonts w:ascii="Arial" w:hAnsi="Arial" w:cs="Arial"/>
        </w:rPr>
        <w:t xml:space="preserve"> se</w:t>
      </w:r>
      <w:r w:rsidRPr="009F5C67">
        <w:rPr>
          <w:rFonts w:ascii="Arial" w:hAnsi="Arial" w:cs="Arial"/>
        </w:rPr>
        <w:t xml:space="preserve"> încadrează expres în tratat. </w:t>
      </w:r>
    </w:p>
    <w:p w14:paraId="109BC945" w14:textId="77777777" w:rsidR="00315E3A" w:rsidRPr="009F5C67" w:rsidRDefault="00315E3A" w:rsidP="00F00B53">
      <w:pPr>
        <w:spacing w:after="0" w:line="240" w:lineRule="auto"/>
        <w:rPr>
          <w:rFonts w:ascii="Arial" w:hAnsi="Arial" w:cs="Arial"/>
        </w:rPr>
      </w:pPr>
    </w:p>
    <w:p w14:paraId="4E19B8B8" w14:textId="43850461" w:rsidR="00F00B53" w:rsidRPr="009F5C67" w:rsidRDefault="00F00B53" w:rsidP="00F00B53">
      <w:pPr>
        <w:spacing w:after="0" w:line="240" w:lineRule="auto"/>
        <w:rPr>
          <w:rFonts w:ascii="Arial" w:hAnsi="Arial" w:cs="Arial"/>
        </w:rPr>
      </w:pPr>
      <w:r w:rsidRPr="009F5C67">
        <w:rPr>
          <w:rFonts w:ascii="Arial" w:hAnsi="Arial" w:cs="Arial"/>
        </w:rPr>
        <w:t xml:space="preserve">OCDE a mai constatat că România nu are un plan care să vizeze tratatele ce excedează Convenţiei multilaterale pentru implementarea în cadrul tratatelor fiscale a măsurilor legate de prevenirea erodării bazei impozabile şi a transferului profiturilor, deși și-a propus să rezolve aceste probleme prin semnarea și ratificarea ei, fapt care ar impune modificarea unui număr semnificativ din tratatele existente. </w:t>
      </w:r>
    </w:p>
    <w:p w14:paraId="6105CC70" w14:textId="77777777" w:rsidR="00315E3A" w:rsidRPr="009F5C67" w:rsidRDefault="00315E3A" w:rsidP="00F00B53">
      <w:pPr>
        <w:spacing w:after="0" w:line="240" w:lineRule="auto"/>
        <w:rPr>
          <w:rFonts w:ascii="Arial" w:hAnsi="Arial" w:cs="Arial"/>
        </w:rPr>
      </w:pPr>
    </w:p>
    <w:p w14:paraId="4BD05278" w14:textId="3680BE4D" w:rsidR="00F00B53" w:rsidRPr="009F5C67" w:rsidRDefault="00F00B53" w:rsidP="00F00B53">
      <w:pPr>
        <w:spacing w:after="0" w:line="240" w:lineRule="auto"/>
        <w:rPr>
          <w:rFonts w:ascii="Arial" w:hAnsi="Arial" w:cs="Arial"/>
        </w:rPr>
      </w:pPr>
      <w:r w:rsidRPr="009F5C67">
        <w:rPr>
          <w:rFonts w:ascii="Arial" w:hAnsi="Arial" w:cs="Arial"/>
        </w:rPr>
        <w:t>Mai important, OCDE subliniază că România nu îndeplinește un element major din „Acțiunea 14 Standarde Minime”, și anume prevenirea apariției disputelor, deoarece nu permite aplicarea acordurilor de preț în avans (APA) acelorași tranzacții efectuate, dar în perioadele anterioare, necuprinse în mod expres în APA emise.</w:t>
      </w:r>
    </w:p>
    <w:p w14:paraId="0411731B" w14:textId="77777777" w:rsidR="00315E3A" w:rsidRPr="009F5C67" w:rsidRDefault="00315E3A" w:rsidP="00F00B53">
      <w:pPr>
        <w:spacing w:after="0" w:line="240" w:lineRule="auto"/>
        <w:rPr>
          <w:rFonts w:ascii="Arial" w:hAnsi="Arial" w:cs="Arial"/>
        </w:rPr>
      </w:pPr>
    </w:p>
    <w:p w14:paraId="11F8A774" w14:textId="75115A2B" w:rsidR="00F00B53" w:rsidRPr="009F5C67" w:rsidRDefault="00F00B53" w:rsidP="00F00B53">
      <w:pPr>
        <w:spacing w:after="0" w:line="240" w:lineRule="auto"/>
        <w:rPr>
          <w:rFonts w:ascii="Arial" w:hAnsi="Arial" w:cs="Arial"/>
        </w:rPr>
      </w:pPr>
      <w:r w:rsidRPr="009F5C67">
        <w:rPr>
          <w:rFonts w:ascii="Arial" w:hAnsi="Arial" w:cs="Arial"/>
        </w:rPr>
        <w:t>Totodată, OCDE a reținut că, deși România permite accesul contribuabililor la procedura acordului amiabil privind eliminarea dublei impuneri, informațiile disponibile public cu privire la această procedură sunt foarte limitate, neexistând transparență cu privire la activitatea autorității române competente în această privință. Mai mult, OCDE semnalează că inclusiv „profilul României”</w:t>
      </w:r>
      <w:r w:rsidR="00CC354F" w:rsidRPr="009F5C67">
        <w:rPr>
          <w:rFonts w:ascii="Arial" w:hAnsi="Arial" w:cs="Arial"/>
        </w:rPr>
        <w:t>,</w:t>
      </w:r>
      <w:r w:rsidRPr="009F5C67">
        <w:rPr>
          <w:rFonts w:ascii="Arial" w:hAnsi="Arial" w:cs="Arial"/>
        </w:rPr>
        <w:t xml:space="preserve"> alcătuit pe baza informațiilor furnizate de aceasta nu corespunde politicii și practicilor efective ale autorității competente.</w:t>
      </w:r>
    </w:p>
    <w:p w14:paraId="4EEA7BA1" w14:textId="77777777" w:rsidR="00315E3A" w:rsidRPr="009F5C67" w:rsidRDefault="00315E3A" w:rsidP="00F00B53">
      <w:pPr>
        <w:spacing w:after="0" w:line="240" w:lineRule="auto"/>
        <w:rPr>
          <w:rFonts w:ascii="Arial" w:hAnsi="Arial" w:cs="Arial"/>
        </w:rPr>
      </w:pPr>
    </w:p>
    <w:p w14:paraId="0B3CC929" w14:textId="6EF21042" w:rsidR="00F00B53" w:rsidRPr="009F5C67" w:rsidRDefault="00F00B53" w:rsidP="00F00B53">
      <w:pPr>
        <w:spacing w:after="0" w:line="240" w:lineRule="auto"/>
        <w:rPr>
          <w:rFonts w:ascii="Arial" w:hAnsi="Arial" w:cs="Arial"/>
        </w:rPr>
      </w:pPr>
      <w:r w:rsidRPr="009F5C67">
        <w:rPr>
          <w:rFonts w:ascii="Arial" w:hAnsi="Arial" w:cs="Arial"/>
        </w:rPr>
        <w:t>Și, dacă privim la rapoartele publice, informațiile sunt contradictorii. Din informațiile furnizate de ANAF, în 2019 au fost finalizate trei proceduri amiabile, fiind în curs de derulare alte 61 de proceduri amiabile în diverse stadii de soluţionare, în scopul eliminării dublei impuneri. Mai mult, ANAF nu precizează potrivit căror prevederi au fost finalizate cele trei (EUAC sau tratate de evitare a dublei impuner</w:t>
      </w:r>
      <w:r w:rsidR="00CC354F" w:rsidRPr="009F5C67">
        <w:rPr>
          <w:rFonts w:ascii="Arial" w:hAnsi="Arial" w:cs="Arial"/>
        </w:rPr>
        <w:t>i</w:t>
      </w:r>
      <w:r w:rsidRPr="009F5C67">
        <w:rPr>
          <w:rFonts w:ascii="Arial" w:hAnsi="Arial" w:cs="Arial"/>
        </w:rPr>
        <w:t xml:space="preserve">). </w:t>
      </w:r>
    </w:p>
    <w:p w14:paraId="4C06B344" w14:textId="77777777" w:rsidR="00315E3A" w:rsidRPr="009F5C67" w:rsidRDefault="00315E3A" w:rsidP="00F00B53">
      <w:pPr>
        <w:spacing w:after="0" w:line="240" w:lineRule="auto"/>
        <w:rPr>
          <w:rFonts w:ascii="Arial" w:hAnsi="Arial" w:cs="Arial"/>
        </w:rPr>
      </w:pPr>
    </w:p>
    <w:p w14:paraId="35FDF054" w14:textId="381812F7" w:rsidR="00F00B53" w:rsidRPr="009F5C67" w:rsidRDefault="00F00B53" w:rsidP="00F00B53">
      <w:pPr>
        <w:spacing w:after="0" w:line="240" w:lineRule="auto"/>
        <w:rPr>
          <w:rFonts w:ascii="Arial" w:hAnsi="Arial" w:cs="Arial"/>
        </w:rPr>
      </w:pPr>
      <w:r w:rsidRPr="009F5C67">
        <w:rPr>
          <w:rFonts w:ascii="Arial" w:hAnsi="Arial" w:cs="Arial"/>
        </w:rPr>
        <w:t xml:space="preserve">În primul semestru al anului 2020, ANAF anunță ca fiind finalizate cinci proceduri amiabile, prin ”Notă de închidere a procedurii amiabile”, patru dintre ele în baza acordurilor sau convențiilor pentru evitarea/eliminarea dublei impuneri încheiate de România cu state membre UE și una în baza EUAC. Cu toate acestea, în </w:t>
      </w:r>
      <w:r w:rsidRPr="009F5C67">
        <w:rPr>
          <w:rFonts w:ascii="Arial" w:hAnsi="Arial" w:cs="Arial"/>
          <w:i/>
          <w:iCs/>
        </w:rPr>
        <w:t>Raportul de performanță privind întreg anul 2020</w:t>
      </w:r>
      <w:r w:rsidRPr="009F5C67">
        <w:rPr>
          <w:rFonts w:ascii="Arial" w:hAnsi="Arial" w:cs="Arial"/>
        </w:rPr>
        <w:t>, ANAF nu mai face vreo referire la procedurile amiabile, nici măcar la cele amintite în raportul privind semestrul I.</w:t>
      </w:r>
    </w:p>
    <w:p w14:paraId="0E9C70B7" w14:textId="77777777" w:rsidR="00315E3A" w:rsidRPr="009F5C67" w:rsidRDefault="00315E3A" w:rsidP="00F00B53">
      <w:pPr>
        <w:spacing w:after="0" w:line="240" w:lineRule="auto"/>
        <w:rPr>
          <w:rFonts w:ascii="Arial" w:hAnsi="Arial" w:cs="Arial"/>
        </w:rPr>
      </w:pPr>
    </w:p>
    <w:p w14:paraId="69F99676" w14:textId="229CCDEF" w:rsidR="00F00B53" w:rsidRPr="009F5C67" w:rsidRDefault="00F00B53" w:rsidP="00F00B53">
      <w:pPr>
        <w:spacing w:after="0" w:line="240" w:lineRule="auto"/>
        <w:rPr>
          <w:rFonts w:ascii="Arial" w:hAnsi="Arial" w:cs="Arial"/>
        </w:rPr>
      </w:pPr>
      <w:r w:rsidRPr="009F5C67">
        <w:rPr>
          <w:rFonts w:ascii="Arial" w:hAnsi="Arial" w:cs="Arial"/>
        </w:rPr>
        <w:t xml:space="preserve">La nivelul lui 2021, ANAF raportează pentru primele șase luni din an că „au fost soluționate opt cereri de inițiere a procedurii amiabile”. </w:t>
      </w:r>
    </w:p>
    <w:p w14:paraId="74951F2A" w14:textId="77777777" w:rsidR="00315E3A" w:rsidRPr="009F5C67" w:rsidRDefault="00315E3A" w:rsidP="00F00B53">
      <w:pPr>
        <w:spacing w:after="0" w:line="240" w:lineRule="auto"/>
        <w:rPr>
          <w:rFonts w:ascii="Arial" w:hAnsi="Arial" w:cs="Arial"/>
        </w:rPr>
      </w:pPr>
    </w:p>
    <w:p w14:paraId="270E25CE" w14:textId="334E5B55" w:rsidR="00F00B53" w:rsidRPr="009F5C67" w:rsidRDefault="00F00B53" w:rsidP="00F00B53">
      <w:pPr>
        <w:spacing w:after="0" w:line="240" w:lineRule="auto"/>
        <w:rPr>
          <w:rFonts w:ascii="Arial" w:hAnsi="Arial" w:cs="Arial"/>
        </w:rPr>
      </w:pPr>
      <w:r w:rsidRPr="009F5C67">
        <w:rPr>
          <w:rFonts w:ascii="Arial" w:hAnsi="Arial" w:cs="Arial"/>
        </w:rPr>
        <w:t>Or, dacă privim în ansamblu aceste informa</w:t>
      </w:r>
      <w:r w:rsidR="006C7BC2" w:rsidRPr="009F5C67">
        <w:rPr>
          <w:rFonts w:ascii="Arial" w:hAnsi="Arial" w:cs="Arial"/>
        </w:rPr>
        <w:t>ţ</w:t>
      </w:r>
      <w:r w:rsidRPr="009F5C67">
        <w:rPr>
          <w:rFonts w:ascii="Arial" w:hAnsi="Arial" w:cs="Arial"/>
        </w:rPr>
        <w:t>ii, am putea crede că asistăm la o schimbare de optică a autorității fiscale. Astfel, dacă inițial era implicată în proceduri amiabile pe care le și soluționa (chiar dacă nu cunoaștem cum), mai apoi a început să „închidă” aceste proceduri (deși not</w:t>
      </w:r>
      <w:r w:rsidR="002009C2" w:rsidRPr="009F5C67">
        <w:rPr>
          <w:rFonts w:ascii="Arial" w:hAnsi="Arial" w:cs="Arial"/>
        </w:rPr>
        <w:t>a</w:t>
      </w:r>
      <w:r w:rsidRPr="009F5C67">
        <w:rPr>
          <w:rFonts w:ascii="Arial" w:hAnsi="Arial" w:cs="Arial"/>
        </w:rPr>
        <w:t xml:space="preserve"> de închidere nu pare </w:t>
      </w:r>
      <w:r w:rsidR="002009C2" w:rsidRPr="009F5C67">
        <w:rPr>
          <w:rFonts w:ascii="Arial" w:hAnsi="Arial" w:cs="Arial"/>
        </w:rPr>
        <w:t>să</w:t>
      </w:r>
      <w:r w:rsidRPr="009F5C67">
        <w:rPr>
          <w:rFonts w:ascii="Arial" w:hAnsi="Arial" w:cs="Arial"/>
        </w:rPr>
        <w:t xml:space="preserve"> echival</w:t>
      </w:r>
      <w:r w:rsidR="002009C2" w:rsidRPr="009F5C67">
        <w:rPr>
          <w:rFonts w:ascii="Arial" w:hAnsi="Arial" w:cs="Arial"/>
        </w:rPr>
        <w:t>eze</w:t>
      </w:r>
      <w:r w:rsidRPr="009F5C67">
        <w:rPr>
          <w:rFonts w:ascii="Arial" w:hAnsi="Arial" w:cs="Arial"/>
        </w:rPr>
        <w:t xml:space="preserve"> cu o decizie sau acord de eliminare a dublei impuneri), pentru ca în prezent să pară că „soluționează” nu proceduri amiabile</w:t>
      </w:r>
      <w:r w:rsidR="006C7BC2" w:rsidRPr="009F5C67">
        <w:rPr>
          <w:rFonts w:ascii="Arial" w:hAnsi="Arial" w:cs="Arial"/>
        </w:rPr>
        <w:t>,</w:t>
      </w:r>
      <w:r w:rsidRPr="009F5C67">
        <w:rPr>
          <w:rFonts w:ascii="Arial" w:hAnsi="Arial" w:cs="Arial"/>
        </w:rPr>
        <w:t xml:space="preserve"> ci „cereri de inițiere a procedurilor amiabile”</w:t>
      </w:r>
      <w:r w:rsidR="006C7BC2" w:rsidRPr="009F5C67">
        <w:rPr>
          <w:rFonts w:ascii="Arial" w:hAnsi="Arial" w:cs="Arial"/>
        </w:rPr>
        <w:t>.</w:t>
      </w:r>
    </w:p>
    <w:p w14:paraId="0F973E10" w14:textId="77777777" w:rsidR="00315E3A" w:rsidRPr="009F5C67" w:rsidRDefault="00315E3A" w:rsidP="00F00B53">
      <w:pPr>
        <w:spacing w:after="0" w:line="240" w:lineRule="auto"/>
        <w:rPr>
          <w:rFonts w:ascii="Arial" w:hAnsi="Arial" w:cs="Arial"/>
        </w:rPr>
      </w:pPr>
    </w:p>
    <w:p w14:paraId="64CD09C1" w14:textId="45D9BC1C" w:rsidR="00F00B53" w:rsidRPr="009F5C67" w:rsidRDefault="00F00B53" w:rsidP="00F00B53">
      <w:pPr>
        <w:spacing w:after="0" w:line="240" w:lineRule="auto"/>
        <w:rPr>
          <w:rFonts w:ascii="Arial" w:hAnsi="Arial" w:cs="Arial"/>
        </w:rPr>
      </w:pPr>
      <w:r w:rsidRPr="009F5C67">
        <w:rPr>
          <w:rFonts w:ascii="Arial" w:hAnsi="Arial" w:cs="Arial"/>
        </w:rPr>
        <w:t>Toate aceste nu sunt decât aspecte ce ne îndreptățesc să credem că autoritățile mai au mult de lucru și de îndreptat până când aderarea chiar se va produce. Mai ales în condițiile în care procesul de aderare include o evaluare riguroasă și detaliat</w:t>
      </w:r>
      <w:r w:rsidR="002009C2" w:rsidRPr="009F5C67">
        <w:rPr>
          <w:rFonts w:ascii="Arial" w:hAnsi="Arial" w:cs="Arial"/>
        </w:rPr>
        <w:t>ă</w:t>
      </w:r>
      <w:r w:rsidRPr="009F5C67">
        <w:rPr>
          <w:rFonts w:ascii="Arial" w:hAnsi="Arial" w:cs="Arial"/>
        </w:rPr>
        <w:t xml:space="preserve"> din partea a mai mult de 20 de </w:t>
      </w:r>
      <w:r w:rsidRPr="009F5C67">
        <w:rPr>
          <w:rFonts w:ascii="Arial" w:hAnsi="Arial" w:cs="Arial"/>
        </w:rPr>
        <w:lastRenderedPageBreak/>
        <w:t>comitete tehnice (cel de fiscalitate fiind doar unul dintre acestea) a alinierii Rom</w:t>
      </w:r>
      <w:r w:rsidR="006C7BC2" w:rsidRPr="009F5C67">
        <w:rPr>
          <w:rFonts w:ascii="Arial" w:hAnsi="Arial" w:cs="Arial"/>
        </w:rPr>
        <w:t>â</w:t>
      </w:r>
      <w:r w:rsidRPr="009F5C67">
        <w:rPr>
          <w:rFonts w:ascii="Arial" w:hAnsi="Arial" w:cs="Arial"/>
        </w:rPr>
        <w:t>niei la standardele, politicile și practicile OCDE.</w:t>
      </w:r>
    </w:p>
    <w:p w14:paraId="6F144951" w14:textId="77777777" w:rsidR="00315E3A" w:rsidRPr="009F5C67" w:rsidRDefault="00315E3A" w:rsidP="00F00B53">
      <w:pPr>
        <w:spacing w:after="0" w:line="240" w:lineRule="auto"/>
        <w:rPr>
          <w:rFonts w:ascii="Arial" w:hAnsi="Arial" w:cs="Arial"/>
        </w:rPr>
      </w:pPr>
    </w:p>
    <w:p w14:paraId="28FC1A9D" w14:textId="285D43BE" w:rsidR="00F00B53" w:rsidRPr="009F5C67" w:rsidRDefault="00F00B53" w:rsidP="00F00B53">
      <w:pPr>
        <w:spacing w:after="0" w:line="240" w:lineRule="auto"/>
        <w:rPr>
          <w:rFonts w:ascii="Arial" w:hAnsi="Arial" w:cs="Arial"/>
        </w:rPr>
      </w:pPr>
      <w:r w:rsidRPr="009F5C67">
        <w:rPr>
          <w:rFonts w:ascii="Arial" w:hAnsi="Arial" w:cs="Arial"/>
        </w:rPr>
        <w:t>Ca rezultat al acestor revizii tehnice și înainte de orice invita</w:t>
      </w:r>
      <w:r w:rsidR="006C7BC2" w:rsidRPr="009F5C67">
        <w:rPr>
          <w:rFonts w:ascii="Arial" w:hAnsi="Arial" w:cs="Arial"/>
        </w:rPr>
        <w:t>ţ</w:t>
      </w:r>
      <w:r w:rsidRPr="009F5C67">
        <w:rPr>
          <w:rFonts w:ascii="Arial" w:hAnsi="Arial" w:cs="Arial"/>
        </w:rPr>
        <w:t>ie de a deveni membru în organizație, vor trebui implementate schimb</w:t>
      </w:r>
      <w:r w:rsidR="006C7BC2" w:rsidRPr="009F5C67">
        <w:rPr>
          <w:rFonts w:ascii="Arial" w:hAnsi="Arial" w:cs="Arial"/>
        </w:rPr>
        <w:t>ă</w:t>
      </w:r>
      <w:r w:rsidRPr="009F5C67">
        <w:rPr>
          <w:rFonts w:ascii="Arial" w:hAnsi="Arial" w:cs="Arial"/>
        </w:rPr>
        <w:t xml:space="preserve">ri în legislație și în practicile autorităților pentru a </w:t>
      </w:r>
      <w:r w:rsidR="006C7BC2" w:rsidRPr="009F5C67">
        <w:rPr>
          <w:rFonts w:ascii="Arial" w:hAnsi="Arial" w:cs="Arial"/>
        </w:rPr>
        <w:t>î</w:t>
      </w:r>
      <w:r w:rsidRPr="009F5C67">
        <w:rPr>
          <w:rFonts w:ascii="Arial" w:hAnsi="Arial" w:cs="Arial"/>
        </w:rPr>
        <w:t>ndeplini standardele OCDE, care ar putea reprezenta un catalizator puternic pentru reforme importante.</w:t>
      </w:r>
    </w:p>
    <w:p w14:paraId="588A2C21" w14:textId="77777777" w:rsidR="00315E3A" w:rsidRPr="009F5C67" w:rsidRDefault="00315E3A" w:rsidP="00F00B53">
      <w:pPr>
        <w:spacing w:after="0" w:line="240" w:lineRule="auto"/>
        <w:rPr>
          <w:rFonts w:ascii="Arial" w:hAnsi="Arial" w:cs="Arial"/>
        </w:rPr>
      </w:pPr>
    </w:p>
    <w:p w14:paraId="6A95C948" w14:textId="4D1269EB" w:rsidR="00F00B53" w:rsidRPr="009F5C67" w:rsidRDefault="00F00B53" w:rsidP="00F00B53">
      <w:pPr>
        <w:spacing w:after="0" w:line="240" w:lineRule="auto"/>
        <w:rPr>
          <w:rFonts w:ascii="Arial" w:hAnsi="Arial" w:cs="Arial"/>
        </w:rPr>
      </w:pPr>
      <w:r w:rsidRPr="009F5C67">
        <w:rPr>
          <w:rFonts w:ascii="Arial" w:hAnsi="Arial" w:cs="Arial"/>
        </w:rPr>
        <w:t>Nu există un termen limită pentru finalizarea procesului de aderare, însă nu este de ignorat faptul că sunt și alte țări în competiție și ratarea acestui val de aderare poate împinge șansa României într-un viitor îndepărtat. Rezultatul și durata procesului depind de abilitatea Rom</w:t>
      </w:r>
      <w:r w:rsidR="006C7BC2" w:rsidRPr="009F5C67">
        <w:rPr>
          <w:rFonts w:ascii="Arial" w:hAnsi="Arial" w:cs="Arial"/>
        </w:rPr>
        <w:t>â</w:t>
      </w:r>
      <w:r w:rsidRPr="009F5C67">
        <w:rPr>
          <w:rFonts w:ascii="Arial" w:hAnsi="Arial" w:cs="Arial"/>
        </w:rPr>
        <w:t xml:space="preserve">niei de a se adapta </w:t>
      </w:r>
      <w:r w:rsidR="006C7BC2" w:rsidRPr="009F5C67">
        <w:rPr>
          <w:rFonts w:ascii="Arial" w:hAnsi="Arial" w:cs="Arial"/>
        </w:rPr>
        <w:t>ş</w:t>
      </w:r>
      <w:r w:rsidRPr="009F5C67">
        <w:rPr>
          <w:rFonts w:ascii="Arial" w:hAnsi="Arial" w:cs="Arial"/>
        </w:rPr>
        <w:t>i alinia cu standardele OCDE și a adopta cele mai bune practici ale organizației. Și</w:t>
      </w:r>
      <w:r w:rsidR="002009C2" w:rsidRPr="009F5C67">
        <w:rPr>
          <w:rFonts w:ascii="Arial" w:hAnsi="Arial" w:cs="Arial"/>
        </w:rPr>
        <w:t>,</w:t>
      </w:r>
      <w:r w:rsidRPr="009F5C67">
        <w:rPr>
          <w:rFonts w:ascii="Arial" w:hAnsi="Arial" w:cs="Arial"/>
        </w:rPr>
        <w:t xml:space="preserve"> cum fiscalitatea este domeniul unuia din cele peste 20 de comitete, am putea începe cu eliminarea efectivă a dublei impuneri.</w:t>
      </w:r>
    </w:p>
    <w:p w14:paraId="0F57BD9B" w14:textId="77777777" w:rsidR="00F00B53" w:rsidRPr="009F5C67" w:rsidRDefault="00F00B53" w:rsidP="00F00B53">
      <w:pPr>
        <w:spacing w:after="0" w:line="240" w:lineRule="auto"/>
        <w:jc w:val="both"/>
        <w:rPr>
          <w:rFonts w:ascii="Arial" w:hAnsi="Arial" w:cs="Arial"/>
          <w:i/>
          <w:iCs/>
        </w:rPr>
      </w:pPr>
    </w:p>
    <w:p w14:paraId="227F1AA1" w14:textId="77777777" w:rsidR="00FF62C6" w:rsidRPr="009F5C67" w:rsidRDefault="00FF62C6" w:rsidP="00CA05AF">
      <w:pPr>
        <w:spacing w:after="0" w:line="240" w:lineRule="auto"/>
        <w:jc w:val="both"/>
        <w:rPr>
          <w:rFonts w:ascii="Arial" w:hAnsi="Arial" w:cs="Arial"/>
          <w:i/>
          <w:iCs/>
        </w:rPr>
      </w:pPr>
    </w:p>
    <w:p w14:paraId="5E191FEF" w14:textId="04EB0EEF" w:rsidR="00756176" w:rsidRPr="009F5C67" w:rsidRDefault="00756176" w:rsidP="00877579">
      <w:pPr>
        <w:spacing w:after="0" w:line="240" w:lineRule="auto"/>
        <w:jc w:val="both"/>
        <w:rPr>
          <w:rFonts w:ascii="Arial" w:hAnsi="Arial" w:cs="Arial"/>
        </w:rPr>
      </w:pPr>
    </w:p>
    <w:p w14:paraId="250FC64A" w14:textId="5027031C" w:rsidR="00D5580B" w:rsidRPr="009F5C67" w:rsidRDefault="00D5580B" w:rsidP="00A3599C">
      <w:pPr>
        <w:spacing w:after="0" w:line="240" w:lineRule="auto"/>
        <w:rPr>
          <w:rFonts w:ascii="Arial" w:hAnsi="Arial" w:cs="Arial"/>
          <w:color w:val="242424"/>
          <w:sz w:val="18"/>
          <w:szCs w:val="18"/>
          <w:shd w:val="clear" w:color="auto" w:fill="FFFFFF"/>
        </w:rPr>
      </w:pPr>
      <w:r w:rsidRPr="009F5C67">
        <w:rPr>
          <w:rFonts w:ascii="Arial" w:hAnsi="Arial" w:cs="Arial"/>
          <w:color w:val="242424"/>
          <w:sz w:val="18"/>
          <w:szCs w:val="18"/>
          <w:shd w:val="clear" w:color="auto" w:fill="FFFFFF"/>
        </w:rPr>
        <w:t>***</w:t>
      </w:r>
    </w:p>
    <w:p w14:paraId="63E7A13E" w14:textId="77777777" w:rsidR="001454E9" w:rsidRPr="009F5C67" w:rsidRDefault="001454E9" w:rsidP="00FC362E">
      <w:pPr>
        <w:pStyle w:val="EYNormal"/>
        <w:rPr>
          <w:rFonts w:eastAsiaTheme="minorHAnsi" w:cs="Arial"/>
          <w:b/>
          <w:bCs/>
          <w:sz w:val="18"/>
          <w:szCs w:val="18"/>
        </w:rPr>
      </w:pPr>
      <w:r w:rsidRPr="009F5C67">
        <w:rPr>
          <w:rFonts w:eastAsiaTheme="minorHAnsi" w:cs="Arial"/>
          <w:b/>
          <w:bCs/>
          <w:sz w:val="18"/>
          <w:szCs w:val="18"/>
        </w:rPr>
        <w:t>Despre EY România</w:t>
      </w:r>
    </w:p>
    <w:p w14:paraId="4821C4BA" w14:textId="4DA77B74" w:rsidR="001454E9" w:rsidRPr="009F5C67" w:rsidRDefault="001454E9" w:rsidP="00FC362E">
      <w:pPr>
        <w:pStyle w:val="EYNormal"/>
        <w:rPr>
          <w:rFonts w:eastAsiaTheme="minorHAnsi" w:cs="Arial"/>
          <w:sz w:val="18"/>
          <w:szCs w:val="18"/>
          <w:u w:val="single"/>
        </w:rPr>
      </w:pPr>
      <w:r w:rsidRPr="009F5C67">
        <w:rPr>
          <w:rFonts w:eastAsiaTheme="minorHAnsi" w:cs="Arial"/>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9F5C67">
        <w:rPr>
          <w:rFonts w:eastAsiaTheme="minorHAnsi" w:cs="Arial"/>
          <w:sz w:val="18"/>
          <w:szCs w:val="18"/>
        </w:rPr>
        <w:t>lor</w:t>
      </w:r>
      <w:r w:rsidRPr="009F5C67">
        <w:rPr>
          <w:rFonts w:eastAsiaTheme="minorHAnsi" w:cs="Arial"/>
          <w:sz w:val="18"/>
          <w:szCs w:val="18"/>
        </w:rPr>
        <w:t xml:space="preserve"> este cea mai integrată la nivel global, iar resursele din cadrul acesteia </w:t>
      </w:r>
      <w:r w:rsidR="00730A3C" w:rsidRPr="009F5C67">
        <w:rPr>
          <w:rFonts w:eastAsiaTheme="minorHAnsi" w:cs="Arial"/>
          <w:sz w:val="18"/>
          <w:szCs w:val="18"/>
        </w:rPr>
        <w:t>îi</w:t>
      </w:r>
      <w:r w:rsidRPr="009F5C67">
        <w:rPr>
          <w:rFonts w:eastAsiaTheme="minorHAnsi" w:cs="Arial"/>
          <w:sz w:val="18"/>
          <w:szCs w:val="18"/>
        </w:rPr>
        <w:t xml:space="preserve"> ajută să le ofer</w:t>
      </w:r>
      <w:r w:rsidR="00730A3C" w:rsidRPr="009F5C67">
        <w:rPr>
          <w:rFonts w:eastAsiaTheme="minorHAnsi" w:cs="Arial"/>
          <w:sz w:val="18"/>
          <w:szCs w:val="18"/>
        </w:rPr>
        <w:t>e</w:t>
      </w:r>
      <w:r w:rsidRPr="009F5C67">
        <w:rPr>
          <w:rFonts w:eastAsiaTheme="minorHAnsi" w:cs="Arial"/>
          <w:sz w:val="18"/>
          <w:szCs w:val="18"/>
        </w:rPr>
        <w:t xml:space="preserve"> clienților servicii prin care să beneficieze de oportunitățile din întreaga lume.</w:t>
      </w:r>
      <w:r w:rsidRPr="009F5C67">
        <w:rPr>
          <w:rFonts w:eastAsiaTheme="minorHAnsi" w:cs="Arial"/>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9F5C67">
        <w:rPr>
          <w:rFonts w:eastAsiaTheme="minorHAnsi" w:cs="Arial"/>
          <w:sz w:val="18"/>
          <w:szCs w:val="18"/>
        </w:rPr>
        <w:t>u</w:t>
      </w:r>
      <w:r w:rsidRPr="009F5C67">
        <w:rPr>
          <w:rFonts w:eastAsiaTheme="minorHAnsi" w:cs="Arial"/>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w:t>
      </w:r>
      <w:proofErr w:type="spellStart"/>
      <w:r w:rsidRPr="009F5C67">
        <w:rPr>
          <w:rFonts w:eastAsiaTheme="minorHAnsi" w:cs="Arial"/>
          <w:sz w:val="18"/>
          <w:szCs w:val="18"/>
        </w:rPr>
        <w:t>Year</w:t>
      </w:r>
      <w:proofErr w:type="spellEnd"/>
      <w:r w:rsidR="002D3375" w:rsidRPr="009F5C67">
        <w:rPr>
          <w:rFonts w:eastAsiaTheme="minorHAnsi" w:cs="Arial"/>
          <w:sz w:val="18"/>
          <w:szCs w:val="18"/>
        </w:rPr>
        <w:t>.</w:t>
      </w:r>
      <w:r w:rsidR="002D3375" w:rsidRPr="009F5C67">
        <w:rPr>
          <w:rFonts w:eastAsiaTheme="minorHAnsi" w:cs="Arial"/>
          <w:sz w:val="18"/>
          <w:szCs w:val="18"/>
          <w:u w:val="single"/>
        </w:rPr>
        <w:t xml:space="preserve"> </w:t>
      </w:r>
    </w:p>
    <w:p w14:paraId="0C3B8EF2" w14:textId="77777777" w:rsidR="001454E9" w:rsidRPr="009F5C67" w:rsidRDefault="001454E9" w:rsidP="00FC362E">
      <w:pPr>
        <w:pStyle w:val="NormalWeb"/>
        <w:shd w:val="clear" w:color="auto" w:fill="FFFFFF"/>
        <w:spacing w:before="0" w:beforeAutospacing="0" w:after="0" w:afterAutospacing="0"/>
        <w:rPr>
          <w:rFonts w:ascii="Arial" w:hAnsi="Arial" w:cs="Arial"/>
          <w:sz w:val="18"/>
          <w:szCs w:val="18"/>
          <w:lang w:val="ro-RO"/>
        </w:rPr>
      </w:pPr>
    </w:p>
    <w:p w14:paraId="07CA51B0" w14:textId="77777777" w:rsidR="009C0341" w:rsidRPr="009F5C67" w:rsidRDefault="009C0341" w:rsidP="00FC362E">
      <w:pPr>
        <w:pStyle w:val="NormalWeb"/>
        <w:shd w:val="clear" w:color="auto" w:fill="FFFFFF"/>
        <w:spacing w:before="0" w:beforeAutospacing="0" w:after="0" w:afterAutospacing="0"/>
        <w:rPr>
          <w:rFonts w:ascii="Arial" w:hAnsi="Arial" w:cs="Arial"/>
          <w:sz w:val="22"/>
          <w:szCs w:val="22"/>
          <w:lang w:val="ro-RO"/>
        </w:rPr>
      </w:pPr>
    </w:p>
    <w:p w14:paraId="00AE37EB" w14:textId="5DA0F3B2" w:rsidR="00205FE1" w:rsidRPr="009F5C67" w:rsidRDefault="00205FE1" w:rsidP="00FC362E">
      <w:pPr>
        <w:spacing w:after="0" w:line="240" w:lineRule="auto"/>
        <w:rPr>
          <w:rFonts w:ascii="Arial" w:hAnsi="Arial" w:cs="Arial"/>
        </w:rPr>
      </w:pPr>
    </w:p>
    <w:sectPr w:rsidR="00205FE1" w:rsidRPr="009F5C67" w:rsidSect="000A468F">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0394" w14:textId="77777777" w:rsidR="00C32BC8" w:rsidRDefault="00C32BC8" w:rsidP="00B8226C">
      <w:pPr>
        <w:spacing w:after="0" w:line="240" w:lineRule="auto"/>
      </w:pPr>
      <w:r>
        <w:separator/>
      </w:r>
    </w:p>
  </w:endnote>
  <w:endnote w:type="continuationSeparator" w:id="0">
    <w:p w14:paraId="3A9761D5" w14:textId="77777777" w:rsidR="00C32BC8" w:rsidRDefault="00C32BC8"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D92DC7">
          <w:rPr>
            <w:noProof/>
          </w:rPr>
          <w:t>3</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1D3A" w14:textId="77777777" w:rsidR="00C32BC8" w:rsidRDefault="00C32BC8" w:rsidP="00B8226C">
      <w:pPr>
        <w:spacing w:after="0" w:line="240" w:lineRule="auto"/>
      </w:pPr>
      <w:r>
        <w:separator/>
      </w:r>
    </w:p>
  </w:footnote>
  <w:footnote w:type="continuationSeparator" w:id="0">
    <w:p w14:paraId="5FE33CC7" w14:textId="77777777" w:rsidR="00C32BC8" w:rsidRDefault="00C32BC8"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10933"/>
    <w:rsid w:val="00023A0B"/>
    <w:rsid w:val="000272BC"/>
    <w:rsid w:val="00027376"/>
    <w:rsid w:val="00033325"/>
    <w:rsid w:val="000344F4"/>
    <w:rsid w:val="0003689D"/>
    <w:rsid w:val="00037E06"/>
    <w:rsid w:val="00045BAF"/>
    <w:rsid w:val="00053D09"/>
    <w:rsid w:val="00055F45"/>
    <w:rsid w:val="000578B9"/>
    <w:rsid w:val="00057ED5"/>
    <w:rsid w:val="00062951"/>
    <w:rsid w:val="00063081"/>
    <w:rsid w:val="0006450C"/>
    <w:rsid w:val="00072845"/>
    <w:rsid w:val="00076D9F"/>
    <w:rsid w:val="00084FEC"/>
    <w:rsid w:val="000A13B2"/>
    <w:rsid w:val="000A14B7"/>
    <w:rsid w:val="000A227C"/>
    <w:rsid w:val="000A405B"/>
    <w:rsid w:val="000A468F"/>
    <w:rsid w:val="000A4694"/>
    <w:rsid w:val="000A52E0"/>
    <w:rsid w:val="000A7A8B"/>
    <w:rsid w:val="000B16F7"/>
    <w:rsid w:val="000B2B1F"/>
    <w:rsid w:val="000C483E"/>
    <w:rsid w:val="000C4CBE"/>
    <w:rsid w:val="000C5BDB"/>
    <w:rsid w:val="000C5DFB"/>
    <w:rsid w:val="000C6EB2"/>
    <w:rsid w:val="000D118E"/>
    <w:rsid w:val="000D216E"/>
    <w:rsid w:val="000D5B33"/>
    <w:rsid w:val="000E2FC4"/>
    <w:rsid w:val="000E7C3D"/>
    <w:rsid w:val="000E7FF2"/>
    <w:rsid w:val="000F511E"/>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54E9"/>
    <w:rsid w:val="00145739"/>
    <w:rsid w:val="0015682F"/>
    <w:rsid w:val="0016586E"/>
    <w:rsid w:val="0016595D"/>
    <w:rsid w:val="00165E14"/>
    <w:rsid w:val="00167B21"/>
    <w:rsid w:val="00172791"/>
    <w:rsid w:val="001756D9"/>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D25D1"/>
    <w:rsid w:val="001D4D20"/>
    <w:rsid w:val="001D7192"/>
    <w:rsid w:val="001E4938"/>
    <w:rsid w:val="001E75F8"/>
    <w:rsid w:val="001F63BD"/>
    <w:rsid w:val="00200099"/>
    <w:rsid w:val="002009C2"/>
    <w:rsid w:val="00201C15"/>
    <w:rsid w:val="00204A02"/>
    <w:rsid w:val="00205FE1"/>
    <w:rsid w:val="0021526E"/>
    <w:rsid w:val="002162CF"/>
    <w:rsid w:val="00217212"/>
    <w:rsid w:val="00217AF9"/>
    <w:rsid w:val="00217FF5"/>
    <w:rsid w:val="00220637"/>
    <w:rsid w:val="002275E2"/>
    <w:rsid w:val="00240BF3"/>
    <w:rsid w:val="00243927"/>
    <w:rsid w:val="0024430E"/>
    <w:rsid w:val="00247BD7"/>
    <w:rsid w:val="00250C64"/>
    <w:rsid w:val="00251293"/>
    <w:rsid w:val="002535DF"/>
    <w:rsid w:val="0026670E"/>
    <w:rsid w:val="00266710"/>
    <w:rsid w:val="0027040B"/>
    <w:rsid w:val="00272036"/>
    <w:rsid w:val="00281BA5"/>
    <w:rsid w:val="002827C5"/>
    <w:rsid w:val="00284AD0"/>
    <w:rsid w:val="002878C0"/>
    <w:rsid w:val="0029352F"/>
    <w:rsid w:val="00294B83"/>
    <w:rsid w:val="00296658"/>
    <w:rsid w:val="00297A37"/>
    <w:rsid w:val="002A3864"/>
    <w:rsid w:val="002A6702"/>
    <w:rsid w:val="002A7DDE"/>
    <w:rsid w:val="002B3604"/>
    <w:rsid w:val="002C20CB"/>
    <w:rsid w:val="002C2168"/>
    <w:rsid w:val="002C27F3"/>
    <w:rsid w:val="002C4BBB"/>
    <w:rsid w:val="002D0BBE"/>
    <w:rsid w:val="002D2A42"/>
    <w:rsid w:val="002D3375"/>
    <w:rsid w:val="002D639D"/>
    <w:rsid w:val="002D6815"/>
    <w:rsid w:val="002E002B"/>
    <w:rsid w:val="002E204F"/>
    <w:rsid w:val="002E250F"/>
    <w:rsid w:val="002F3801"/>
    <w:rsid w:val="002F51B4"/>
    <w:rsid w:val="002F780C"/>
    <w:rsid w:val="00302CFE"/>
    <w:rsid w:val="00305CBB"/>
    <w:rsid w:val="00305EFE"/>
    <w:rsid w:val="003138E5"/>
    <w:rsid w:val="00315E3A"/>
    <w:rsid w:val="00317549"/>
    <w:rsid w:val="0032391D"/>
    <w:rsid w:val="00323B40"/>
    <w:rsid w:val="00323FD4"/>
    <w:rsid w:val="00325C0B"/>
    <w:rsid w:val="00326C9F"/>
    <w:rsid w:val="0033122E"/>
    <w:rsid w:val="00337DA9"/>
    <w:rsid w:val="0034482A"/>
    <w:rsid w:val="0034635D"/>
    <w:rsid w:val="00351CF1"/>
    <w:rsid w:val="00353445"/>
    <w:rsid w:val="00355DDD"/>
    <w:rsid w:val="003610B6"/>
    <w:rsid w:val="0036460E"/>
    <w:rsid w:val="0037268C"/>
    <w:rsid w:val="003730FF"/>
    <w:rsid w:val="00373E97"/>
    <w:rsid w:val="00374A04"/>
    <w:rsid w:val="00381F81"/>
    <w:rsid w:val="00394700"/>
    <w:rsid w:val="003A2CE6"/>
    <w:rsid w:val="003A2FF9"/>
    <w:rsid w:val="003A4BDA"/>
    <w:rsid w:val="003A6E46"/>
    <w:rsid w:val="003A7C84"/>
    <w:rsid w:val="003B0856"/>
    <w:rsid w:val="003B1AC2"/>
    <w:rsid w:val="003B1B11"/>
    <w:rsid w:val="003B25CE"/>
    <w:rsid w:val="003B7B3B"/>
    <w:rsid w:val="003C0AF9"/>
    <w:rsid w:val="003C2FD4"/>
    <w:rsid w:val="003D4282"/>
    <w:rsid w:val="003E0497"/>
    <w:rsid w:val="003E3573"/>
    <w:rsid w:val="003F0C74"/>
    <w:rsid w:val="003F24E2"/>
    <w:rsid w:val="003F2E0E"/>
    <w:rsid w:val="003F3E4C"/>
    <w:rsid w:val="003F45B4"/>
    <w:rsid w:val="003F7ACC"/>
    <w:rsid w:val="00400E6C"/>
    <w:rsid w:val="00402E72"/>
    <w:rsid w:val="00412BE9"/>
    <w:rsid w:val="004134E1"/>
    <w:rsid w:val="00432D75"/>
    <w:rsid w:val="0043541D"/>
    <w:rsid w:val="004373A3"/>
    <w:rsid w:val="004379B1"/>
    <w:rsid w:val="00445096"/>
    <w:rsid w:val="00445F8D"/>
    <w:rsid w:val="00447140"/>
    <w:rsid w:val="004530CB"/>
    <w:rsid w:val="00457394"/>
    <w:rsid w:val="0046146A"/>
    <w:rsid w:val="0046375E"/>
    <w:rsid w:val="00466016"/>
    <w:rsid w:val="00471DB7"/>
    <w:rsid w:val="00472541"/>
    <w:rsid w:val="004807BA"/>
    <w:rsid w:val="0048150C"/>
    <w:rsid w:val="00483495"/>
    <w:rsid w:val="00484A3D"/>
    <w:rsid w:val="0048507B"/>
    <w:rsid w:val="0048734B"/>
    <w:rsid w:val="00487B80"/>
    <w:rsid w:val="00487F99"/>
    <w:rsid w:val="004901BC"/>
    <w:rsid w:val="0049152B"/>
    <w:rsid w:val="00494E59"/>
    <w:rsid w:val="004A4AB4"/>
    <w:rsid w:val="004A4F53"/>
    <w:rsid w:val="004A539E"/>
    <w:rsid w:val="004A54EC"/>
    <w:rsid w:val="004B41A7"/>
    <w:rsid w:val="004B4EF4"/>
    <w:rsid w:val="004B7912"/>
    <w:rsid w:val="004C17AA"/>
    <w:rsid w:val="004C2A89"/>
    <w:rsid w:val="004C3480"/>
    <w:rsid w:val="004D1866"/>
    <w:rsid w:val="004D4590"/>
    <w:rsid w:val="004D60AA"/>
    <w:rsid w:val="004E0D49"/>
    <w:rsid w:val="004E1B75"/>
    <w:rsid w:val="004E6748"/>
    <w:rsid w:val="004F0A8F"/>
    <w:rsid w:val="004F3D70"/>
    <w:rsid w:val="004F627C"/>
    <w:rsid w:val="004F647C"/>
    <w:rsid w:val="004F6BF2"/>
    <w:rsid w:val="00502417"/>
    <w:rsid w:val="005063CC"/>
    <w:rsid w:val="0051077A"/>
    <w:rsid w:val="0051081D"/>
    <w:rsid w:val="00510827"/>
    <w:rsid w:val="0051263A"/>
    <w:rsid w:val="00517C27"/>
    <w:rsid w:val="00523017"/>
    <w:rsid w:val="00525D05"/>
    <w:rsid w:val="0052649E"/>
    <w:rsid w:val="00535012"/>
    <w:rsid w:val="00541A28"/>
    <w:rsid w:val="00543DE7"/>
    <w:rsid w:val="00546FBE"/>
    <w:rsid w:val="00552DC0"/>
    <w:rsid w:val="00561A11"/>
    <w:rsid w:val="00563D86"/>
    <w:rsid w:val="00564434"/>
    <w:rsid w:val="005752E2"/>
    <w:rsid w:val="00581410"/>
    <w:rsid w:val="00581ADA"/>
    <w:rsid w:val="005944DA"/>
    <w:rsid w:val="0059582D"/>
    <w:rsid w:val="00595DE0"/>
    <w:rsid w:val="00596ABD"/>
    <w:rsid w:val="005A1F4F"/>
    <w:rsid w:val="005A2578"/>
    <w:rsid w:val="005A4D44"/>
    <w:rsid w:val="005A5448"/>
    <w:rsid w:val="005B367C"/>
    <w:rsid w:val="005B65F6"/>
    <w:rsid w:val="005C0984"/>
    <w:rsid w:val="005C31EA"/>
    <w:rsid w:val="005C4254"/>
    <w:rsid w:val="005C430F"/>
    <w:rsid w:val="005D598A"/>
    <w:rsid w:val="005D5CAD"/>
    <w:rsid w:val="005D5CBC"/>
    <w:rsid w:val="005D74DA"/>
    <w:rsid w:val="005E103B"/>
    <w:rsid w:val="005E4125"/>
    <w:rsid w:val="005E70B1"/>
    <w:rsid w:val="005E77AB"/>
    <w:rsid w:val="005F022A"/>
    <w:rsid w:val="005F2FD7"/>
    <w:rsid w:val="005F6862"/>
    <w:rsid w:val="0061078F"/>
    <w:rsid w:val="00614DAB"/>
    <w:rsid w:val="00615C15"/>
    <w:rsid w:val="00616DD2"/>
    <w:rsid w:val="00616F07"/>
    <w:rsid w:val="006213F5"/>
    <w:rsid w:val="00624337"/>
    <w:rsid w:val="00626AA3"/>
    <w:rsid w:val="00632C07"/>
    <w:rsid w:val="00633DD1"/>
    <w:rsid w:val="00635451"/>
    <w:rsid w:val="006371C7"/>
    <w:rsid w:val="00640ABB"/>
    <w:rsid w:val="006410E6"/>
    <w:rsid w:val="00642B86"/>
    <w:rsid w:val="00646C60"/>
    <w:rsid w:val="00657073"/>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C7BC2"/>
    <w:rsid w:val="006D0486"/>
    <w:rsid w:val="006D0C65"/>
    <w:rsid w:val="006D174B"/>
    <w:rsid w:val="006D2C99"/>
    <w:rsid w:val="006D3E75"/>
    <w:rsid w:val="006D55DD"/>
    <w:rsid w:val="006E0AF3"/>
    <w:rsid w:val="006E156A"/>
    <w:rsid w:val="006E1BF8"/>
    <w:rsid w:val="006E283C"/>
    <w:rsid w:val="006E4851"/>
    <w:rsid w:val="006E609E"/>
    <w:rsid w:val="006E70C5"/>
    <w:rsid w:val="006F0076"/>
    <w:rsid w:val="006F1272"/>
    <w:rsid w:val="006F2B98"/>
    <w:rsid w:val="006F3316"/>
    <w:rsid w:val="006F4A8C"/>
    <w:rsid w:val="006F54EA"/>
    <w:rsid w:val="007036CA"/>
    <w:rsid w:val="00703A02"/>
    <w:rsid w:val="00703D3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36B61"/>
    <w:rsid w:val="007413E7"/>
    <w:rsid w:val="0074331D"/>
    <w:rsid w:val="00746369"/>
    <w:rsid w:val="00752223"/>
    <w:rsid w:val="007530FA"/>
    <w:rsid w:val="00753988"/>
    <w:rsid w:val="00756176"/>
    <w:rsid w:val="00757B23"/>
    <w:rsid w:val="00761F36"/>
    <w:rsid w:val="00766C8E"/>
    <w:rsid w:val="00771E7A"/>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4518"/>
    <w:rsid w:val="007F2DD9"/>
    <w:rsid w:val="00802744"/>
    <w:rsid w:val="00805138"/>
    <w:rsid w:val="00807E6B"/>
    <w:rsid w:val="0081612E"/>
    <w:rsid w:val="00823FD0"/>
    <w:rsid w:val="0082432F"/>
    <w:rsid w:val="00825DA0"/>
    <w:rsid w:val="0082781C"/>
    <w:rsid w:val="00827B09"/>
    <w:rsid w:val="008364BF"/>
    <w:rsid w:val="00842F10"/>
    <w:rsid w:val="00845C53"/>
    <w:rsid w:val="008469FC"/>
    <w:rsid w:val="0085094D"/>
    <w:rsid w:val="00855C51"/>
    <w:rsid w:val="008566D0"/>
    <w:rsid w:val="0085682A"/>
    <w:rsid w:val="00865D2B"/>
    <w:rsid w:val="0086619D"/>
    <w:rsid w:val="00867770"/>
    <w:rsid w:val="00873ED9"/>
    <w:rsid w:val="00874EF9"/>
    <w:rsid w:val="0087537C"/>
    <w:rsid w:val="00877579"/>
    <w:rsid w:val="00891C1F"/>
    <w:rsid w:val="00893A33"/>
    <w:rsid w:val="00896378"/>
    <w:rsid w:val="00897112"/>
    <w:rsid w:val="008A2557"/>
    <w:rsid w:val="008A2B6A"/>
    <w:rsid w:val="008B4277"/>
    <w:rsid w:val="008B4B39"/>
    <w:rsid w:val="008B74DA"/>
    <w:rsid w:val="008C10CA"/>
    <w:rsid w:val="008C175F"/>
    <w:rsid w:val="008C382C"/>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AD5"/>
    <w:rsid w:val="009325D7"/>
    <w:rsid w:val="009342F5"/>
    <w:rsid w:val="009359CE"/>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B4452"/>
    <w:rsid w:val="009B687B"/>
    <w:rsid w:val="009C0341"/>
    <w:rsid w:val="009C2213"/>
    <w:rsid w:val="009C5539"/>
    <w:rsid w:val="009D12E3"/>
    <w:rsid w:val="009D1BE7"/>
    <w:rsid w:val="009D514B"/>
    <w:rsid w:val="009D647B"/>
    <w:rsid w:val="009D7258"/>
    <w:rsid w:val="009E4AA3"/>
    <w:rsid w:val="009F19CC"/>
    <w:rsid w:val="009F20E1"/>
    <w:rsid w:val="009F3462"/>
    <w:rsid w:val="009F5C67"/>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3599C"/>
    <w:rsid w:val="00A41208"/>
    <w:rsid w:val="00A45E5F"/>
    <w:rsid w:val="00A500AA"/>
    <w:rsid w:val="00A53338"/>
    <w:rsid w:val="00A5378C"/>
    <w:rsid w:val="00A53E4F"/>
    <w:rsid w:val="00A5658C"/>
    <w:rsid w:val="00A635A3"/>
    <w:rsid w:val="00A662BC"/>
    <w:rsid w:val="00A66BE7"/>
    <w:rsid w:val="00A76417"/>
    <w:rsid w:val="00A90D17"/>
    <w:rsid w:val="00A91616"/>
    <w:rsid w:val="00AA2F36"/>
    <w:rsid w:val="00AB08F3"/>
    <w:rsid w:val="00AB4BB6"/>
    <w:rsid w:val="00AB6A26"/>
    <w:rsid w:val="00AC229A"/>
    <w:rsid w:val="00AC275C"/>
    <w:rsid w:val="00AC57D0"/>
    <w:rsid w:val="00AD01F6"/>
    <w:rsid w:val="00AD0DE1"/>
    <w:rsid w:val="00AD0E40"/>
    <w:rsid w:val="00AD7CBD"/>
    <w:rsid w:val="00AE18A8"/>
    <w:rsid w:val="00AE26BC"/>
    <w:rsid w:val="00AE2D7D"/>
    <w:rsid w:val="00AE3FE1"/>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5681"/>
    <w:rsid w:val="00B2703D"/>
    <w:rsid w:val="00B30747"/>
    <w:rsid w:val="00B41643"/>
    <w:rsid w:val="00B42EA5"/>
    <w:rsid w:val="00B468BF"/>
    <w:rsid w:val="00B47A0D"/>
    <w:rsid w:val="00B6537E"/>
    <w:rsid w:val="00B65AA3"/>
    <w:rsid w:val="00B6705D"/>
    <w:rsid w:val="00B67292"/>
    <w:rsid w:val="00B7110E"/>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650D"/>
    <w:rsid w:val="00BA6A55"/>
    <w:rsid w:val="00BA73DB"/>
    <w:rsid w:val="00BA7FEA"/>
    <w:rsid w:val="00BB05AA"/>
    <w:rsid w:val="00BB0F36"/>
    <w:rsid w:val="00BC2C31"/>
    <w:rsid w:val="00BC2F54"/>
    <w:rsid w:val="00BC34EE"/>
    <w:rsid w:val="00BC7591"/>
    <w:rsid w:val="00BE180A"/>
    <w:rsid w:val="00BE7513"/>
    <w:rsid w:val="00BF6DC9"/>
    <w:rsid w:val="00BF6FDF"/>
    <w:rsid w:val="00C05969"/>
    <w:rsid w:val="00C15C5E"/>
    <w:rsid w:val="00C24A2B"/>
    <w:rsid w:val="00C32BC8"/>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05AF"/>
    <w:rsid w:val="00CA3C6C"/>
    <w:rsid w:val="00CA4183"/>
    <w:rsid w:val="00CA5092"/>
    <w:rsid w:val="00CA5ABA"/>
    <w:rsid w:val="00CA7655"/>
    <w:rsid w:val="00CB1540"/>
    <w:rsid w:val="00CB258D"/>
    <w:rsid w:val="00CC067B"/>
    <w:rsid w:val="00CC312F"/>
    <w:rsid w:val="00CC354F"/>
    <w:rsid w:val="00CC5E4F"/>
    <w:rsid w:val="00CD6B1C"/>
    <w:rsid w:val="00CD746A"/>
    <w:rsid w:val="00CE0745"/>
    <w:rsid w:val="00CE512E"/>
    <w:rsid w:val="00CE6E4A"/>
    <w:rsid w:val="00CF0E6D"/>
    <w:rsid w:val="00CF291C"/>
    <w:rsid w:val="00CF2F05"/>
    <w:rsid w:val="00CF3803"/>
    <w:rsid w:val="00CF41BA"/>
    <w:rsid w:val="00D0412D"/>
    <w:rsid w:val="00D117E3"/>
    <w:rsid w:val="00D12494"/>
    <w:rsid w:val="00D140DF"/>
    <w:rsid w:val="00D22ED3"/>
    <w:rsid w:val="00D23492"/>
    <w:rsid w:val="00D27920"/>
    <w:rsid w:val="00D27BD8"/>
    <w:rsid w:val="00D31DB2"/>
    <w:rsid w:val="00D3337E"/>
    <w:rsid w:val="00D349F2"/>
    <w:rsid w:val="00D34B36"/>
    <w:rsid w:val="00D52B23"/>
    <w:rsid w:val="00D53097"/>
    <w:rsid w:val="00D54AA3"/>
    <w:rsid w:val="00D5580B"/>
    <w:rsid w:val="00D6333C"/>
    <w:rsid w:val="00D67D6E"/>
    <w:rsid w:val="00D713F0"/>
    <w:rsid w:val="00D74039"/>
    <w:rsid w:val="00D759E4"/>
    <w:rsid w:val="00D80822"/>
    <w:rsid w:val="00D82D3C"/>
    <w:rsid w:val="00D8734E"/>
    <w:rsid w:val="00D90310"/>
    <w:rsid w:val="00D92DC7"/>
    <w:rsid w:val="00DA02D3"/>
    <w:rsid w:val="00DA37B4"/>
    <w:rsid w:val="00DB0380"/>
    <w:rsid w:val="00DB1672"/>
    <w:rsid w:val="00DB30B7"/>
    <w:rsid w:val="00DB3937"/>
    <w:rsid w:val="00DB42BF"/>
    <w:rsid w:val="00DB43EA"/>
    <w:rsid w:val="00DB5616"/>
    <w:rsid w:val="00DC0B5A"/>
    <w:rsid w:val="00DC0E12"/>
    <w:rsid w:val="00DD2164"/>
    <w:rsid w:val="00DD4B77"/>
    <w:rsid w:val="00DD72D1"/>
    <w:rsid w:val="00DE7145"/>
    <w:rsid w:val="00DE7C60"/>
    <w:rsid w:val="00E027EE"/>
    <w:rsid w:val="00E056E6"/>
    <w:rsid w:val="00E125D7"/>
    <w:rsid w:val="00E23ACF"/>
    <w:rsid w:val="00E27A1C"/>
    <w:rsid w:val="00E27F36"/>
    <w:rsid w:val="00E33B0A"/>
    <w:rsid w:val="00E34D16"/>
    <w:rsid w:val="00E34F2E"/>
    <w:rsid w:val="00E37A3C"/>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148A"/>
    <w:rsid w:val="00ED1D52"/>
    <w:rsid w:val="00ED2F1F"/>
    <w:rsid w:val="00ED7DB6"/>
    <w:rsid w:val="00EE3827"/>
    <w:rsid w:val="00EE4080"/>
    <w:rsid w:val="00EE5126"/>
    <w:rsid w:val="00EE5F61"/>
    <w:rsid w:val="00EF3627"/>
    <w:rsid w:val="00EF6784"/>
    <w:rsid w:val="00EF781B"/>
    <w:rsid w:val="00F00B53"/>
    <w:rsid w:val="00F01D2C"/>
    <w:rsid w:val="00F0517D"/>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EE2"/>
    <w:rsid w:val="00F550A3"/>
    <w:rsid w:val="00F5677C"/>
    <w:rsid w:val="00F570B7"/>
    <w:rsid w:val="00F5771D"/>
    <w:rsid w:val="00F67691"/>
    <w:rsid w:val="00F73361"/>
    <w:rsid w:val="00F8533F"/>
    <w:rsid w:val="00F854B2"/>
    <w:rsid w:val="00F86DA2"/>
    <w:rsid w:val="00F8705B"/>
    <w:rsid w:val="00F93EC9"/>
    <w:rsid w:val="00FA00A0"/>
    <w:rsid w:val="00FA0736"/>
    <w:rsid w:val="00FA1DC4"/>
    <w:rsid w:val="00FA50A2"/>
    <w:rsid w:val="00FA7D92"/>
    <w:rsid w:val="00FB053C"/>
    <w:rsid w:val="00FB1895"/>
    <w:rsid w:val="00FB2FBD"/>
    <w:rsid w:val="00FB3453"/>
    <w:rsid w:val="00FB7D6C"/>
    <w:rsid w:val="00FC362E"/>
    <w:rsid w:val="00FC4935"/>
    <w:rsid w:val="00FC4A6F"/>
    <w:rsid w:val="00FC6C80"/>
    <w:rsid w:val="00FD0A7A"/>
    <w:rsid w:val="00FD0C32"/>
    <w:rsid w:val="00FE1A85"/>
    <w:rsid w:val="00FE1DC9"/>
    <w:rsid w:val="00FF0136"/>
    <w:rsid w:val="00FF0736"/>
    <w:rsid w:val="00FF1FAE"/>
    <w:rsid w:val="00FF2294"/>
    <w:rsid w:val="00FF2649"/>
    <w:rsid w:val="00FF29EE"/>
    <w:rsid w:val="00FF5B83"/>
    <w:rsid w:val="00FF62C6"/>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MeniuneNerezolvat3">
    <w:name w:val="Mențiune Nerezolvat3"/>
    <w:basedOn w:val="DefaultParagraphFont"/>
    <w:uiPriority w:val="99"/>
    <w:semiHidden/>
    <w:unhideWhenUsed/>
    <w:rsid w:val="00BA7FEA"/>
    <w:rPr>
      <w:color w:val="605E5C"/>
      <w:shd w:val="clear" w:color="auto" w:fill="E1DFDD"/>
    </w:rPr>
  </w:style>
  <w:style w:type="paragraph" w:styleId="NoSpacing">
    <w:name w:val="No Spacing"/>
    <w:uiPriority w:val="1"/>
    <w:qFormat/>
    <w:rsid w:val="008C382C"/>
    <w:pPr>
      <w:spacing w:after="0" w:line="240" w:lineRule="auto"/>
    </w:pPr>
  </w:style>
  <w:style w:type="paragraph" w:styleId="Revision">
    <w:name w:val="Revision"/>
    <w:hidden/>
    <w:uiPriority w:val="99"/>
    <w:semiHidden/>
    <w:rsid w:val="00CC354F"/>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76996-AB33-4C68-8855-B25938F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1129</Words>
  <Characters>6438</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Alina Grigoras</cp:lastModifiedBy>
  <cp:revision>4</cp:revision>
  <dcterms:created xsi:type="dcterms:W3CDTF">2022-01-28T09:42:00Z</dcterms:created>
  <dcterms:modified xsi:type="dcterms:W3CDTF">2022-01-28T10:56:00Z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