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D2C6" w14:textId="77777777" w:rsidR="005355C2" w:rsidRPr="00CD35C4" w:rsidRDefault="005355C2">
      <w:pPr>
        <w:rPr>
          <w:rFonts w:ascii="Arial" w:hAnsi="Arial" w:cs="Arial"/>
          <w:b/>
          <w:sz w:val="22"/>
        </w:rPr>
      </w:pPr>
    </w:p>
    <w:tbl>
      <w:tblPr>
        <w:tblpPr w:vertAnchor="page" w:horzAnchor="margin" w:tblpY="2836"/>
        <w:tblW w:w="9271" w:type="dxa"/>
        <w:tblLook w:val="01E0" w:firstRow="1" w:lastRow="1" w:firstColumn="1" w:lastColumn="1" w:noHBand="0" w:noVBand="0"/>
      </w:tblPr>
      <w:tblGrid>
        <w:gridCol w:w="1701"/>
        <w:gridCol w:w="7570"/>
      </w:tblGrid>
      <w:tr w:rsidR="005355C2" w:rsidRPr="00CD35C4" w14:paraId="06F8B118" w14:textId="77777777" w:rsidTr="00302AE7">
        <w:trPr>
          <w:trHeight w:val="373"/>
        </w:trPr>
        <w:tc>
          <w:tcPr>
            <w:tcW w:w="9271" w:type="dxa"/>
            <w:gridSpan w:val="2"/>
            <w:shd w:val="clear" w:color="auto" w:fill="auto"/>
            <w:tcMar>
              <w:top w:w="0" w:type="dxa"/>
              <w:left w:w="0" w:type="dxa"/>
              <w:bottom w:w="0" w:type="dxa"/>
              <w:right w:w="0" w:type="dxa"/>
            </w:tcMar>
            <w:hideMark/>
          </w:tcPr>
          <w:p w14:paraId="117AF0CC" w14:textId="77777777" w:rsidR="005355C2" w:rsidRPr="00CD35C4" w:rsidRDefault="005355C2" w:rsidP="00302AE7">
            <w:pPr>
              <w:pStyle w:val="EYDocumentpromptsbold"/>
              <w:rPr>
                <w:rFonts w:ascii="Arial" w:hAnsi="Arial" w:cs="Arial"/>
              </w:rPr>
            </w:pPr>
          </w:p>
          <w:p w14:paraId="34747284" w14:textId="77777777" w:rsidR="005355C2" w:rsidRPr="00CD35C4" w:rsidRDefault="005355C2" w:rsidP="00302AE7">
            <w:pPr>
              <w:pStyle w:val="EYDocumentpromptsbold"/>
              <w:rPr>
                <w:rFonts w:ascii="Arial" w:hAnsi="Arial" w:cs="Arial"/>
                <w:sz w:val="36"/>
                <w:szCs w:val="36"/>
              </w:rPr>
            </w:pPr>
          </w:p>
          <w:p w14:paraId="03FC72D2" w14:textId="4BC1DA97" w:rsidR="005355C2" w:rsidRPr="00CD35C4" w:rsidRDefault="00DB7361" w:rsidP="005355C2">
            <w:pPr>
              <w:pStyle w:val="EYDocumentpromptsbold"/>
              <w:rPr>
                <w:rFonts w:ascii="Arial" w:hAnsi="Arial" w:cs="Arial"/>
                <w:b w:val="0"/>
                <w:bCs/>
                <w:sz w:val="36"/>
                <w:szCs w:val="36"/>
              </w:rPr>
            </w:pPr>
            <w:r w:rsidRPr="00CD35C4">
              <w:rPr>
                <w:rFonts w:ascii="Arial" w:hAnsi="Arial" w:cs="Arial"/>
                <w:b w:val="0"/>
                <w:bCs/>
                <w:sz w:val="36"/>
                <w:szCs w:val="36"/>
              </w:rPr>
              <w:t>Punct de vedere</w:t>
            </w:r>
          </w:p>
          <w:p w14:paraId="1692E1EA" w14:textId="77777777" w:rsidR="005355C2" w:rsidRPr="00CD35C4" w:rsidRDefault="005355C2" w:rsidP="005355C2">
            <w:pPr>
              <w:pStyle w:val="EYDocumentpromptsbold"/>
              <w:rPr>
                <w:rFonts w:ascii="Arial" w:hAnsi="Arial" w:cs="Arial"/>
                <w:bCs/>
              </w:rPr>
            </w:pPr>
          </w:p>
          <w:p w14:paraId="62F25D78" w14:textId="1124D487" w:rsidR="005355C2" w:rsidRPr="00CD35C4" w:rsidRDefault="00BE4AD7" w:rsidP="005355C2">
            <w:pPr>
              <w:pStyle w:val="EYDocumentpromptsbold"/>
              <w:rPr>
                <w:rFonts w:ascii="Arial" w:hAnsi="Arial" w:cs="Arial"/>
                <w:highlight w:val="yellow"/>
              </w:rPr>
            </w:pPr>
            <w:r w:rsidRPr="00CD35C4">
              <w:rPr>
                <w:rFonts w:ascii="Arial" w:hAnsi="Arial" w:cs="Arial"/>
              </w:rPr>
              <w:t xml:space="preserve">8 </w:t>
            </w:r>
            <w:r w:rsidR="002C4D84" w:rsidRPr="00CD35C4">
              <w:rPr>
                <w:rFonts w:ascii="Arial" w:hAnsi="Arial" w:cs="Arial"/>
              </w:rPr>
              <w:t xml:space="preserve">decembrie </w:t>
            </w:r>
            <w:r w:rsidR="005355C2" w:rsidRPr="00CD35C4">
              <w:rPr>
                <w:rFonts w:ascii="Arial" w:hAnsi="Arial" w:cs="Arial"/>
              </w:rPr>
              <w:t>2021</w:t>
            </w:r>
          </w:p>
        </w:tc>
      </w:tr>
      <w:tr w:rsidR="005355C2" w:rsidRPr="00CD35C4" w14:paraId="1B9B5788" w14:textId="77777777" w:rsidTr="00302AE7">
        <w:trPr>
          <w:trHeight w:val="20"/>
        </w:trPr>
        <w:tc>
          <w:tcPr>
            <w:tcW w:w="1701" w:type="dxa"/>
            <w:tcMar>
              <w:top w:w="0" w:type="dxa"/>
              <w:left w:w="0" w:type="dxa"/>
              <w:bottom w:w="0" w:type="dxa"/>
              <w:right w:w="0" w:type="dxa"/>
            </w:tcMar>
            <w:hideMark/>
          </w:tcPr>
          <w:p w14:paraId="0DAEA543" w14:textId="77777777" w:rsidR="005355C2" w:rsidRPr="00CD35C4" w:rsidRDefault="005355C2" w:rsidP="00302AE7">
            <w:pPr>
              <w:pStyle w:val="EYDocumentprompts"/>
              <w:rPr>
                <w:rFonts w:cs="Arial"/>
              </w:rPr>
            </w:pPr>
            <w:r w:rsidRPr="00CD35C4">
              <w:t>Contact:</w:t>
            </w:r>
          </w:p>
        </w:tc>
        <w:tc>
          <w:tcPr>
            <w:tcW w:w="7570" w:type="dxa"/>
            <w:tcMar>
              <w:top w:w="0" w:type="dxa"/>
              <w:left w:w="0" w:type="dxa"/>
              <w:bottom w:w="0" w:type="dxa"/>
              <w:right w:w="0" w:type="dxa"/>
            </w:tcMar>
            <w:hideMark/>
          </w:tcPr>
          <w:p w14:paraId="0006B005" w14:textId="77777777" w:rsidR="005355C2" w:rsidRPr="00CD35C4" w:rsidRDefault="005355C2" w:rsidP="00302AE7">
            <w:pPr>
              <w:pStyle w:val="EYDocumentprompts"/>
              <w:rPr>
                <w:rFonts w:cs="Arial"/>
              </w:rPr>
            </w:pPr>
            <w:r w:rsidRPr="00CD35C4">
              <w:t>Anda Huțanu</w:t>
            </w:r>
          </w:p>
        </w:tc>
      </w:tr>
      <w:tr w:rsidR="005355C2" w:rsidRPr="00CD35C4" w14:paraId="1CD7BCB2" w14:textId="77777777" w:rsidTr="00302AE7">
        <w:trPr>
          <w:trHeight w:val="20"/>
        </w:trPr>
        <w:tc>
          <w:tcPr>
            <w:tcW w:w="1701" w:type="dxa"/>
            <w:tcMar>
              <w:top w:w="0" w:type="dxa"/>
              <w:left w:w="0" w:type="dxa"/>
              <w:bottom w:w="0" w:type="dxa"/>
              <w:right w:w="0" w:type="dxa"/>
            </w:tcMar>
            <w:hideMark/>
          </w:tcPr>
          <w:p w14:paraId="3179BA3A" w14:textId="66EBA0AB" w:rsidR="005355C2" w:rsidRPr="00CD35C4" w:rsidRDefault="002C4D84" w:rsidP="005F0B6E">
            <w:pPr>
              <w:pStyle w:val="EYDocumentprompts"/>
              <w:rPr>
                <w:rFonts w:cs="Arial"/>
              </w:rPr>
            </w:pPr>
            <w:r w:rsidRPr="00CD35C4">
              <w:t>Companie</w:t>
            </w:r>
            <w:r w:rsidR="005355C2" w:rsidRPr="00CD35C4">
              <w:t>:</w:t>
            </w:r>
          </w:p>
        </w:tc>
        <w:tc>
          <w:tcPr>
            <w:tcW w:w="7570" w:type="dxa"/>
            <w:tcMar>
              <w:top w:w="0" w:type="dxa"/>
              <w:left w:w="0" w:type="dxa"/>
              <w:bottom w:w="0" w:type="dxa"/>
              <w:right w:w="0" w:type="dxa"/>
            </w:tcMar>
            <w:hideMark/>
          </w:tcPr>
          <w:p w14:paraId="25E9FE91" w14:textId="77777777" w:rsidR="005355C2" w:rsidRPr="00CD35C4" w:rsidRDefault="005355C2" w:rsidP="00302AE7">
            <w:pPr>
              <w:pStyle w:val="EYDocumentprompts"/>
              <w:rPr>
                <w:rFonts w:cs="Arial"/>
              </w:rPr>
            </w:pPr>
            <w:r w:rsidRPr="00CD35C4">
              <w:t>EY Romania</w:t>
            </w:r>
          </w:p>
        </w:tc>
      </w:tr>
      <w:tr w:rsidR="005355C2" w:rsidRPr="00CD35C4" w14:paraId="3342EF7A" w14:textId="77777777" w:rsidTr="00302AE7">
        <w:trPr>
          <w:trHeight w:val="20"/>
        </w:trPr>
        <w:tc>
          <w:tcPr>
            <w:tcW w:w="1701" w:type="dxa"/>
            <w:tcMar>
              <w:top w:w="0" w:type="dxa"/>
              <w:left w:w="0" w:type="dxa"/>
              <w:bottom w:w="0" w:type="dxa"/>
              <w:right w:w="0" w:type="dxa"/>
            </w:tcMar>
            <w:hideMark/>
          </w:tcPr>
          <w:p w14:paraId="1B6EBF19" w14:textId="77777777" w:rsidR="005355C2" w:rsidRPr="00CD35C4" w:rsidRDefault="005355C2" w:rsidP="00302AE7">
            <w:pPr>
              <w:pStyle w:val="EYDocumentprompts"/>
              <w:rPr>
                <w:rFonts w:cs="Arial"/>
              </w:rPr>
            </w:pPr>
            <w:r w:rsidRPr="00CD35C4">
              <w:t>Tel.:</w:t>
            </w:r>
          </w:p>
        </w:tc>
        <w:tc>
          <w:tcPr>
            <w:tcW w:w="7570" w:type="dxa"/>
            <w:tcMar>
              <w:top w:w="0" w:type="dxa"/>
              <w:left w:w="0" w:type="dxa"/>
              <w:bottom w:w="0" w:type="dxa"/>
              <w:right w:w="0" w:type="dxa"/>
            </w:tcMar>
            <w:hideMark/>
          </w:tcPr>
          <w:p w14:paraId="02A5F209" w14:textId="77777777" w:rsidR="005355C2" w:rsidRPr="00CD35C4" w:rsidRDefault="005355C2" w:rsidP="00302AE7">
            <w:pPr>
              <w:pStyle w:val="EYDocumentprompts"/>
              <w:rPr>
                <w:rFonts w:cs="Arial"/>
              </w:rPr>
            </w:pPr>
            <w:r w:rsidRPr="00CD35C4">
              <w:t>+40 21 402 4000</w:t>
            </w:r>
          </w:p>
        </w:tc>
      </w:tr>
      <w:tr w:rsidR="005355C2" w:rsidRPr="00CD35C4" w14:paraId="3E3659F6" w14:textId="77777777" w:rsidTr="00302AE7">
        <w:trPr>
          <w:trHeight w:val="80"/>
        </w:trPr>
        <w:tc>
          <w:tcPr>
            <w:tcW w:w="1701" w:type="dxa"/>
            <w:tcMar>
              <w:top w:w="0" w:type="dxa"/>
              <w:left w:w="0" w:type="dxa"/>
              <w:bottom w:w="0" w:type="dxa"/>
              <w:right w:w="0" w:type="dxa"/>
            </w:tcMar>
            <w:hideMark/>
          </w:tcPr>
          <w:p w14:paraId="29E9FB9B" w14:textId="77777777" w:rsidR="005355C2" w:rsidRPr="00CD35C4" w:rsidRDefault="005355C2" w:rsidP="00302AE7">
            <w:pPr>
              <w:pStyle w:val="EYDocumentprompts"/>
              <w:rPr>
                <w:rFonts w:cs="Arial"/>
              </w:rPr>
            </w:pPr>
            <w:r w:rsidRPr="00CD35C4">
              <w:t>Email:</w:t>
            </w:r>
          </w:p>
        </w:tc>
        <w:tc>
          <w:tcPr>
            <w:tcW w:w="7570" w:type="dxa"/>
            <w:tcMar>
              <w:top w:w="0" w:type="dxa"/>
              <w:left w:w="0" w:type="dxa"/>
              <w:bottom w:w="0" w:type="dxa"/>
              <w:right w:w="0" w:type="dxa"/>
            </w:tcMar>
            <w:hideMark/>
          </w:tcPr>
          <w:p w14:paraId="10664373" w14:textId="77777777" w:rsidR="005355C2" w:rsidRPr="00CD35C4" w:rsidRDefault="004379AA" w:rsidP="00302AE7">
            <w:pPr>
              <w:pStyle w:val="EYDocumentprompts"/>
              <w:rPr>
                <w:rFonts w:cs="Arial"/>
                <w:color w:val="0000FF"/>
                <w:u w:val="single"/>
              </w:rPr>
            </w:pPr>
            <w:hyperlink r:id="rId8" w:history="1">
              <w:r w:rsidR="005355C2" w:rsidRPr="00CD35C4">
                <w:rPr>
                  <w:rStyle w:val="Hyperlink"/>
                </w:rPr>
                <w:t>anda.hutanu@ro.ey.com</w:t>
              </w:r>
            </w:hyperlink>
          </w:p>
        </w:tc>
      </w:tr>
    </w:tbl>
    <w:p w14:paraId="00C49B00" w14:textId="77777777" w:rsidR="005355C2" w:rsidRPr="00CD35C4" w:rsidRDefault="005355C2">
      <w:pPr>
        <w:rPr>
          <w:rFonts w:ascii="Arial" w:hAnsi="Arial" w:cs="Arial"/>
          <w:b/>
          <w:sz w:val="28"/>
          <w:szCs w:val="28"/>
        </w:rPr>
      </w:pPr>
    </w:p>
    <w:p w14:paraId="12949066" w14:textId="6FF83FD1" w:rsidR="00663D92" w:rsidRPr="00CD35C4" w:rsidRDefault="00E268D3" w:rsidP="00663D92">
      <w:pPr>
        <w:spacing w:after="0" w:line="240" w:lineRule="auto"/>
        <w:rPr>
          <w:rFonts w:ascii="Arial" w:hAnsi="Arial" w:cs="Arial"/>
          <w:b/>
          <w:sz w:val="26"/>
          <w:szCs w:val="26"/>
        </w:rPr>
      </w:pPr>
      <w:r w:rsidRPr="00CD35C4">
        <w:rPr>
          <w:rFonts w:ascii="Arial" w:hAnsi="Arial" w:cs="Arial"/>
          <w:b/>
          <w:sz w:val="26"/>
          <w:szCs w:val="26"/>
        </w:rPr>
        <w:t xml:space="preserve">Înființarea </w:t>
      </w:r>
      <w:r w:rsidR="00472333" w:rsidRPr="00CD35C4">
        <w:rPr>
          <w:rFonts w:ascii="Arial" w:hAnsi="Arial" w:cs="Arial"/>
          <w:b/>
          <w:sz w:val="26"/>
          <w:szCs w:val="26"/>
        </w:rPr>
        <w:t>Consiliul</w:t>
      </w:r>
      <w:r w:rsidRPr="00CD35C4">
        <w:rPr>
          <w:rFonts w:ascii="Arial" w:hAnsi="Arial" w:cs="Arial"/>
          <w:b/>
          <w:sz w:val="26"/>
          <w:szCs w:val="26"/>
        </w:rPr>
        <w:t>ui</w:t>
      </w:r>
      <w:r w:rsidR="00663D92" w:rsidRPr="00CD35C4">
        <w:rPr>
          <w:rFonts w:ascii="Arial" w:hAnsi="Arial" w:cs="Arial"/>
          <w:b/>
          <w:sz w:val="26"/>
          <w:szCs w:val="26"/>
        </w:rPr>
        <w:t xml:space="preserve"> pentru Standarde Internaționale de Sustenabilitat</w:t>
      </w:r>
      <w:r w:rsidR="00472333" w:rsidRPr="00CD35C4">
        <w:rPr>
          <w:rFonts w:ascii="Arial" w:hAnsi="Arial" w:cs="Arial"/>
          <w:b/>
          <w:sz w:val="26"/>
          <w:szCs w:val="26"/>
        </w:rPr>
        <w:t>e</w:t>
      </w:r>
      <w:r w:rsidRPr="00CD35C4">
        <w:rPr>
          <w:rFonts w:ascii="Arial" w:hAnsi="Arial" w:cs="Arial"/>
          <w:b/>
          <w:sz w:val="26"/>
          <w:szCs w:val="26"/>
        </w:rPr>
        <w:t>,</w:t>
      </w:r>
      <w:r w:rsidR="00472333" w:rsidRPr="00CD35C4">
        <w:rPr>
          <w:rFonts w:ascii="Arial" w:hAnsi="Arial" w:cs="Arial"/>
          <w:b/>
          <w:sz w:val="26"/>
          <w:szCs w:val="26"/>
        </w:rPr>
        <w:t xml:space="preserve"> un pas înainte în definirea indicilor ESG </w:t>
      </w:r>
    </w:p>
    <w:p w14:paraId="2AC862F1" w14:textId="77777777" w:rsidR="00E268D3" w:rsidRPr="00CD35C4" w:rsidRDefault="00E268D3" w:rsidP="009F722B">
      <w:pPr>
        <w:spacing w:after="0" w:line="240" w:lineRule="auto"/>
        <w:rPr>
          <w:rFonts w:ascii="Arial" w:hAnsi="Arial" w:cs="Arial"/>
          <w:sz w:val="24"/>
          <w:szCs w:val="24"/>
        </w:rPr>
      </w:pPr>
    </w:p>
    <w:p w14:paraId="7121D9FB" w14:textId="23858E99" w:rsidR="00663D92" w:rsidRPr="00CD35C4" w:rsidRDefault="00663D92" w:rsidP="009F722B">
      <w:pPr>
        <w:spacing w:after="0" w:line="240" w:lineRule="auto"/>
        <w:rPr>
          <w:rFonts w:ascii="Arial" w:hAnsi="Arial" w:cs="Arial"/>
          <w:b/>
          <w:i/>
          <w:iCs/>
          <w:sz w:val="22"/>
        </w:rPr>
      </w:pPr>
      <w:r w:rsidRPr="00CD35C4">
        <w:rPr>
          <w:rFonts w:ascii="Arial" w:hAnsi="Arial" w:cs="Arial"/>
          <w:i/>
          <w:iCs/>
          <w:sz w:val="22"/>
        </w:rPr>
        <w:t>Autor:</w:t>
      </w:r>
      <w:r w:rsidRPr="00CD35C4">
        <w:rPr>
          <w:rFonts w:ascii="Arial" w:hAnsi="Arial" w:cs="Arial"/>
          <w:b/>
          <w:i/>
          <w:iCs/>
          <w:sz w:val="22"/>
        </w:rPr>
        <w:t xml:space="preserve"> </w:t>
      </w:r>
      <w:r w:rsidRPr="00CD35C4">
        <w:rPr>
          <w:rFonts w:ascii="Arial" w:hAnsi="Arial" w:cs="Arial"/>
          <w:i/>
          <w:iCs/>
          <w:sz w:val="22"/>
        </w:rPr>
        <w:t>Laura Ciobanu, Manager</w:t>
      </w:r>
      <w:r w:rsidR="00472333" w:rsidRPr="00CD35C4">
        <w:rPr>
          <w:rFonts w:ascii="Arial" w:hAnsi="Arial" w:cs="Arial"/>
          <w:i/>
          <w:iCs/>
          <w:sz w:val="22"/>
        </w:rPr>
        <w:t>,</w:t>
      </w:r>
      <w:r w:rsidRPr="00CD35C4">
        <w:rPr>
          <w:rFonts w:ascii="Arial" w:hAnsi="Arial" w:cs="Arial"/>
          <w:i/>
          <w:iCs/>
          <w:sz w:val="22"/>
        </w:rPr>
        <w:t xml:space="preserve"> Schimbări Climatice și Sustenabilitate, EY România</w:t>
      </w:r>
    </w:p>
    <w:p w14:paraId="32ED6CBE" w14:textId="77777777" w:rsidR="009F722B" w:rsidRPr="00CD35C4" w:rsidRDefault="009F722B" w:rsidP="009F722B">
      <w:pPr>
        <w:pStyle w:val="ListParagraph"/>
        <w:spacing w:after="0" w:line="240" w:lineRule="auto"/>
        <w:rPr>
          <w:rFonts w:ascii="Arial" w:hAnsi="Arial" w:cs="Arial"/>
          <w:sz w:val="21"/>
          <w:szCs w:val="21"/>
        </w:rPr>
      </w:pPr>
    </w:p>
    <w:p w14:paraId="3D2346C2" w14:textId="1FE387A3" w:rsidR="00D56FBB" w:rsidRPr="00CD35C4" w:rsidRDefault="00D56FBB" w:rsidP="009F722B">
      <w:pPr>
        <w:spacing w:after="0" w:line="240" w:lineRule="auto"/>
        <w:rPr>
          <w:rFonts w:ascii="Arial" w:hAnsi="Arial" w:cs="Arial"/>
          <w:sz w:val="21"/>
          <w:szCs w:val="21"/>
        </w:rPr>
      </w:pPr>
      <w:r w:rsidRPr="00CD35C4">
        <w:rPr>
          <w:rFonts w:ascii="Arial" w:hAnsi="Arial" w:cs="Arial"/>
          <w:sz w:val="21"/>
          <w:szCs w:val="21"/>
        </w:rPr>
        <w:t xml:space="preserve">Fundația pentru standarde internaționale de raportare financiară (Fundația IFRS) a anunțat oficial înființarea Consiliului pentru Standarde Internaționale de </w:t>
      </w:r>
      <w:r w:rsidR="00060628" w:rsidRPr="00CD35C4">
        <w:rPr>
          <w:rFonts w:ascii="Arial" w:hAnsi="Arial" w:cs="Arial"/>
          <w:sz w:val="21"/>
          <w:szCs w:val="21"/>
        </w:rPr>
        <w:t xml:space="preserve">Sustenabilitate </w:t>
      </w:r>
      <w:r w:rsidRPr="00CD35C4">
        <w:rPr>
          <w:rFonts w:ascii="Arial" w:hAnsi="Arial" w:cs="Arial"/>
          <w:sz w:val="21"/>
          <w:szCs w:val="21"/>
        </w:rPr>
        <w:t>(ISSB), cu ocazia Conferinței ONU privind schimbările climatice (COP26), care a avut loc în 2021 la Glasgow.</w:t>
      </w:r>
      <w:r w:rsidR="00AD7CEF" w:rsidRPr="00CD35C4">
        <w:rPr>
          <w:rFonts w:ascii="Arial" w:hAnsi="Arial" w:cs="Arial"/>
          <w:sz w:val="21"/>
          <w:szCs w:val="21"/>
        </w:rPr>
        <w:t xml:space="preserve"> Acest eveniment marchează una dintre cele mai importante evoluții din ultimele decenii în domeniul contabilității și raportării financiare. </w:t>
      </w:r>
      <w:r w:rsidR="00871064" w:rsidRPr="00CD35C4">
        <w:rPr>
          <w:rFonts w:ascii="Arial" w:hAnsi="Arial" w:cs="Arial"/>
          <w:sz w:val="21"/>
          <w:szCs w:val="21"/>
        </w:rPr>
        <w:t>Misiunea ISSB</w:t>
      </w:r>
      <w:r w:rsidR="00AD7CEF" w:rsidRPr="00CD35C4">
        <w:rPr>
          <w:rFonts w:ascii="Arial" w:hAnsi="Arial" w:cs="Arial"/>
          <w:sz w:val="21"/>
          <w:szCs w:val="21"/>
        </w:rPr>
        <w:t xml:space="preserve"> va fi să acționeze rapid în </w:t>
      </w:r>
      <w:r w:rsidR="00871064" w:rsidRPr="00CD35C4">
        <w:rPr>
          <w:rFonts w:ascii="Arial" w:hAnsi="Arial" w:cs="Arial"/>
          <w:sz w:val="21"/>
          <w:szCs w:val="21"/>
        </w:rPr>
        <w:t>stabilirea</w:t>
      </w:r>
      <w:r w:rsidR="00AD7CEF" w:rsidRPr="00CD35C4">
        <w:rPr>
          <w:rFonts w:ascii="Arial" w:hAnsi="Arial" w:cs="Arial"/>
          <w:sz w:val="21"/>
          <w:szCs w:val="21"/>
        </w:rPr>
        <w:t xml:space="preserve"> un</w:t>
      </w:r>
      <w:r w:rsidR="00871064" w:rsidRPr="00CD35C4">
        <w:rPr>
          <w:rFonts w:ascii="Arial" w:hAnsi="Arial" w:cs="Arial"/>
          <w:sz w:val="21"/>
          <w:szCs w:val="21"/>
        </w:rPr>
        <w:t>ui</w:t>
      </w:r>
      <w:r w:rsidR="00AD7CEF" w:rsidRPr="00CD35C4">
        <w:rPr>
          <w:rFonts w:ascii="Arial" w:hAnsi="Arial" w:cs="Arial"/>
          <w:sz w:val="21"/>
          <w:szCs w:val="21"/>
        </w:rPr>
        <w:t xml:space="preserve"> set cuprinzător de standarde de sustenabilitate</w:t>
      </w:r>
      <w:r w:rsidR="00871064" w:rsidRPr="00CD35C4">
        <w:rPr>
          <w:rFonts w:ascii="Arial" w:hAnsi="Arial" w:cs="Arial"/>
          <w:sz w:val="21"/>
          <w:szCs w:val="21"/>
        </w:rPr>
        <w:t>,</w:t>
      </w:r>
      <w:r w:rsidR="00AD7CEF" w:rsidRPr="00CD35C4">
        <w:rPr>
          <w:rFonts w:ascii="Arial" w:hAnsi="Arial" w:cs="Arial"/>
          <w:sz w:val="21"/>
          <w:szCs w:val="21"/>
        </w:rPr>
        <w:t xml:space="preserve"> să recunoască caracterul dinamic al materialității și necesitatea adaptării locale a unor standarde suplimentare</w:t>
      </w:r>
      <w:r w:rsidR="00871064" w:rsidRPr="00CD35C4">
        <w:rPr>
          <w:rFonts w:ascii="Arial" w:hAnsi="Arial" w:cs="Arial"/>
          <w:sz w:val="21"/>
          <w:szCs w:val="21"/>
        </w:rPr>
        <w:t>.</w:t>
      </w:r>
    </w:p>
    <w:p w14:paraId="5971863F" w14:textId="77777777" w:rsidR="009F722B" w:rsidRPr="00CD35C4" w:rsidRDefault="009F722B" w:rsidP="009F722B">
      <w:pPr>
        <w:spacing w:after="0" w:line="240" w:lineRule="auto"/>
        <w:rPr>
          <w:rFonts w:ascii="Arial" w:hAnsi="Arial" w:cs="Arial"/>
          <w:sz w:val="21"/>
          <w:szCs w:val="21"/>
        </w:rPr>
      </w:pPr>
    </w:p>
    <w:p w14:paraId="4AD030C2" w14:textId="3249EB44" w:rsidR="00DB7361" w:rsidRPr="00CD35C4" w:rsidRDefault="00D56FBB" w:rsidP="009F722B">
      <w:pPr>
        <w:spacing w:after="0" w:line="240" w:lineRule="auto"/>
        <w:rPr>
          <w:rFonts w:ascii="Arial" w:hAnsi="Arial" w:cs="Arial"/>
          <w:sz w:val="21"/>
          <w:szCs w:val="21"/>
        </w:rPr>
      </w:pPr>
      <w:r w:rsidRPr="00CD35C4">
        <w:rPr>
          <w:rFonts w:ascii="Arial" w:hAnsi="Arial" w:cs="Arial"/>
          <w:sz w:val="21"/>
          <w:szCs w:val="21"/>
        </w:rPr>
        <w:t xml:space="preserve">Având în vedere că, </w:t>
      </w:r>
      <w:r w:rsidR="00B3280C" w:rsidRPr="00CD35C4">
        <w:rPr>
          <w:rFonts w:ascii="Arial" w:hAnsi="Arial" w:cs="Arial"/>
          <w:sz w:val="21"/>
          <w:szCs w:val="21"/>
        </w:rPr>
        <w:t>în prezent</w:t>
      </w:r>
      <w:r w:rsidRPr="00CD35C4">
        <w:rPr>
          <w:rFonts w:ascii="Arial" w:hAnsi="Arial" w:cs="Arial"/>
          <w:sz w:val="21"/>
          <w:szCs w:val="21"/>
        </w:rPr>
        <w:t>, există aproximativ 600 de standarde de raportare de mediu, socială și de guvernanță corporativă (ESG), ISSB intenționează să confere standardelor de raportare ESG un caracter de coerență și comparabilitate</w:t>
      </w:r>
      <w:r w:rsidR="00DB7361" w:rsidRPr="00CD35C4">
        <w:rPr>
          <w:rFonts w:ascii="Arial" w:hAnsi="Arial" w:cs="Arial"/>
          <w:sz w:val="21"/>
          <w:szCs w:val="21"/>
        </w:rPr>
        <w:t>, prin</w:t>
      </w:r>
      <w:r w:rsidR="00AD7CEF" w:rsidRPr="00CD35C4">
        <w:rPr>
          <w:rFonts w:ascii="Arial" w:hAnsi="Arial" w:cs="Arial"/>
          <w:sz w:val="21"/>
          <w:szCs w:val="21"/>
        </w:rPr>
        <w:t xml:space="preserve"> </w:t>
      </w:r>
      <w:r w:rsidR="00DB7361" w:rsidRPr="00CD35C4">
        <w:rPr>
          <w:rFonts w:ascii="Arial" w:hAnsi="Arial" w:cs="Arial"/>
          <w:sz w:val="21"/>
          <w:szCs w:val="21"/>
        </w:rPr>
        <w:t>elaborarea</w:t>
      </w:r>
      <w:r w:rsidRPr="00CD35C4">
        <w:rPr>
          <w:rFonts w:ascii="Arial" w:hAnsi="Arial" w:cs="Arial"/>
          <w:sz w:val="21"/>
          <w:szCs w:val="21"/>
        </w:rPr>
        <w:t xml:space="preserve"> cerințel</w:t>
      </w:r>
      <w:r w:rsidR="00DB7361" w:rsidRPr="00CD35C4">
        <w:rPr>
          <w:rFonts w:ascii="Arial" w:hAnsi="Arial" w:cs="Arial"/>
          <w:sz w:val="21"/>
          <w:szCs w:val="21"/>
        </w:rPr>
        <w:t>or</w:t>
      </w:r>
      <w:r w:rsidRPr="00CD35C4">
        <w:rPr>
          <w:rFonts w:ascii="Arial" w:hAnsi="Arial" w:cs="Arial"/>
          <w:sz w:val="21"/>
          <w:szCs w:val="21"/>
        </w:rPr>
        <w:t xml:space="preserve"> de bază</w:t>
      </w:r>
      <w:r w:rsidR="00DB7361" w:rsidRPr="00CD35C4">
        <w:rPr>
          <w:rFonts w:ascii="Arial" w:hAnsi="Arial" w:cs="Arial"/>
          <w:sz w:val="21"/>
          <w:szCs w:val="21"/>
        </w:rPr>
        <w:t>,</w:t>
      </w:r>
      <w:r w:rsidRPr="00CD35C4">
        <w:rPr>
          <w:rFonts w:ascii="Arial" w:hAnsi="Arial" w:cs="Arial"/>
          <w:sz w:val="21"/>
          <w:szCs w:val="21"/>
        </w:rPr>
        <w:t xml:space="preserve"> </w:t>
      </w:r>
      <w:r w:rsidR="00DB7361" w:rsidRPr="00CD35C4">
        <w:rPr>
          <w:rFonts w:ascii="Arial" w:hAnsi="Arial" w:cs="Arial"/>
          <w:sz w:val="21"/>
          <w:szCs w:val="21"/>
        </w:rPr>
        <w:t xml:space="preserve">de </w:t>
      </w:r>
      <w:r w:rsidRPr="00CD35C4">
        <w:rPr>
          <w:rFonts w:ascii="Arial" w:hAnsi="Arial" w:cs="Arial"/>
          <w:sz w:val="21"/>
          <w:szCs w:val="21"/>
        </w:rPr>
        <w:t>la nivel global</w:t>
      </w:r>
      <w:r w:rsidR="00DB7361" w:rsidRPr="00CD35C4">
        <w:rPr>
          <w:rFonts w:ascii="Arial" w:hAnsi="Arial" w:cs="Arial"/>
          <w:sz w:val="21"/>
          <w:szCs w:val="21"/>
        </w:rPr>
        <w:t>,</w:t>
      </w:r>
      <w:r w:rsidRPr="00CD35C4">
        <w:rPr>
          <w:rFonts w:ascii="Arial" w:hAnsi="Arial" w:cs="Arial"/>
          <w:sz w:val="21"/>
          <w:szCs w:val="21"/>
        </w:rPr>
        <w:t xml:space="preserve"> pentru standardele de raportare privind </w:t>
      </w:r>
      <w:r w:rsidR="009205DB" w:rsidRPr="00CD35C4">
        <w:rPr>
          <w:rFonts w:ascii="Arial" w:hAnsi="Arial" w:cs="Arial"/>
          <w:sz w:val="21"/>
          <w:szCs w:val="21"/>
        </w:rPr>
        <w:t>sustenabilitatea</w:t>
      </w:r>
      <w:r w:rsidR="00DB7361" w:rsidRPr="00CD35C4">
        <w:rPr>
          <w:rFonts w:ascii="Arial" w:hAnsi="Arial" w:cs="Arial"/>
          <w:sz w:val="21"/>
          <w:szCs w:val="21"/>
        </w:rPr>
        <w:t>.</w:t>
      </w:r>
      <w:r w:rsidR="009205DB" w:rsidRPr="00CD35C4">
        <w:rPr>
          <w:rFonts w:ascii="Arial" w:hAnsi="Arial" w:cs="Arial"/>
          <w:sz w:val="21"/>
          <w:szCs w:val="21"/>
        </w:rPr>
        <w:t xml:space="preserve"> </w:t>
      </w:r>
    </w:p>
    <w:p w14:paraId="7337F4D4" w14:textId="77777777" w:rsidR="009F722B" w:rsidRPr="00CD35C4" w:rsidRDefault="009F722B" w:rsidP="009F722B">
      <w:pPr>
        <w:spacing w:after="0" w:line="240" w:lineRule="auto"/>
        <w:rPr>
          <w:rFonts w:ascii="Arial" w:hAnsi="Arial" w:cs="Arial"/>
          <w:sz w:val="21"/>
          <w:szCs w:val="21"/>
        </w:rPr>
      </w:pPr>
    </w:p>
    <w:p w14:paraId="34510BA8" w14:textId="77777777" w:rsidR="00D56FBB" w:rsidRPr="00CD35C4" w:rsidRDefault="00D56FBB" w:rsidP="009F722B">
      <w:pPr>
        <w:spacing w:after="0" w:line="240" w:lineRule="auto"/>
        <w:rPr>
          <w:rFonts w:ascii="Arial" w:hAnsi="Arial" w:cs="Arial"/>
          <w:sz w:val="21"/>
          <w:szCs w:val="21"/>
        </w:rPr>
      </w:pPr>
      <w:r w:rsidRPr="00CD35C4">
        <w:rPr>
          <w:rFonts w:ascii="Arial" w:hAnsi="Arial" w:cs="Arial"/>
          <w:sz w:val="21"/>
          <w:szCs w:val="21"/>
        </w:rPr>
        <w:t>Noul consiliu va funcționa în paralel cu Consiliul pentru Standarde Internaționale de Contabilitate (IASB) al Fundației IFRS, organismul care stabilește standardele de contabilitate obligatorii pentru majoritatea companiilor listate din peste 140 de jurisdicții.</w:t>
      </w:r>
    </w:p>
    <w:p w14:paraId="62E481F8" w14:textId="77777777" w:rsidR="00AF5AAC" w:rsidRPr="00CD35C4" w:rsidRDefault="00AF5AAC" w:rsidP="009F722B">
      <w:pPr>
        <w:spacing w:after="0" w:line="240" w:lineRule="auto"/>
        <w:rPr>
          <w:rFonts w:ascii="Arial" w:hAnsi="Arial" w:cs="Arial"/>
          <w:sz w:val="21"/>
          <w:szCs w:val="21"/>
        </w:rPr>
      </w:pPr>
    </w:p>
    <w:p w14:paraId="2438E940" w14:textId="4131CEDA" w:rsidR="00D56FBB" w:rsidRPr="00CD35C4" w:rsidRDefault="009F722B" w:rsidP="009F722B">
      <w:pPr>
        <w:spacing w:after="0" w:line="240" w:lineRule="auto"/>
        <w:rPr>
          <w:rFonts w:ascii="Arial" w:hAnsi="Arial" w:cs="Arial"/>
          <w:sz w:val="21"/>
          <w:szCs w:val="21"/>
        </w:rPr>
      </w:pPr>
      <w:r w:rsidRPr="00CD35C4">
        <w:rPr>
          <w:rFonts w:ascii="Arial" w:hAnsi="Arial" w:cs="Arial"/>
          <w:sz w:val="21"/>
          <w:szCs w:val="21"/>
        </w:rPr>
        <w:t>În acest moment,</w:t>
      </w:r>
      <w:r w:rsidR="00D56FBB" w:rsidRPr="00CD35C4">
        <w:rPr>
          <w:rFonts w:ascii="Arial" w:hAnsi="Arial" w:cs="Arial"/>
          <w:sz w:val="21"/>
          <w:szCs w:val="21"/>
        </w:rPr>
        <w:t xml:space="preserve"> două standarde prototip pentru raportare</w:t>
      </w:r>
      <w:r w:rsidRPr="00CD35C4">
        <w:rPr>
          <w:rFonts w:ascii="Arial" w:hAnsi="Arial" w:cs="Arial"/>
          <w:sz w:val="21"/>
          <w:szCs w:val="21"/>
        </w:rPr>
        <w:t xml:space="preserve"> </w:t>
      </w:r>
      <w:r w:rsidR="00D56FBB" w:rsidRPr="00CD35C4">
        <w:rPr>
          <w:rFonts w:ascii="Arial" w:hAnsi="Arial" w:cs="Arial"/>
          <w:sz w:val="21"/>
          <w:szCs w:val="21"/>
        </w:rPr>
        <w:t xml:space="preserve">oferă ISSB un </w:t>
      </w:r>
      <w:r w:rsidRPr="00CD35C4">
        <w:rPr>
          <w:rFonts w:ascii="Arial" w:hAnsi="Arial" w:cs="Arial"/>
          <w:sz w:val="21"/>
          <w:szCs w:val="21"/>
        </w:rPr>
        <w:t xml:space="preserve">bun </w:t>
      </w:r>
      <w:r w:rsidR="00D56FBB" w:rsidRPr="00CD35C4">
        <w:rPr>
          <w:rFonts w:ascii="Arial" w:hAnsi="Arial" w:cs="Arial"/>
          <w:sz w:val="21"/>
          <w:szCs w:val="21"/>
        </w:rPr>
        <w:t>punct de plecare</w:t>
      </w:r>
      <w:r w:rsidRPr="00CD35C4">
        <w:rPr>
          <w:rFonts w:ascii="Arial" w:hAnsi="Arial" w:cs="Arial"/>
          <w:sz w:val="21"/>
          <w:szCs w:val="21"/>
        </w:rPr>
        <w:t>:</w:t>
      </w:r>
    </w:p>
    <w:p w14:paraId="0067C144" w14:textId="77777777" w:rsidR="00EE6E32" w:rsidRPr="00CD35C4" w:rsidRDefault="00EE6E32" w:rsidP="009F722B">
      <w:pPr>
        <w:spacing w:after="0" w:line="240" w:lineRule="auto"/>
        <w:rPr>
          <w:rFonts w:ascii="Arial" w:hAnsi="Arial" w:cs="Arial"/>
          <w:b/>
          <w:bCs/>
          <w:sz w:val="21"/>
          <w:szCs w:val="21"/>
        </w:rPr>
      </w:pPr>
    </w:p>
    <w:p w14:paraId="3658FF16" w14:textId="2711B97D" w:rsidR="00D56FBB" w:rsidRPr="00CD35C4" w:rsidRDefault="00D56FBB" w:rsidP="009F722B">
      <w:pPr>
        <w:spacing w:after="0" w:line="240" w:lineRule="auto"/>
        <w:rPr>
          <w:rFonts w:ascii="Arial" w:hAnsi="Arial" w:cs="Arial"/>
          <w:sz w:val="21"/>
          <w:szCs w:val="21"/>
        </w:rPr>
      </w:pPr>
      <w:r w:rsidRPr="00CD35C4">
        <w:rPr>
          <w:rFonts w:ascii="Arial" w:hAnsi="Arial" w:cs="Arial"/>
          <w:b/>
          <w:bCs/>
          <w:sz w:val="21"/>
          <w:szCs w:val="21"/>
        </w:rPr>
        <w:t>Standardul prototip pentru raportările legate de climă</w:t>
      </w:r>
      <w:r w:rsidRPr="00CD35C4">
        <w:rPr>
          <w:rFonts w:ascii="Arial" w:hAnsi="Arial" w:cs="Arial"/>
          <w:sz w:val="21"/>
          <w:szCs w:val="21"/>
        </w:rPr>
        <w:t>, construit pe baza recomandărilor Grupul</w:t>
      </w:r>
      <w:r w:rsidR="00AF5AAC" w:rsidRPr="00CD35C4">
        <w:rPr>
          <w:rFonts w:ascii="Arial" w:hAnsi="Arial" w:cs="Arial"/>
          <w:sz w:val="21"/>
          <w:szCs w:val="21"/>
        </w:rPr>
        <w:t>ui</w:t>
      </w:r>
      <w:r w:rsidRPr="00CD35C4">
        <w:rPr>
          <w:rFonts w:ascii="Arial" w:hAnsi="Arial" w:cs="Arial"/>
          <w:sz w:val="21"/>
          <w:szCs w:val="21"/>
        </w:rPr>
        <w:t xml:space="preserve"> operativ pentru publicarea informațiilor financiare referitoare la climă (TCFD), ar impune organizațiilor să furnizeze informații care să permită utilizatorilor evaluarea riscurilor și oportunităților asociate cu clima în raport cu guvernanța, strategia și managementul riscurilor unei companii, precum și să prezinte indicatori și ținte legate de riscurile și oportunitățile asociate cu clima, care să asigure coerență și comparabilitate la nivelul tuturor piețelor.</w:t>
      </w:r>
    </w:p>
    <w:p w14:paraId="2F49026B" w14:textId="77777777" w:rsidR="00AF5AAC" w:rsidRPr="00CD35C4" w:rsidRDefault="00AF5AAC" w:rsidP="009F722B">
      <w:pPr>
        <w:spacing w:after="0" w:line="240" w:lineRule="auto"/>
        <w:rPr>
          <w:rFonts w:ascii="Arial" w:hAnsi="Arial" w:cs="Arial"/>
          <w:sz w:val="21"/>
          <w:szCs w:val="21"/>
        </w:rPr>
      </w:pPr>
    </w:p>
    <w:p w14:paraId="5D97055E" w14:textId="5E2632CF" w:rsidR="00597F54" w:rsidRPr="00CD35C4" w:rsidRDefault="00D56FBB" w:rsidP="009F722B">
      <w:pPr>
        <w:spacing w:after="0" w:line="240" w:lineRule="auto"/>
        <w:rPr>
          <w:rFonts w:ascii="Arial" w:hAnsi="Arial" w:cs="Arial"/>
          <w:sz w:val="21"/>
          <w:szCs w:val="21"/>
        </w:rPr>
      </w:pPr>
      <w:r w:rsidRPr="00CD35C4">
        <w:rPr>
          <w:rFonts w:ascii="Arial" w:hAnsi="Arial" w:cs="Arial"/>
          <w:b/>
          <w:bCs/>
          <w:sz w:val="21"/>
          <w:szCs w:val="21"/>
        </w:rPr>
        <w:t>Standardul prototip privind cerințele generale</w:t>
      </w:r>
      <w:r w:rsidRPr="00CD35C4">
        <w:rPr>
          <w:rFonts w:ascii="Arial" w:hAnsi="Arial" w:cs="Arial"/>
          <w:sz w:val="21"/>
          <w:szCs w:val="21"/>
        </w:rPr>
        <w:t xml:space="preserve"> oferă orientări pentru raportarea altor aspecte ESG importante care afectează valoarea companiei</w:t>
      </w:r>
      <w:r w:rsidR="00B3280C" w:rsidRPr="00CD35C4">
        <w:rPr>
          <w:rFonts w:ascii="Arial" w:hAnsi="Arial" w:cs="Arial"/>
          <w:sz w:val="21"/>
          <w:szCs w:val="21"/>
        </w:rPr>
        <w:t>.</w:t>
      </w:r>
    </w:p>
    <w:p w14:paraId="1EEE8D47" w14:textId="77777777" w:rsidR="00AF5AAC" w:rsidRPr="00CD35C4" w:rsidRDefault="00AF5AAC" w:rsidP="009F722B">
      <w:pPr>
        <w:spacing w:after="0" w:line="240" w:lineRule="auto"/>
        <w:rPr>
          <w:rFonts w:ascii="Arial" w:hAnsi="Arial" w:cs="Arial"/>
          <w:sz w:val="21"/>
          <w:szCs w:val="21"/>
        </w:rPr>
      </w:pPr>
    </w:p>
    <w:p w14:paraId="7E4FFAD0" w14:textId="77777777" w:rsidR="00DC135B" w:rsidRPr="00CD35C4" w:rsidRDefault="00D56FBB" w:rsidP="009F722B">
      <w:pPr>
        <w:spacing w:after="0" w:line="240" w:lineRule="auto"/>
        <w:rPr>
          <w:rFonts w:ascii="Arial" w:hAnsi="Arial" w:cs="Arial"/>
          <w:sz w:val="21"/>
          <w:szCs w:val="21"/>
        </w:rPr>
      </w:pPr>
      <w:r w:rsidRPr="00CD35C4">
        <w:rPr>
          <w:rFonts w:ascii="Arial" w:hAnsi="Arial" w:cs="Arial"/>
          <w:sz w:val="21"/>
          <w:szCs w:val="21"/>
        </w:rPr>
        <w:t xml:space="preserve">Potrivit unui studiu recent efectuat în rândul administratorilor de active de către Fondul Monetar Internațional (FMI), lipsa datelor referitoare climă, în special a celor cu caracter prospectiv, </w:t>
      </w:r>
      <w:r w:rsidR="00B3280C" w:rsidRPr="00CD35C4">
        <w:rPr>
          <w:rFonts w:ascii="Arial" w:hAnsi="Arial" w:cs="Arial"/>
          <w:sz w:val="21"/>
          <w:szCs w:val="21"/>
        </w:rPr>
        <w:t xml:space="preserve">este </w:t>
      </w:r>
      <w:r w:rsidRPr="00CD35C4">
        <w:rPr>
          <w:rFonts w:ascii="Arial" w:hAnsi="Arial" w:cs="Arial"/>
          <w:sz w:val="21"/>
          <w:szCs w:val="21"/>
        </w:rPr>
        <w:t xml:space="preserve">considerată cea mai presantă problemă care trebuie soluționată pentru a facilita investițiile asociate cu </w:t>
      </w:r>
    </w:p>
    <w:p w14:paraId="4711D8A8" w14:textId="77777777" w:rsidR="00DC135B" w:rsidRPr="00CD35C4" w:rsidRDefault="00DC135B" w:rsidP="009F722B">
      <w:pPr>
        <w:spacing w:after="0" w:line="240" w:lineRule="auto"/>
        <w:rPr>
          <w:rFonts w:ascii="Arial" w:hAnsi="Arial" w:cs="Arial"/>
          <w:sz w:val="21"/>
          <w:szCs w:val="21"/>
        </w:rPr>
      </w:pPr>
    </w:p>
    <w:p w14:paraId="1941A037" w14:textId="5D55FE83" w:rsidR="00460223" w:rsidRPr="00CD35C4" w:rsidRDefault="00D56FBB" w:rsidP="009F722B">
      <w:pPr>
        <w:spacing w:after="0" w:line="240" w:lineRule="auto"/>
        <w:rPr>
          <w:rFonts w:ascii="Arial" w:hAnsi="Arial" w:cs="Arial"/>
          <w:sz w:val="21"/>
          <w:szCs w:val="21"/>
        </w:rPr>
      </w:pPr>
      <w:r w:rsidRPr="00CD35C4">
        <w:rPr>
          <w:rFonts w:ascii="Arial" w:hAnsi="Arial" w:cs="Arial"/>
          <w:sz w:val="21"/>
          <w:szCs w:val="21"/>
        </w:rPr>
        <w:t>tranziția către o economie verde.</w:t>
      </w:r>
      <w:r w:rsidR="0021184A" w:rsidRPr="00CD35C4">
        <w:rPr>
          <w:rFonts w:ascii="Arial" w:hAnsi="Arial" w:cs="Arial"/>
          <w:sz w:val="21"/>
          <w:szCs w:val="21"/>
        </w:rPr>
        <w:t xml:space="preserve"> </w:t>
      </w:r>
      <w:r w:rsidRPr="00CD35C4">
        <w:rPr>
          <w:rFonts w:ascii="Arial" w:hAnsi="Arial" w:cs="Arial"/>
          <w:sz w:val="21"/>
          <w:szCs w:val="21"/>
        </w:rPr>
        <w:t xml:space="preserve">În </w:t>
      </w:r>
      <w:r w:rsidR="00B116B2" w:rsidRPr="00CD35C4">
        <w:rPr>
          <w:rFonts w:ascii="Arial" w:hAnsi="Arial" w:cs="Arial"/>
          <w:sz w:val="21"/>
          <w:szCs w:val="21"/>
        </w:rPr>
        <w:t>acest context,</w:t>
      </w:r>
      <w:r w:rsidRPr="00CD35C4">
        <w:rPr>
          <w:rFonts w:ascii="Arial" w:hAnsi="Arial" w:cs="Arial"/>
          <w:sz w:val="21"/>
          <w:szCs w:val="21"/>
        </w:rPr>
        <w:t xml:space="preserve"> FMI face apel la factorii de decizie politică să „consolideze urgent arhitectura informațiilor legate de climă, atât în cazul companiilor, cât și al fondurilor de investiții”, pentru a armoniza fluxurile investițiilor cu obiectivele climatice.</w:t>
      </w:r>
      <w:r w:rsidR="0021184A" w:rsidRPr="00CD35C4">
        <w:rPr>
          <w:rFonts w:ascii="Arial" w:hAnsi="Arial" w:cs="Arial"/>
          <w:sz w:val="21"/>
          <w:szCs w:val="21"/>
        </w:rPr>
        <w:t xml:space="preserve"> </w:t>
      </w:r>
      <w:r w:rsidRPr="00CD35C4">
        <w:rPr>
          <w:rFonts w:ascii="Arial" w:hAnsi="Arial" w:cs="Arial"/>
          <w:sz w:val="21"/>
          <w:szCs w:val="21"/>
        </w:rPr>
        <w:t>ISSB are potențialul de a deveni un pilon cheie al acestei arhitecturi și în furnizarea de informații ESG relevante și utile în luarea deciziilor.</w:t>
      </w:r>
    </w:p>
    <w:p w14:paraId="0600C04D" w14:textId="77777777" w:rsidR="00AF5AAC" w:rsidRPr="00CD35C4" w:rsidRDefault="00AF5AAC" w:rsidP="009F722B">
      <w:pPr>
        <w:spacing w:after="0" w:line="240" w:lineRule="auto"/>
        <w:rPr>
          <w:rFonts w:ascii="Arial" w:hAnsi="Arial" w:cs="Arial"/>
          <w:sz w:val="21"/>
          <w:szCs w:val="21"/>
        </w:rPr>
      </w:pPr>
    </w:p>
    <w:p w14:paraId="7ECFDAF6" w14:textId="66DE3329" w:rsidR="00D56FBB" w:rsidRPr="00CD35C4" w:rsidRDefault="00D56FBB" w:rsidP="009F722B">
      <w:pPr>
        <w:spacing w:after="0" w:line="240" w:lineRule="auto"/>
        <w:rPr>
          <w:rFonts w:ascii="Arial" w:hAnsi="Arial" w:cs="Arial"/>
          <w:sz w:val="21"/>
          <w:szCs w:val="21"/>
        </w:rPr>
      </w:pPr>
      <w:r w:rsidRPr="00CD35C4">
        <w:rPr>
          <w:rFonts w:ascii="Arial" w:hAnsi="Arial" w:cs="Arial"/>
          <w:sz w:val="21"/>
          <w:szCs w:val="21"/>
        </w:rPr>
        <w:t xml:space="preserve">În </w:t>
      </w:r>
      <w:r w:rsidR="00B116B2" w:rsidRPr="00CD35C4">
        <w:rPr>
          <w:rFonts w:ascii="Arial" w:hAnsi="Arial" w:cs="Arial"/>
          <w:sz w:val="21"/>
          <w:szCs w:val="21"/>
        </w:rPr>
        <w:t>co</w:t>
      </w:r>
      <w:r w:rsidR="008314DC" w:rsidRPr="00CD35C4">
        <w:rPr>
          <w:rFonts w:ascii="Arial" w:hAnsi="Arial" w:cs="Arial"/>
          <w:sz w:val="21"/>
          <w:szCs w:val="21"/>
        </w:rPr>
        <w:t>n</w:t>
      </w:r>
      <w:r w:rsidR="00B116B2" w:rsidRPr="00CD35C4">
        <w:rPr>
          <w:rFonts w:ascii="Arial" w:hAnsi="Arial" w:cs="Arial"/>
          <w:sz w:val="21"/>
          <w:szCs w:val="21"/>
        </w:rPr>
        <w:t xml:space="preserve">dițiile </w:t>
      </w:r>
      <w:r w:rsidRPr="00CD35C4">
        <w:rPr>
          <w:rFonts w:ascii="Arial" w:hAnsi="Arial" w:cs="Arial"/>
          <w:sz w:val="21"/>
          <w:szCs w:val="21"/>
        </w:rPr>
        <w:t>în care procesul de standardizare</w:t>
      </w:r>
      <w:r w:rsidR="002D0FFE" w:rsidRPr="00CD35C4">
        <w:rPr>
          <w:rFonts w:ascii="Arial" w:hAnsi="Arial" w:cs="Arial"/>
          <w:sz w:val="21"/>
          <w:szCs w:val="21"/>
        </w:rPr>
        <w:t xml:space="preserve"> globală</w:t>
      </w:r>
      <w:r w:rsidRPr="00CD35C4">
        <w:rPr>
          <w:rFonts w:ascii="Arial" w:hAnsi="Arial" w:cs="Arial"/>
          <w:sz w:val="21"/>
          <w:szCs w:val="21"/>
        </w:rPr>
        <w:t xml:space="preserve"> în domeniul </w:t>
      </w:r>
      <w:r w:rsidR="007318BA" w:rsidRPr="00CD35C4">
        <w:rPr>
          <w:rFonts w:ascii="Arial" w:hAnsi="Arial" w:cs="Arial"/>
          <w:sz w:val="21"/>
          <w:szCs w:val="21"/>
        </w:rPr>
        <w:t>sustenabil</w:t>
      </w:r>
      <w:r w:rsidR="00D66FD3" w:rsidRPr="00CD35C4">
        <w:rPr>
          <w:rFonts w:ascii="Arial" w:hAnsi="Arial" w:cs="Arial"/>
          <w:sz w:val="21"/>
          <w:szCs w:val="21"/>
        </w:rPr>
        <w:t>i</w:t>
      </w:r>
      <w:r w:rsidR="007318BA" w:rsidRPr="00CD35C4">
        <w:rPr>
          <w:rFonts w:ascii="Arial" w:hAnsi="Arial" w:cs="Arial"/>
          <w:sz w:val="21"/>
          <w:szCs w:val="21"/>
        </w:rPr>
        <w:t xml:space="preserve">tății </w:t>
      </w:r>
      <w:r w:rsidRPr="00CD35C4">
        <w:rPr>
          <w:rFonts w:ascii="Arial" w:hAnsi="Arial" w:cs="Arial"/>
          <w:sz w:val="21"/>
          <w:szCs w:val="21"/>
        </w:rPr>
        <w:t xml:space="preserve">se pune în mișcare, este esențial să fie păstrate pe agenda </w:t>
      </w:r>
      <w:r w:rsidR="00DB7361" w:rsidRPr="00CD35C4">
        <w:rPr>
          <w:rFonts w:ascii="Arial" w:hAnsi="Arial" w:cs="Arial"/>
          <w:sz w:val="21"/>
          <w:szCs w:val="21"/>
        </w:rPr>
        <w:t xml:space="preserve">publică </w:t>
      </w:r>
      <w:r w:rsidRPr="00CD35C4">
        <w:rPr>
          <w:rFonts w:ascii="Arial" w:hAnsi="Arial" w:cs="Arial"/>
          <w:sz w:val="21"/>
          <w:szCs w:val="21"/>
        </w:rPr>
        <w:t>trei aspecte:</w:t>
      </w:r>
    </w:p>
    <w:p w14:paraId="0E822B46" w14:textId="77777777" w:rsidR="00AF5AAC" w:rsidRPr="00CD35C4" w:rsidRDefault="00AF5AAC" w:rsidP="009F722B">
      <w:pPr>
        <w:spacing w:after="0" w:line="240" w:lineRule="auto"/>
        <w:rPr>
          <w:rFonts w:ascii="Arial" w:hAnsi="Arial" w:cs="Arial"/>
          <w:b/>
          <w:sz w:val="21"/>
          <w:szCs w:val="21"/>
        </w:rPr>
      </w:pPr>
    </w:p>
    <w:p w14:paraId="0710071B" w14:textId="6B9BE3B8" w:rsidR="00D56FBB" w:rsidRPr="00CD35C4" w:rsidRDefault="00D56FBB" w:rsidP="009F722B">
      <w:pPr>
        <w:spacing w:after="0" w:line="240" w:lineRule="auto"/>
        <w:rPr>
          <w:rFonts w:ascii="Arial" w:hAnsi="Arial" w:cs="Arial"/>
          <w:b/>
          <w:sz w:val="21"/>
          <w:szCs w:val="21"/>
        </w:rPr>
      </w:pPr>
      <w:r w:rsidRPr="00CD35C4">
        <w:rPr>
          <w:rFonts w:ascii="Arial" w:hAnsi="Arial" w:cs="Arial"/>
          <w:b/>
          <w:sz w:val="21"/>
          <w:szCs w:val="21"/>
        </w:rPr>
        <w:t xml:space="preserve">1. </w:t>
      </w:r>
      <w:r w:rsidR="000E7513" w:rsidRPr="00CD35C4">
        <w:rPr>
          <w:rFonts w:ascii="Arial" w:hAnsi="Arial" w:cs="Arial"/>
          <w:b/>
          <w:sz w:val="21"/>
          <w:szCs w:val="21"/>
        </w:rPr>
        <w:t>S</w:t>
      </w:r>
      <w:r w:rsidRPr="00CD35C4">
        <w:rPr>
          <w:rFonts w:ascii="Arial" w:hAnsi="Arial" w:cs="Arial"/>
          <w:b/>
          <w:sz w:val="21"/>
          <w:szCs w:val="21"/>
        </w:rPr>
        <w:t xml:space="preserve">tandarde </w:t>
      </w:r>
      <w:r w:rsidR="000E7513" w:rsidRPr="00CD35C4">
        <w:rPr>
          <w:rFonts w:ascii="Arial" w:hAnsi="Arial" w:cs="Arial"/>
          <w:b/>
          <w:sz w:val="21"/>
          <w:szCs w:val="21"/>
        </w:rPr>
        <w:t xml:space="preserve">specifice </w:t>
      </w:r>
      <w:r w:rsidRPr="00CD35C4">
        <w:rPr>
          <w:rFonts w:ascii="Arial" w:hAnsi="Arial" w:cs="Arial"/>
          <w:b/>
          <w:sz w:val="21"/>
          <w:szCs w:val="21"/>
        </w:rPr>
        <w:t xml:space="preserve">de guvernanță corporativă și socială </w:t>
      </w:r>
    </w:p>
    <w:p w14:paraId="1ADB0653" w14:textId="4ACD12C6" w:rsidR="00D56FBB" w:rsidRPr="00CD35C4" w:rsidRDefault="00D86984">
      <w:pPr>
        <w:spacing w:after="0" w:line="240" w:lineRule="auto"/>
        <w:rPr>
          <w:rFonts w:ascii="Arial" w:hAnsi="Arial" w:cs="Arial"/>
          <w:sz w:val="21"/>
          <w:szCs w:val="21"/>
        </w:rPr>
      </w:pPr>
      <w:r w:rsidRPr="00CD35C4">
        <w:rPr>
          <w:rFonts w:ascii="Arial" w:hAnsi="Arial" w:cs="Arial"/>
          <w:sz w:val="21"/>
          <w:szCs w:val="21"/>
        </w:rPr>
        <w:t>Î</w:t>
      </w:r>
      <w:r w:rsidR="00D56FBB" w:rsidRPr="00CD35C4">
        <w:rPr>
          <w:rFonts w:ascii="Arial" w:hAnsi="Arial" w:cs="Arial"/>
          <w:sz w:val="21"/>
          <w:szCs w:val="21"/>
        </w:rPr>
        <w:t>n</w:t>
      </w:r>
      <w:r w:rsidR="0021184A" w:rsidRPr="00CD35C4">
        <w:rPr>
          <w:rFonts w:ascii="Arial" w:hAnsi="Arial" w:cs="Arial"/>
          <w:sz w:val="21"/>
          <w:szCs w:val="21"/>
        </w:rPr>
        <w:t>tr-o primă etapă</w:t>
      </w:r>
      <w:r w:rsidR="00B116B2" w:rsidRPr="00CD35C4">
        <w:rPr>
          <w:rFonts w:ascii="Arial" w:hAnsi="Arial" w:cs="Arial"/>
          <w:sz w:val="21"/>
          <w:szCs w:val="21"/>
        </w:rPr>
        <w:t xml:space="preserve">, </w:t>
      </w:r>
      <w:r w:rsidR="00D56FBB" w:rsidRPr="00CD35C4">
        <w:rPr>
          <w:rFonts w:ascii="Arial" w:hAnsi="Arial" w:cs="Arial"/>
          <w:sz w:val="21"/>
          <w:szCs w:val="21"/>
        </w:rPr>
        <w:t>standardul prototip privind cerințele generale va oferi companiilor</w:t>
      </w:r>
      <w:r w:rsidR="008C276A" w:rsidRPr="00CD35C4">
        <w:rPr>
          <w:rFonts w:ascii="Arial" w:hAnsi="Arial" w:cs="Arial"/>
          <w:sz w:val="21"/>
          <w:szCs w:val="21"/>
        </w:rPr>
        <w:t>, pentru o perioadă interimară,</w:t>
      </w:r>
      <w:r w:rsidR="00D56FBB" w:rsidRPr="00CD35C4">
        <w:rPr>
          <w:rFonts w:ascii="Arial" w:hAnsi="Arial" w:cs="Arial"/>
          <w:sz w:val="21"/>
          <w:szCs w:val="21"/>
        </w:rPr>
        <w:t xml:space="preserve"> </w:t>
      </w:r>
      <w:r w:rsidR="00553239" w:rsidRPr="00CD35C4">
        <w:rPr>
          <w:rFonts w:ascii="Arial" w:hAnsi="Arial" w:cs="Arial"/>
          <w:sz w:val="21"/>
          <w:szCs w:val="21"/>
        </w:rPr>
        <w:t xml:space="preserve">îndrumări </w:t>
      </w:r>
      <w:r w:rsidR="0021184A" w:rsidRPr="00CD35C4">
        <w:rPr>
          <w:rFonts w:ascii="Arial" w:hAnsi="Arial" w:cs="Arial"/>
          <w:sz w:val="21"/>
          <w:szCs w:val="21"/>
        </w:rPr>
        <w:t xml:space="preserve">legate de </w:t>
      </w:r>
      <w:r w:rsidR="000035CC" w:rsidRPr="00CD35C4">
        <w:rPr>
          <w:rFonts w:ascii="Arial" w:hAnsi="Arial" w:cs="Arial"/>
          <w:sz w:val="21"/>
          <w:szCs w:val="21"/>
        </w:rPr>
        <w:t>publicarea informațiilor referitoare la alte aspecte ESG</w:t>
      </w:r>
      <w:r w:rsidR="00D56FBB" w:rsidRPr="00CD35C4">
        <w:rPr>
          <w:rFonts w:ascii="Arial" w:hAnsi="Arial" w:cs="Arial"/>
          <w:sz w:val="21"/>
          <w:szCs w:val="21"/>
        </w:rPr>
        <w:t xml:space="preserve">. </w:t>
      </w:r>
      <w:r w:rsidRPr="00CD35C4">
        <w:rPr>
          <w:rFonts w:ascii="Arial" w:hAnsi="Arial" w:cs="Arial"/>
          <w:sz w:val="21"/>
          <w:szCs w:val="21"/>
        </w:rPr>
        <w:t xml:space="preserve">Însă, </w:t>
      </w:r>
      <w:r w:rsidR="00D56FBB" w:rsidRPr="00CD35C4">
        <w:rPr>
          <w:rFonts w:ascii="Arial" w:hAnsi="Arial" w:cs="Arial"/>
          <w:sz w:val="21"/>
          <w:szCs w:val="21"/>
        </w:rPr>
        <w:t xml:space="preserve">pe termen mediu, același grad de stringență este necesar și în cazul unei serii mai largi de aspecte legate de </w:t>
      </w:r>
      <w:r w:rsidR="00D35CAC" w:rsidRPr="00CD35C4">
        <w:rPr>
          <w:rFonts w:ascii="Arial" w:hAnsi="Arial" w:cs="Arial"/>
          <w:sz w:val="21"/>
          <w:szCs w:val="21"/>
        </w:rPr>
        <w:t>sustenabilitate</w:t>
      </w:r>
      <w:r w:rsidR="00D56FBB" w:rsidRPr="00CD35C4">
        <w:rPr>
          <w:rFonts w:ascii="Arial" w:hAnsi="Arial" w:cs="Arial"/>
          <w:sz w:val="21"/>
          <w:szCs w:val="21"/>
        </w:rPr>
        <w:t>, printre care cele asociate cu lucrătorii și cu drepturile omului.</w:t>
      </w:r>
      <w:r w:rsidR="00B116B2" w:rsidRPr="00CD35C4">
        <w:rPr>
          <w:rFonts w:ascii="Arial" w:hAnsi="Arial" w:cs="Arial"/>
          <w:sz w:val="21"/>
          <w:szCs w:val="21"/>
        </w:rPr>
        <w:t xml:space="preserve"> </w:t>
      </w:r>
      <w:r w:rsidR="00D56FBB" w:rsidRPr="00CD35C4">
        <w:rPr>
          <w:rFonts w:ascii="Arial" w:hAnsi="Arial" w:cs="Arial"/>
          <w:sz w:val="21"/>
          <w:szCs w:val="21"/>
        </w:rPr>
        <w:t xml:space="preserve">Necesitatea de a acționa în privința acestor aspecte a devenit dureros de clară în contextul pandemiei, </w:t>
      </w:r>
      <w:r w:rsidR="00B116B2" w:rsidRPr="00CD35C4">
        <w:rPr>
          <w:rFonts w:ascii="Arial" w:hAnsi="Arial" w:cs="Arial"/>
          <w:sz w:val="21"/>
          <w:szCs w:val="21"/>
        </w:rPr>
        <w:t xml:space="preserve">iar </w:t>
      </w:r>
      <w:r w:rsidR="00D56FBB" w:rsidRPr="00CD35C4">
        <w:rPr>
          <w:rFonts w:ascii="Arial" w:hAnsi="Arial" w:cs="Arial"/>
          <w:sz w:val="21"/>
          <w:szCs w:val="21"/>
        </w:rPr>
        <w:t xml:space="preserve">cercetările Conferinței Națiunilor Unite pentru Comerț și Dezvoltare (UNCTAD) </w:t>
      </w:r>
      <w:r w:rsidR="00B116B2" w:rsidRPr="00CD35C4">
        <w:rPr>
          <w:rFonts w:ascii="Arial" w:hAnsi="Arial" w:cs="Arial"/>
          <w:sz w:val="21"/>
          <w:szCs w:val="21"/>
        </w:rPr>
        <w:t>a</w:t>
      </w:r>
      <w:r w:rsidRPr="00CD35C4">
        <w:rPr>
          <w:rFonts w:ascii="Arial" w:hAnsi="Arial" w:cs="Arial"/>
          <w:sz w:val="21"/>
          <w:szCs w:val="21"/>
        </w:rPr>
        <w:t>u</w:t>
      </w:r>
      <w:r w:rsidR="00B116B2" w:rsidRPr="00CD35C4">
        <w:rPr>
          <w:rFonts w:ascii="Arial" w:hAnsi="Arial" w:cs="Arial"/>
          <w:sz w:val="21"/>
          <w:szCs w:val="21"/>
        </w:rPr>
        <w:t xml:space="preserve"> ilustrat </w:t>
      </w:r>
      <w:r w:rsidR="00D56FBB" w:rsidRPr="00CD35C4">
        <w:rPr>
          <w:rFonts w:ascii="Arial" w:hAnsi="Arial" w:cs="Arial"/>
          <w:sz w:val="21"/>
          <w:szCs w:val="21"/>
        </w:rPr>
        <w:t>modul în care pandemia a anulat ani de progrese către atingerea obiectivelor de dezvoltare durabilă.</w:t>
      </w:r>
    </w:p>
    <w:p w14:paraId="540B6968" w14:textId="77777777" w:rsidR="00EE6E32" w:rsidRPr="00CD35C4" w:rsidRDefault="00EE6E32" w:rsidP="009F722B">
      <w:pPr>
        <w:spacing w:after="0" w:line="240" w:lineRule="auto"/>
        <w:rPr>
          <w:rFonts w:ascii="Arial" w:hAnsi="Arial" w:cs="Arial"/>
          <w:sz w:val="21"/>
          <w:szCs w:val="21"/>
        </w:rPr>
      </w:pPr>
    </w:p>
    <w:p w14:paraId="7203BD7A" w14:textId="2EC86E6F" w:rsidR="00D56FBB" w:rsidRPr="00CD35C4" w:rsidRDefault="00D56FBB" w:rsidP="009F722B">
      <w:pPr>
        <w:spacing w:after="0" w:line="240" w:lineRule="auto"/>
        <w:rPr>
          <w:rFonts w:ascii="Arial" w:hAnsi="Arial" w:cs="Arial"/>
          <w:sz w:val="21"/>
          <w:szCs w:val="21"/>
        </w:rPr>
      </w:pPr>
      <w:r w:rsidRPr="00CD35C4">
        <w:rPr>
          <w:rFonts w:ascii="Arial" w:hAnsi="Arial" w:cs="Arial"/>
          <w:sz w:val="21"/>
          <w:szCs w:val="21"/>
        </w:rPr>
        <w:t>În același timp, în întreaga lume au apărut obligații de raportare a factorilor sociali și de guvernanță. Printre acestea se numără</w:t>
      </w:r>
      <w:r w:rsidR="00B116B2" w:rsidRPr="00CD35C4">
        <w:rPr>
          <w:rFonts w:ascii="Arial" w:hAnsi="Arial" w:cs="Arial"/>
          <w:sz w:val="21"/>
          <w:szCs w:val="21"/>
        </w:rPr>
        <w:t xml:space="preserve"> </w:t>
      </w:r>
      <w:r w:rsidRPr="00CD35C4">
        <w:rPr>
          <w:rFonts w:ascii="Arial" w:hAnsi="Arial" w:cs="Arial"/>
          <w:sz w:val="21"/>
          <w:szCs w:val="21"/>
        </w:rPr>
        <w:t xml:space="preserve">Directiva privind raportarea de către întreprinderi de informații privind </w:t>
      </w:r>
      <w:r w:rsidR="00B116B2" w:rsidRPr="00CD35C4">
        <w:rPr>
          <w:rFonts w:ascii="Arial" w:hAnsi="Arial" w:cs="Arial"/>
          <w:sz w:val="21"/>
          <w:szCs w:val="21"/>
        </w:rPr>
        <w:t xml:space="preserve">sustenabilitatea </w:t>
      </w:r>
      <w:r w:rsidRPr="00CD35C4">
        <w:rPr>
          <w:rFonts w:ascii="Arial" w:hAnsi="Arial" w:cs="Arial"/>
          <w:sz w:val="21"/>
          <w:szCs w:val="21"/>
        </w:rPr>
        <w:t>(CSRD)</w:t>
      </w:r>
      <w:r w:rsidR="00D86984" w:rsidRPr="00CD35C4">
        <w:rPr>
          <w:rFonts w:ascii="Arial" w:hAnsi="Arial" w:cs="Arial"/>
          <w:sz w:val="21"/>
          <w:szCs w:val="21"/>
        </w:rPr>
        <w:t>, care</w:t>
      </w:r>
      <w:r w:rsidRPr="00CD35C4">
        <w:rPr>
          <w:rFonts w:ascii="Arial" w:hAnsi="Arial" w:cs="Arial"/>
          <w:sz w:val="21"/>
          <w:szCs w:val="21"/>
        </w:rPr>
        <w:t xml:space="preserve"> va impune companiilor din UE (și unor companii care nu își au sediul în UE) să facă raportări privind drepturile omului, printre alte informații referitoare la forța de muncă.</w:t>
      </w:r>
    </w:p>
    <w:p w14:paraId="58E157C4" w14:textId="77777777" w:rsidR="00D86984" w:rsidRPr="00CD35C4" w:rsidRDefault="00D86984" w:rsidP="009F722B">
      <w:pPr>
        <w:spacing w:after="0" w:line="240" w:lineRule="auto"/>
        <w:rPr>
          <w:rFonts w:ascii="Arial" w:hAnsi="Arial" w:cs="Arial"/>
          <w:sz w:val="21"/>
          <w:szCs w:val="21"/>
        </w:rPr>
      </w:pPr>
    </w:p>
    <w:p w14:paraId="1488E1DE" w14:textId="77777777" w:rsidR="00D56FBB" w:rsidRPr="00CD35C4" w:rsidRDefault="00D56FBB" w:rsidP="009F722B">
      <w:pPr>
        <w:spacing w:after="0" w:line="240" w:lineRule="auto"/>
        <w:rPr>
          <w:rFonts w:ascii="Arial" w:hAnsi="Arial" w:cs="Arial"/>
          <w:sz w:val="21"/>
          <w:szCs w:val="21"/>
        </w:rPr>
      </w:pPr>
      <w:r w:rsidRPr="00CD35C4">
        <w:rPr>
          <w:rFonts w:ascii="Arial" w:hAnsi="Arial" w:cs="Arial"/>
          <w:sz w:val="21"/>
          <w:szCs w:val="21"/>
        </w:rPr>
        <w:t>În SUA, Comisia pentru burse și valori mobiliare (SEC) a aprobat recent noi reguli de listare legate de raportări și diversitatea consiliilor de administrație în cazul companiilor listate pe piața NASDAQ și elaborează un set de reguli de raportare obligatorii privind capitalul uman, care ar putea cuprinde o serie de indicatori, printre care fluctuația de personal, abilități și perfecționare, remunerare, avantaje, date demografice, inclusiv diversitatea forței de muncă, și sănătate și siguranță.</w:t>
      </w:r>
    </w:p>
    <w:p w14:paraId="32C2DAC5" w14:textId="77777777" w:rsidR="00AF5AAC" w:rsidRPr="00CD35C4" w:rsidRDefault="00AF5AAC" w:rsidP="009F722B">
      <w:pPr>
        <w:spacing w:after="0" w:line="240" w:lineRule="auto"/>
        <w:rPr>
          <w:rFonts w:ascii="Arial" w:hAnsi="Arial" w:cs="Arial"/>
          <w:sz w:val="21"/>
          <w:szCs w:val="21"/>
        </w:rPr>
      </w:pPr>
    </w:p>
    <w:p w14:paraId="624DAE87" w14:textId="5B2ACDDE" w:rsidR="00D56FBB" w:rsidRPr="00CD35C4" w:rsidRDefault="00D86984" w:rsidP="009F722B">
      <w:pPr>
        <w:spacing w:after="0" w:line="240" w:lineRule="auto"/>
        <w:rPr>
          <w:rFonts w:ascii="Arial" w:hAnsi="Arial" w:cs="Arial"/>
          <w:sz w:val="21"/>
          <w:szCs w:val="21"/>
        </w:rPr>
      </w:pPr>
      <w:r w:rsidRPr="00CD35C4">
        <w:rPr>
          <w:rFonts w:ascii="Arial" w:hAnsi="Arial" w:cs="Arial"/>
          <w:sz w:val="21"/>
          <w:szCs w:val="21"/>
        </w:rPr>
        <w:t>În India, c</w:t>
      </w:r>
      <w:r w:rsidR="00D56FBB" w:rsidRPr="00CD35C4">
        <w:rPr>
          <w:rFonts w:ascii="Arial" w:hAnsi="Arial" w:cs="Arial"/>
          <w:sz w:val="21"/>
          <w:szCs w:val="21"/>
        </w:rPr>
        <w:t xml:space="preserve">ele mai mari 1.000 de companii listate vor avea în curând obligația de a depune un raport privind </w:t>
      </w:r>
      <w:r w:rsidRPr="00CD35C4">
        <w:rPr>
          <w:rFonts w:ascii="Arial" w:hAnsi="Arial" w:cs="Arial"/>
          <w:sz w:val="21"/>
          <w:szCs w:val="21"/>
        </w:rPr>
        <w:t xml:space="preserve">sustenabilitatea </w:t>
      </w:r>
      <w:r w:rsidR="00D56FBB" w:rsidRPr="00CD35C4">
        <w:rPr>
          <w:rFonts w:ascii="Arial" w:hAnsi="Arial" w:cs="Arial"/>
          <w:sz w:val="21"/>
          <w:szCs w:val="21"/>
        </w:rPr>
        <w:t>și responsabilitatea activității, care va conține informații referitoare la o gamă largă de factori ESG, printre care prestațiile de asigurări sociale și salariile medii, diversitatea de gen și consumul de resurse.</w:t>
      </w:r>
    </w:p>
    <w:p w14:paraId="1F825FEE" w14:textId="77777777" w:rsidR="00B116B2" w:rsidRPr="00CD35C4" w:rsidRDefault="00B116B2" w:rsidP="009F722B">
      <w:pPr>
        <w:spacing w:after="0" w:line="240" w:lineRule="auto"/>
        <w:rPr>
          <w:rFonts w:ascii="Arial" w:hAnsi="Arial" w:cs="Arial"/>
          <w:sz w:val="21"/>
          <w:szCs w:val="21"/>
        </w:rPr>
      </w:pPr>
    </w:p>
    <w:p w14:paraId="3E3BFC9F" w14:textId="14289C36" w:rsidR="00D56FBB" w:rsidRPr="00CD35C4" w:rsidRDefault="00D56FBB" w:rsidP="009F722B">
      <w:pPr>
        <w:spacing w:after="0" w:line="240" w:lineRule="auto"/>
        <w:rPr>
          <w:rFonts w:ascii="Arial" w:hAnsi="Arial" w:cs="Arial"/>
          <w:sz w:val="21"/>
          <w:szCs w:val="21"/>
        </w:rPr>
      </w:pPr>
      <w:r w:rsidRPr="00CD35C4">
        <w:rPr>
          <w:rFonts w:ascii="Arial" w:hAnsi="Arial" w:cs="Arial"/>
          <w:sz w:val="21"/>
          <w:szCs w:val="21"/>
        </w:rPr>
        <w:t>Deși această evoluție oglindește dorința actorilor interesați de a avea mai multe informații privind riscurile ESG, ea crește în același timp riscul de fragmentare și necesitatea un</w:t>
      </w:r>
      <w:r w:rsidR="00D86984" w:rsidRPr="00CD35C4">
        <w:rPr>
          <w:rFonts w:ascii="Arial" w:hAnsi="Arial" w:cs="Arial"/>
          <w:sz w:val="21"/>
          <w:szCs w:val="21"/>
        </w:rPr>
        <w:t>ui</w:t>
      </w:r>
      <w:r w:rsidRPr="00CD35C4">
        <w:rPr>
          <w:rFonts w:ascii="Arial" w:hAnsi="Arial" w:cs="Arial"/>
          <w:sz w:val="21"/>
          <w:szCs w:val="21"/>
        </w:rPr>
        <w:t xml:space="preserve"> grad mai mare de coerență și comparabilitate.</w:t>
      </w:r>
    </w:p>
    <w:p w14:paraId="784F9633" w14:textId="77777777" w:rsidR="00AF5AAC" w:rsidRPr="00CD35C4" w:rsidRDefault="00AF5AAC" w:rsidP="009F722B">
      <w:pPr>
        <w:spacing w:after="0" w:line="240" w:lineRule="auto"/>
        <w:rPr>
          <w:rFonts w:ascii="Arial" w:hAnsi="Arial" w:cs="Arial"/>
          <w:sz w:val="21"/>
          <w:szCs w:val="21"/>
        </w:rPr>
      </w:pPr>
    </w:p>
    <w:p w14:paraId="1E573362" w14:textId="77777777" w:rsidR="00D56FBB" w:rsidRPr="00CD35C4" w:rsidRDefault="00D56FBB" w:rsidP="009F722B">
      <w:pPr>
        <w:spacing w:after="0" w:line="240" w:lineRule="auto"/>
        <w:rPr>
          <w:rFonts w:ascii="Arial" w:hAnsi="Arial" w:cs="Arial"/>
          <w:b/>
          <w:sz w:val="21"/>
          <w:szCs w:val="21"/>
        </w:rPr>
      </w:pPr>
      <w:r w:rsidRPr="00CD35C4">
        <w:rPr>
          <w:rFonts w:ascii="Arial" w:hAnsi="Arial" w:cs="Arial"/>
          <w:b/>
          <w:sz w:val="21"/>
          <w:szCs w:val="21"/>
        </w:rPr>
        <w:t>2. Distincția dintre abordarea bazată pe valoarea întreprinderii și cea bazată pe valoarea socială se va estompa în timp</w:t>
      </w:r>
    </w:p>
    <w:p w14:paraId="577CD7B0" w14:textId="77777777" w:rsidR="003F2717" w:rsidRPr="00CD35C4" w:rsidRDefault="00D56FBB" w:rsidP="009F722B">
      <w:pPr>
        <w:spacing w:after="0" w:line="240" w:lineRule="auto"/>
        <w:rPr>
          <w:rFonts w:ascii="Arial" w:hAnsi="Arial" w:cs="Arial"/>
          <w:sz w:val="21"/>
          <w:szCs w:val="21"/>
        </w:rPr>
      </w:pPr>
      <w:r w:rsidRPr="00CD35C4">
        <w:rPr>
          <w:rFonts w:ascii="Arial" w:hAnsi="Arial" w:cs="Arial"/>
          <w:sz w:val="21"/>
          <w:szCs w:val="21"/>
        </w:rPr>
        <w:t xml:space="preserve">ISSB a anunțat că va elabora standarde de raportare privind </w:t>
      </w:r>
      <w:r w:rsidR="006709FC" w:rsidRPr="00CD35C4">
        <w:rPr>
          <w:rFonts w:ascii="Arial" w:hAnsi="Arial" w:cs="Arial"/>
          <w:sz w:val="21"/>
          <w:szCs w:val="21"/>
        </w:rPr>
        <w:t xml:space="preserve">sustenabilitatea </w:t>
      </w:r>
      <w:r w:rsidRPr="00CD35C4">
        <w:rPr>
          <w:rFonts w:ascii="Arial" w:hAnsi="Arial" w:cs="Arial"/>
          <w:sz w:val="21"/>
          <w:szCs w:val="21"/>
        </w:rPr>
        <w:t xml:space="preserve">care să vizeze impactul companiilor asupra aspectelor legate de </w:t>
      </w:r>
      <w:r w:rsidR="006709FC" w:rsidRPr="00CD35C4">
        <w:rPr>
          <w:rFonts w:ascii="Arial" w:hAnsi="Arial" w:cs="Arial"/>
          <w:sz w:val="21"/>
          <w:szCs w:val="21"/>
        </w:rPr>
        <w:t xml:space="preserve">sustenabilitate </w:t>
      </w:r>
      <w:r w:rsidRPr="00CD35C4">
        <w:rPr>
          <w:rFonts w:ascii="Arial" w:hAnsi="Arial" w:cs="Arial"/>
          <w:sz w:val="21"/>
          <w:szCs w:val="21"/>
        </w:rPr>
        <w:t xml:space="preserve">care sunt relevante în estimarea valorii întreprinderii (așa cum este aceasta stabilită de actorii de pe piață) și în luarea deciziilor de </w:t>
      </w:r>
    </w:p>
    <w:p w14:paraId="125B055B" w14:textId="6B6B5AEB" w:rsidR="00D56FBB" w:rsidRPr="00CD35C4" w:rsidRDefault="00D56FBB" w:rsidP="009F722B">
      <w:pPr>
        <w:spacing w:after="0" w:line="240" w:lineRule="auto"/>
        <w:rPr>
          <w:rFonts w:ascii="Arial" w:hAnsi="Arial" w:cs="Arial"/>
          <w:sz w:val="21"/>
          <w:szCs w:val="21"/>
        </w:rPr>
      </w:pPr>
      <w:r w:rsidRPr="00CD35C4">
        <w:rPr>
          <w:rFonts w:ascii="Arial" w:hAnsi="Arial" w:cs="Arial"/>
          <w:sz w:val="21"/>
          <w:szCs w:val="21"/>
        </w:rPr>
        <w:t xml:space="preserve">investiții. Această abordare este strâns corelată cu statutul Fundației IFRS și cu interpretarea „tradițională” a conceptului </w:t>
      </w:r>
      <w:r w:rsidR="00284B12" w:rsidRPr="00CD35C4">
        <w:rPr>
          <w:rFonts w:ascii="Arial" w:hAnsi="Arial" w:cs="Arial"/>
          <w:sz w:val="21"/>
          <w:szCs w:val="21"/>
        </w:rPr>
        <w:t>de materialitate</w:t>
      </w:r>
      <w:r w:rsidRPr="00CD35C4">
        <w:rPr>
          <w:rFonts w:ascii="Arial" w:hAnsi="Arial" w:cs="Arial"/>
          <w:sz w:val="21"/>
          <w:szCs w:val="21"/>
        </w:rPr>
        <w:t>.</w:t>
      </w:r>
    </w:p>
    <w:p w14:paraId="20420C2E" w14:textId="77777777" w:rsidR="00AF5AAC" w:rsidRPr="00CD35C4" w:rsidRDefault="00AF5AAC" w:rsidP="009F722B">
      <w:pPr>
        <w:spacing w:after="0" w:line="240" w:lineRule="auto"/>
        <w:rPr>
          <w:rFonts w:ascii="Arial" w:hAnsi="Arial" w:cs="Arial"/>
          <w:sz w:val="21"/>
          <w:szCs w:val="21"/>
        </w:rPr>
      </w:pPr>
    </w:p>
    <w:p w14:paraId="48E923DD" w14:textId="2555501E" w:rsidR="00D56FBB" w:rsidRPr="00CD35C4" w:rsidRDefault="00D56FBB" w:rsidP="009F722B">
      <w:pPr>
        <w:spacing w:after="0" w:line="240" w:lineRule="auto"/>
        <w:rPr>
          <w:rFonts w:ascii="Arial" w:hAnsi="Arial" w:cs="Arial"/>
          <w:sz w:val="21"/>
          <w:szCs w:val="21"/>
        </w:rPr>
      </w:pPr>
      <w:r w:rsidRPr="00CD35C4">
        <w:rPr>
          <w:rFonts w:ascii="Arial" w:hAnsi="Arial" w:cs="Arial"/>
          <w:sz w:val="21"/>
          <w:szCs w:val="21"/>
        </w:rPr>
        <w:t xml:space="preserve">Conceptul </w:t>
      </w:r>
      <w:r w:rsidR="006709FC" w:rsidRPr="00CD35C4">
        <w:rPr>
          <w:rFonts w:ascii="Arial" w:hAnsi="Arial" w:cs="Arial"/>
          <w:sz w:val="21"/>
          <w:szCs w:val="21"/>
        </w:rPr>
        <w:t>de materialitate</w:t>
      </w:r>
      <w:r w:rsidRPr="00CD35C4">
        <w:rPr>
          <w:rFonts w:ascii="Arial" w:hAnsi="Arial" w:cs="Arial"/>
          <w:sz w:val="21"/>
          <w:szCs w:val="21"/>
        </w:rPr>
        <w:t xml:space="preserve"> a stat la baza diferitelor abordări privind raportarea ESG</w:t>
      </w:r>
      <w:r w:rsidR="005D0459" w:rsidRPr="00CD35C4">
        <w:rPr>
          <w:rFonts w:ascii="Arial" w:hAnsi="Arial" w:cs="Arial"/>
          <w:sz w:val="21"/>
          <w:szCs w:val="21"/>
        </w:rPr>
        <w:t>.</w:t>
      </w:r>
      <w:r w:rsidRPr="00CD35C4">
        <w:rPr>
          <w:rFonts w:ascii="Arial" w:hAnsi="Arial" w:cs="Arial"/>
          <w:sz w:val="21"/>
          <w:szCs w:val="21"/>
        </w:rPr>
        <w:t xml:space="preserve"> </w:t>
      </w:r>
      <w:r w:rsidR="005D0459" w:rsidRPr="00CD35C4">
        <w:rPr>
          <w:rFonts w:ascii="Arial" w:hAnsi="Arial" w:cs="Arial"/>
          <w:sz w:val="21"/>
          <w:szCs w:val="21"/>
        </w:rPr>
        <w:t>Î</w:t>
      </w:r>
      <w:r w:rsidRPr="00CD35C4">
        <w:rPr>
          <w:rFonts w:ascii="Arial" w:hAnsi="Arial" w:cs="Arial"/>
          <w:sz w:val="21"/>
          <w:szCs w:val="21"/>
        </w:rPr>
        <w:t xml:space="preserve">n timp ce multe jurisdicții au adoptat o abordare bazată pe valoarea întreprinderii, altele, dintre care cea mai notabilă este Uniunea Europeană, au preferat o abordare mai largă, bazată pe valoarea socială (incluzând impactul pe care companiile îl au asupra oamenilor și mediului). Cu toate acestea, aspectul adeseori pierdut din vedere în dezbaterile legate de </w:t>
      </w:r>
      <w:r w:rsidR="006709FC" w:rsidRPr="00CD35C4">
        <w:rPr>
          <w:rFonts w:ascii="Arial" w:hAnsi="Arial" w:cs="Arial"/>
          <w:sz w:val="21"/>
          <w:szCs w:val="21"/>
        </w:rPr>
        <w:t>materialitate</w:t>
      </w:r>
      <w:r w:rsidRPr="00CD35C4">
        <w:rPr>
          <w:rFonts w:ascii="Arial" w:hAnsi="Arial" w:cs="Arial"/>
          <w:sz w:val="21"/>
          <w:szCs w:val="21"/>
        </w:rPr>
        <w:t xml:space="preserve"> este că există o distincție dinamică între abordarea bazată pe valoarea întreprinderii și cea bazată pe valoarea socială, care va evolua inevitabil în timp, estompându-se pe măsură ce devin mai clare legăturile dintre factorii externi și efectele directe sau indirecte asupra fluxurilor</w:t>
      </w:r>
      <w:r w:rsidR="0021184A" w:rsidRPr="00CD35C4">
        <w:rPr>
          <w:rFonts w:ascii="Arial" w:hAnsi="Arial" w:cs="Arial"/>
          <w:sz w:val="21"/>
          <w:szCs w:val="21"/>
        </w:rPr>
        <w:t xml:space="preserve"> viitoare</w:t>
      </w:r>
      <w:r w:rsidRPr="00CD35C4">
        <w:rPr>
          <w:rFonts w:ascii="Arial" w:hAnsi="Arial" w:cs="Arial"/>
          <w:sz w:val="21"/>
          <w:szCs w:val="21"/>
        </w:rPr>
        <w:t xml:space="preserve"> de numerar.</w:t>
      </w:r>
    </w:p>
    <w:p w14:paraId="20D9F8AF" w14:textId="77777777" w:rsidR="00AF5AAC" w:rsidRPr="00CD35C4" w:rsidRDefault="00AF5AAC" w:rsidP="009F722B">
      <w:pPr>
        <w:spacing w:after="0" w:line="240" w:lineRule="auto"/>
        <w:rPr>
          <w:rFonts w:ascii="Arial" w:hAnsi="Arial" w:cs="Arial"/>
          <w:sz w:val="21"/>
          <w:szCs w:val="21"/>
        </w:rPr>
      </w:pPr>
    </w:p>
    <w:p w14:paraId="49EDAF57" w14:textId="78A6D599" w:rsidR="00D56FBB" w:rsidRPr="00CD35C4" w:rsidRDefault="00D56FBB" w:rsidP="009F722B">
      <w:pPr>
        <w:spacing w:after="0" w:line="240" w:lineRule="auto"/>
        <w:rPr>
          <w:rFonts w:ascii="Arial" w:hAnsi="Arial" w:cs="Arial"/>
          <w:sz w:val="21"/>
          <w:szCs w:val="21"/>
        </w:rPr>
      </w:pPr>
      <w:r w:rsidRPr="00CD35C4">
        <w:rPr>
          <w:rFonts w:ascii="Arial" w:hAnsi="Arial" w:cs="Arial"/>
          <w:sz w:val="21"/>
          <w:szCs w:val="21"/>
        </w:rPr>
        <w:t xml:space="preserve">Investitorii conștientizează faptul că, pe măsură ce valorile sociale și cele financiare converg, efectul unei organizații asupra mediului său (și viceversa) ar putea să nu aibă consecințe directe asupra fluxului de numerar în prezent, dar să afecteze </w:t>
      </w:r>
      <w:r w:rsidR="005C4D66" w:rsidRPr="00CD35C4">
        <w:rPr>
          <w:rFonts w:ascii="Arial" w:hAnsi="Arial" w:cs="Arial"/>
          <w:sz w:val="21"/>
          <w:szCs w:val="21"/>
        </w:rPr>
        <w:t xml:space="preserve">semnificativ </w:t>
      </w:r>
      <w:r w:rsidRPr="00CD35C4">
        <w:rPr>
          <w:rFonts w:ascii="Arial" w:hAnsi="Arial" w:cs="Arial"/>
          <w:sz w:val="21"/>
          <w:szCs w:val="21"/>
        </w:rPr>
        <w:t xml:space="preserve">valoarea și viabilitatea entității pe termen lung. Va fi </w:t>
      </w:r>
      <w:r w:rsidR="005C4D66" w:rsidRPr="00CD35C4">
        <w:rPr>
          <w:rFonts w:ascii="Arial" w:hAnsi="Arial" w:cs="Arial"/>
          <w:sz w:val="21"/>
          <w:szCs w:val="21"/>
        </w:rPr>
        <w:t>tot</w:t>
      </w:r>
      <w:r w:rsidRPr="00CD35C4">
        <w:rPr>
          <w:rFonts w:ascii="Arial" w:hAnsi="Arial" w:cs="Arial"/>
          <w:sz w:val="21"/>
          <w:szCs w:val="21"/>
        </w:rPr>
        <w:t xml:space="preserve"> mai dificilă realizarea unei distincții între ceea ce este relevant exclusiv pentru investitori și ceea ce este relevant </w:t>
      </w:r>
      <w:r w:rsidR="00AF5AAC" w:rsidRPr="00CD35C4">
        <w:rPr>
          <w:rFonts w:ascii="Arial" w:hAnsi="Arial" w:cs="Arial"/>
          <w:sz w:val="21"/>
          <w:szCs w:val="21"/>
        </w:rPr>
        <w:t xml:space="preserve">exclusiv pentru alți factori de </w:t>
      </w:r>
      <w:r w:rsidRPr="00CD35C4">
        <w:rPr>
          <w:rFonts w:ascii="Arial" w:hAnsi="Arial" w:cs="Arial"/>
          <w:sz w:val="21"/>
          <w:szCs w:val="21"/>
        </w:rPr>
        <w:t>decizie</w:t>
      </w:r>
      <w:r w:rsidR="00EE6E32" w:rsidRPr="00CD35C4">
        <w:rPr>
          <w:rFonts w:ascii="Arial" w:hAnsi="Arial" w:cs="Arial"/>
          <w:sz w:val="21"/>
          <w:szCs w:val="21"/>
        </w:rPr>
        <w:t xml:space="preserve">. </w:t>
      </w:r>
      <w:r w:rsidRPr="00CD35C4">
        <w:rPr>
          <w:rFonts w:ascii="Arial" w:hAnsi="Arial" w:cs="Arial"/>
          <w:sz w:val="21"/>
          <w:szCs w:val="21"/>
        </w:rPr>
        <w:t>În contextul în care standardele încep să prindă contur, companiile ar trebui să monitorizeze evoluțiile aflate în derulare atât la nivelul ISSB, cât și la nivelul jurisdicției lor.</w:t>
      </w:r>
    </w:p>
    <w:p w14:paraId="65261F59" w14:textId="77777777" w:rsidR="00AF5AAC" w:rsidRPr="00CD35C4" w:rsidRDefault="00AF5AAC" w:rsidP="009F722B">
      <w:pPr>
        <w:spacing w:after="0" w:line="240" w:lineRule="auto"/>
        <w:rPr>
          <w:rFonts w:ascii="Arial" w:hAnsi="Arial" w:cs="Arial"/>
          <w:sz w:val="21"/>
          <w:szCs w:val="21"/>
        </w:rPr>
      </w:pPr>
    </w:p>
    <w:p w14:paraId="3E6C7B77" w14:textId="1E8A4721" w:rsidR="00D56FBB" w:rsidRPr="00CD35C4" w:rsidRDefault="00D56FBB" w:rsidP="009F722B">
      <w:pPr>
        <w:spacing w:after="0" w:line="240" w:lineRule="auto"/>
        <w:rPr>
          <w:rFonts w:ascii="Arial" w:hAnsi="Arial" w:cs="Arial"/>
          <w:b/>
          <w:sz w:val="21"/>
          <w:szCs w:val="21"/>
        </w:rPr>
      </w:pPr>
      <w:r w:rsidRPr="00CD35C4">
        <w:rPr>
          <w:rFonts w:ascii="Arial" w:hAnsi="Arial" w:cs="Arial"/>
          <w:b/>
          <w:sz w:val="21"/>
          <w:szCs w:val="21"/>
        </w:rPr>
        <w:t xml:space="preserve">3. </w:t>
      </w:r>
      <w:r w:rsidR="008314DC" w:rsidRPr="00CD35C4">
        <w:rPr>
          <w:rFonts w:ascii="Arial" w:hAnsi="Arial" w:cs="Arial"/>
          <w:b/>
          <w:sz w:val="21"/>
          <w:szCs w:val="21"/>
        </w:rPr>
        <w:t>E</w:t>
      </w:r>
      <w:r w:rsidRPr="00CD35C4">
        <w:rPr>
          <w:rFonts w:ascii="Arial" w:hAnsi="Arial" w:cs="Arial"/>
          <w:b/>
          <w:sz w:val="21"/>
          <w:szCs w:val="21"/>
        </w:rPr>
        <w:t>chilibrul dintre cerințele de bază</w:t>
      </w:r>
      <w:r w:rsidR="008314DC" w:rsidRPr="00CD35C4">
        <w:rPr>
          <w:rFonts w:ascii="Arial" w:hAnsi="Arial" w:cs="Arial"/>
          <w:b/>
          <w:sz w:val="21"/>
          <w:szCs w:val="21"/>
        </w:rPr>
        <w:t xml:space="preserve">, globale, </w:t>
      </w:r>
      <w:r w:rsidRPr="00CD35C4">
        <w:rPr>
          <w:rFonts w:ascii="Arial" w:hAnsi="Arial" w:cs="Arial"/>
          <w:b/>
          <w:sz w:val="21"/>
          <w:szCs w:val="21"/>
        </w:rPr>
        <w:t>și necesitatea adaptării la nivel local</w:t>
      </w:r>
    </w:p>
    <w:p w14:paraId="62C95C6B" w14:textId="1E0FDCB5" w:rsidR="00D56FBB" w:rsidRPr="00CD35C4" w:rsidRDefault="008314DC" w:rsidP="009F722B">
      <w:pPr>
        <w:spacing w:after="0" w:line="240" w:lineRule="auto"/>
        <w:rPr>
          <w:rFonts w:ascii="Arial" w:hAnsi="Arial" w:cs="Arial"/>
          <w:sz w:val="21"/>
          <w:szCs w:val="21"/>
        </w:rPr>
      </w:pPr>
      <w:r w:rsidRPr="00CD35C4">
        <w:rPr>
          <w:rFonts w:ascii="Arial" w:hAnsi="Arial" w:cs="Arial"/>
          <w:sz w:val="21"/>
          <w:szCs w:val="21"/>
        </w:rPr>
        <w:t>D</w:t>
      </w:r>
      <w:r w:rsidR="00D56FBB" w:rsidRPr="00CD35C4">
        <w:rPr>
          <w:rFonts w:ascii="Arial" w:hAnsi="Arial" w:cs="Arial"/>
          <w:sz w:val="21"/>
          <w:szCs w:val="21"/>
        </w:rPr>
        <w:t>upă recentul summit de la Roma, liderii G20 au salutat demersurile Fundației IFRS de a elabora cerințe</w:t>
      </w:r>
      <w:r w:rsidR="005C4D66" w:rsidRPr="00CD35C4">
        <w:rPr>
          <w:rFonts w:ascii="Arial" w:hAnsi="Arial" w:cs="Arial"/>
          <w:sz w:val="21"/>
          <w:szCs w:val="21"/>
        </w:rPr>
        <w:t>le de bază, globale</w:t>
      </w:r>
      <w:r w:rsidRPr="00CD35C4">
        <w:rPr>
          <w:rFonts w:ascii="Arial" w:hAnsi="Arial" w:cs="Arial"/>
          <w:sz w:val="21"/>
          <w:szCs w:val="21"/>
        </w:rPr>
        <w:t>,</w:t>
      </w:r>
      <w:r w:rsidR="00D56FBB" w:rsidRPr="00CD35C4">
        <w:rPr>
          <w:rFonts w:ascii="Arial" w:hAnsi="Arial" w:cs="Arial"/>
          <w:sz w:val="21"/>
          <w:szCs w:val="21"/>
        </w:rPr>
        <w:t xml:space="preserve"> pentru standardele de raportare privind </w:t>
      </w:r>
      <w:r w:rsidR="00C5579E" w:rsidRPr="00CD35C4">
        <w:rPr>
          <w:rFonts w:ascii="Arial" w:hAnsi="Arial" w:cs="Arial"/>
          <w:sz w:val="21"/>
          <w:szCs w:val="21"/>
        </w:rPr>
        <w:t>sustenabilitatea</w:t>
      </w:r>
      <w:r w:rsidR="00D56FBB" w:rsidRPr="00CD35C4">
        <w:rPr>
          <w:rFonts w:ascii="Arial" w:hAnsi="Arial" w:cs="Arial"/>
          <w:sz w:val="21"/>
          <w:szCs w:val="21"/>
        </w:rPr>
        <w:t xml:space="preserve">. În același timp, multe state membre ale G20 au luat măsuri de punere în aplicare a obligațiilor de raportare privind </w:t>
      </w:r>
      <w:r w:rsidR="001D15BB" w:rsidRPr="00CD35C4">
        <w:rPr>
          <w:rFonts w:ascii="Arial" w:hAnsi="Arial" w:cs="Arial"/>
          <w:sz w:val="21"/>
          <w:szCs w:val="21"/>
        </w:rPr>
        <w:t>sustenabilitatea</w:t>
      </w:r>
      <w:r w:rsidR="00D56FBB" w:rsidRPr="00CD35C4">
        <w:rPr>
          <w:rFonts w:ascii="Arial" w:hAnsi="Arial" w:cs="Arial"/>
          <w:sz w:val="21"/>
          <w:szCs w:val="21"/>
        </w:rPr>
        <w:t>, unele dintre acestea urmând să se alinieze cu procesul ISSB, iar altele fiind specifice jurisdicției respective.</w:t>
      </w:r>
    </w:p>
    <w:p w14:paraId="028D8801" w14:textId="77777777" w:rsidR="00AF5AAC" w:rsidRPr="00CD35C4" w:rsidRDefault="00AF5AAC" w:rsidP="009F722B">
      <w:pPr>
        <w:spacing w:after="0" w:line="240" w:lineRule="auto"/>
        <w:rPr>
          <w:rFonts w:ascii="Arial" w:hAnsi="Arial" w:cs="Arial"/>
          <w:sz w:val="21"/>
          <w:szCs w:val="21"/>
        </w:rPr>
      </w:pPr>
    </w:p>
    <w:p w14:paraId="61EB6D0E" w14:textId="6B17D86F" w:rsidR="00D56FBB" w:rsidRPr="00CD35C4" w:rsidRDefault="005C4D66" w:rsidP="009F722B">
      <w:pPr>
        <w:spacing w:after="0" w:line="240" w:lineRule="auto"/>
        <w:rPr>
          <w:rFonts w:ascii="Arial" w:hAnsi="Arial" w:cs="Arial"/>
          <w:sz w:val="21"/>
          <w:szCs w:val="21"/>
        </w:rPr>
      </w:pPr>
      <w:r w:rsidRPr="00CD35C4">
        <w:rPr>
          <w:rFonts w:ascii="Arial" w:hAnsi="Arial" w:cs="Arial"/>
          <w:sz w:val="21"/>
          <w:szCs w:val="21"/>
        </w:rPr>
        <w:t>Î</w:t>
      </w:r>
      <w:r w:rsidR="00D56FBB" w:rsidRPr="00CD35C4">
        <w:rPr>
          <w:rFonts w:ascii="Arial" w:hAnsi="Arial" w:cs="Arial"/>
          <w:sz w:val="21"/>
          <w:szCs w:val="21"/>
        </w:rPr>
        <w:t xml:space="preserve">n Uniunea Europeană, o jurisdicție care și-a exprimat angajamentul de a susține și </w:t>
      </w:r>
      <w:r w:rsidR="008314DC" w:rsidRPr="00CD35C4">
        <w:rPr>
          <w:rFonts w:ascii="Arial" w:hAnsi="Arial" w:cs="Arial"/>
          <w:sz w:val="21"/>
          <w:szCs w:val="21"/>
        </w:rPr>
        <w:t xml:space="preserve">a </w:t>
      </w:r>
      <w:r w:rsidR="00D56FBB" w:rsidRPr="00CD35C4">
        <w:rPr>
          <w:rFonts w:ascii="Arial" w:hAnsi="Arial" w:cs="Arial"/>
          <w:sz w:val="21"/>
          <w:szCs w:val="21"/>
        </w:rPr>
        <w:t xml:space="preserve">contribui la eforturile globale </w:t>
      </w:r>
      <w:r w:rsidRPr="00CD35C4">
        <w:rPr>
          <w:rFonts w:ascii="Arial" w:hAnsi="Arial" w:cs="Arial"/>
          <w:sz w:val="21"/>
          <w:szCs w:val="21"/>
        </w:rPr>
        <w:t xml:space="preserve">din acest </w:t>
      </w:r>
      <w:r w:rsidR="00D56FBB" w:rsidRPr="00CD35C4">
        <w:rPr>
          <w:rFonts w:ascii="Arial" w:hAnsi="Arial" w:cs="Arial"/>
          <w:sz w:val="21"/>
          <w:szCs w:val="21"/>
        </w:rPr>
        <w:t>domeniu</w:t>
      </w:r>
      <w:r w:rsidRPr="00CD35C4">
        <w:rPr>
          <w:rFonts w:ascii="Arial" w:hAnsi="Arial" w:cs="Arial"/>
          <w:sz w:val="21"/>
          <w:szCs w:val="21"/>
        </w:rPr>
        <w:t xml:space="preserve">, </w:t>
      </w:r>
      <w:r w:rsidR="00D56FBB" w:rsidRPr="00CD35C4">
        <w:rPr>
          <w:rFonts w:ascii="Arial" w:hAnsi="Arial" w:cs="Arial"/>
          <w:sz w:val="21"/>
          <w:szCs w:val="21"/>
        </w:rPr>
        <w:t xml:space="preserve">inclusiv demersurile Fundației IFRS, decidenții politici consideră raportarea un mecanism pentru modificarea comportamentelor. </w:t>
      </w:r>
      <w:r w:rsidR="005B661A" w:rsidRPr="00CD35C4">
        <w:rPr>
          <w:rFonts w:ascii="Arial" w:hAnsi="Arial" w:cs="Arial"/>
          <w:sz w:val="21"/>
          <w:szCs w:val="21"/>
        </w:rPr>
        <w:t xml:space="preserve">Directiva </w:t>
      </w:r>
      <w:r w:rsidR="00D56FBB" w:rsidRPr="00CD35C4">
        <w:rPr>
          <w:rFonts w:ascii="Arial" w:hAnsi="Arial" w:cs="Arial"/>
          <w:sz w:val="21"/>
          <w:szCs w:val="21"/>
        </w:rPr>
        <w:t xml:space="preserve">CSRD este un element cheie al Pactului Ecologic European, </w:t>
      </w:r>
      <w:r w:rsidRPr="00CD35C4">
        <w:rPr>
          <w:rFonts w:ascii="Arial" w:hAnsi="Arial" w:cs="Arial"/>
          <w:sz w:val="21"/>
          <w:szCs w:val="21"/>
        </w:rPr>
        <w:t xml:space="preserve">iar </w:t>
      </w:r>
      <w:r w:rsidR="00D56FBB" w:rsidRPr="00CD35C4">
        <w:rPr>
          <w:rFonts w:ascii="Arial" w:hAnsi="Arial" w:cs="Arial"/>
          <w:sz w:val="21"/>
          <w:szCs w:val="21"/>
        </w:rPr>
        <w:t xml:space="preserve">seria de inițiative de politici ale Comisiei Europene </w:t>
      </w:r>
      <w:r w:rsidR="008314DC" w:rsidRPr="00CD35C4">
        <w:rPr>
          <w:rFonts w:ascii="Arial" w:hAnsi="Arial" w:cs="Arial"/>
          <w:sz w:val="21"/>
          <w:szCs w:val="21"/>
        </w:rPr>
        <w:t xml:space="preserve">sunt menite </w:t>
      </w:r>
      <w:r w:rsidR="00D56FBB" w:rsidRPr="00CD35C4">
        <w:rPr>
          <w:rFonts w:ascii="Arial" w:hAnsi="Arial" w:cs="Arial"/>
          <w:sz w:val="21"/>
          <w:szCs w:val="21"/>
        </w:rPr>
        <w:t>să facă Europa neutră din punct de vedere climatic până în 2050.</w:t>
      </w:r>
    </w:p>
    <w:p w14:paraId="4F367407" w14:textId="77777777" w:rsidR="00AF5AAC" w:rsidRPr="00CD35C4" w:rsidRDefault="00AF5AAC" w:rsidP="009F722B">
      <w:pPr>
        <w:spacing w:after="0" w:line="240" w:lineRule="auto"/>
        <w:rPr>
          <w:rFonts w:ascii="Arial" w:hAnsi="Arial" w:cs="Arial"/>
          <w:sz w:val="21"/>
          <w:szCs w:val="21"/>
        </w:rPr>
      </w:pPr>
    </w:p>
    <w:p w14:paraId="0F70A534" w14:textId="0B0990FC" w:rsidR="00AD7F12" w:rsidRPr="00CD35C4" w:rsidRDefault="00663D92" w:rsidP="009F722B">
      <w:pPr>
        <w:spacing w:after="0" w:line="240" w:lineRule="auto"/>
        <w:rPr>
          <w:rFonts w:ascii="Arial" w:hAnsi="Arial" w:cs="Arial"/>
          <w:i/>
          <w:sz w:val="21"/>
          <w:szCs w:val="21"/>
        </w:rPr>
      </w:pPr>
      <w:r w:rsidRPr="00CD35C4">
        <w:rPr>
          <w:rFonts w:ascii="Arial" w:hAnsi="Arial" w:cs="Arial"/>
          <w:sz w:val="21"/>
          <w:szCs w:val="21"/>
        </w:rPr>
        <w:t xml:space="preserve">În concluzie, </w:t>
      </w:r>
      <w:r w:rsidR="00472333" w:rsidRPr="00CD35C4">
        <w:rPr>
          <w:rFonts w:ascii="Arial" w:hAnsi="Arial" w:cs="Arial"/>
          <w:sz w:val="21"/>
          <w:szCs w:val="21"/>
        </w:rPr>
        <w:t>raportarea de</w:t>
      </w:r>
      <w:r w:rsidR="00427B38" w:rsidRPr="00CD35C4">
        <w:rPr>
          <w:rFonts w:ascii="Arial" w:hAnsi="Arial" w:cs="Arial"/>
          <w:sz w:val="21"/>
          <w:szCs w:val="21"/>
        </w:rPr>
        <w:t xml:space="preserve"> sustenabilitate nu este doar despre transparen</w:t>
      </w:r>
      <w:r w:rsidR="002053AD" w:rsidRPr="00CD35C4">
        <w:rPr>
          <w:rFonts w:ascii="Arial" w:hAnsi="Arial" w:cs="Arial"/>
          <w:sz w:val="21"/>
          <w:szCs w:val="21"/>
        </w:rPr>
        <w:t>ț</w:t>
      </w:r>
      <w:r w:rsidR="00424DB3" w:rsidRPr="00CD35C4">
        <w:rPr>
          <w:rFonts w:ascii="Arial" w:hAnsi="Arial" w:cs="Arial"/>
          <w:sz w:val="21"/>
          <w:szCs w:val="21"/>
        </w:rPr>
        <w:t>ă</w:t>
      </w:r>
      <w:r w:rsidR="00427B38" w:rsidRPr="00CD35C4">
        <w:rPr>
          <w:rFonts w:ascii="Arial" w:hAnsi="Arial" w:cs="Arial"/>
          <w:sz w:val="21"/>
          <w:szCs w:val="21"/>
        </w:rPr>
        <w:t xml:space="preserve">, ci </w:t>
      </w:r>
      <w:r w:rsidR="002053AD" w:rsidRPr="00CD35C4">
        <w:rPr>
          <w:rFonts w:ascii="Arial" w:hAnsi="Arial" w:cs="Arial"/>
          <w:sz w:val="21"/>
          <w:szCs w:val="21"/>
        </w:rPr>
        <w:t>ș</w:t>
      </w:r>
      <w:r w:rsidR="00427B38" w:rsidRPr="00CD35C4">
        <w:rPr>
          <w:rFonts w:ascii="Arial" w:hAnsi="Arial" w:cs="Arial"/>
          <w:sz w:val="21"/>
          <w:szCs w:val="21"/>
        </w:rPr>
        <w:t xml:space="preserve">i despre transformare. </w:t>
      </w:r>
      <w:r w:rsidR="000E7513" w:rsidRPr="00CD35C4">
        <w:rPr>
          <w:rFonts w:ascii="Arial" w:hAnsi="Arial" w:cs="Arial"/>
          <w:sz w:val="21"/>
          <w:szCs w:val="21"/>
        </w:rPr>
        <w:t>L</w:t>
      </w:r>
      <w:r w:rsidR="00CA4499" w:rsidRPr="00CD35C4">
        <w:rPr>
          <w:rFonts w:ascii="Arial" w:hAnsi="Arial" w:cs="Arial"/>
          <w:sz w:val="21"/>
          <w:szCs w:val="21"/>
        </w:rPr>
        <w:t>ansa</w:t>
      </w:r>
      <w:r w:rsidR="00472333" w:rsidRPr="00CD35C4">
        <w:rPr>
          <w:rFonts w:ascii="Arial" w:hAnsi="Arial" w:cs="Arial"/>
          <w:sz w:val="21"/>
          <w:szCs w:val="21"/>
        </w:rPr>
        <w:t>rea</w:t>
      </w:r>
      <w:r w:rsidR="00CA4499" w:rsidRPr="00CD35C4">
        <w:rPr>
          <w:rFonts w:ascii="Arial" w:hAnsi="Arial" w:cs="Arial"/>
          <w:sz w:val="21"/>
          <w:szCs w:val="21"/>
        </w:rPr>
        <w:t xml:space="preserve"> ISSB </w:t>
      </w:r>
      <w:r w:rsidR="00ED4ECE" w:rsidRPr="00CD35C4">
        <w:rPr>
          <w:rFonts w:ascii="Arial" w:hAnsi="Arial" w:cs="Arial"/>
          <w:sz w:val="21"/>
          <w:szCs w:val="21"/>
        </w:rPr>
        <w:t>reprezintă</w:t>
      </w:r>
      <w:r w:rsidR="00E92BB1" w:rsidRPr="00CD35C4">
        <w:rPr>
          <w:rFonts w:ascii="Arial" w:hAnsi="Arial" w:cs="Arial"/>
          <w:sz w:val="21"/>
          <w:szCs w:val="21"/>
        </w:rPr>
        <w:t xml:space="preserve"> </w:t>
      </w:r>
      <w:r w:rsidR="00ED4ECE" w:rsidRPr="00CD35C4">
        <w:rPr>
          <w:rFonts w:ascii="Arial" w:hAnsi="Arial" w:cs="Arial"/>
          <w:sz w:val="21"/>
          <w:szCs w:val="21"/>
        </w:rPr>
        <w:t>încă</w:t>
      </w:r>
      <w:r w:rsidR="00427B38" w:rsidRPr="00CD35C4">
        <w:rPr>
          <w:rFonts w:ascii="Arial" w:hAnsi="Arial" w:cs="Arial"/>
          <w:sz w:val="21"/>
          <w:szCs w:val="21"/>
        </w:rPr>
        <w:t xml:space="preserve"> o d</w:t>
      </w:r>
      <w:r w:rsidR="00930F89" w:rsidRPr="00CD35C4">
        <w:rPr>
          <w:rFonts w:ascii="Arial" w:hAnsi="Arial" w:cs="Arial"/>
          <w:sz w:val="21"/>
          <w:szCs w:val="21"/>
        </w:rPr>
        <w:t>ovad</w:t>
      </w:r>
      <w:r w:rsidR="00424DB3" w:rsidRPr="00CD35C4">
        <w:rPr>
          <w:rFonts w:ascii="Arial" w:hAnsi="Arial" w:cs="Arial"/>
          <w:sz w:val="21"/>
          <w:szCs w:val="21"/>
        </w:rPr>
        <w:t>ă</w:t>
      </w:r>
      <w:r w:rsidR="00930F89" w:rsidRPr="00CD35C4">
        <w:rPr>
          <w:rFonts w:ascii="Arial" w:hAnsi="Arial" w:cs="Arial"/>
          <w:sz w:val="21"/>
          <w:szCs w:val="21"/>
        </w:rPr>
        <w:t xml:space="preserve"> a </w:t>
      </w:r>
      <w:r w:rsidR="00ED4ECE" w:rsidRPr="00CD35C4">
        <w:rPr>
          <w:rFonts w:ascii="Arial" w:hAnsi="Arial" w:cs="Arial"/>
          <w:sz w:val="21"/>
          <w:szCs w:val="21"/>
        </w:rPr>
        <w:t>necesit</w:t>
      </w:r>
      <w:r w:rsidR="002053AD" w:rsidRPr="00CD35C4">
        <w:rPr>
          <w:rFonts w:ascii="Arial" w:hAnsi="Arial" w:cs="Arial"/>
          <w:sz w:val="21"/>
          <w:szCs w:val="21"/>
        </w:rPr>
        <w:t>ă</w:t>
      </w:r>
      <w:r w:rsidR="00ED4ECE" w:rsidRPr="00CD35C4">
        <w:rPr>
          <w:rFonts w:ascii="Arial" w:hAnsi="Arial" w:cs="Arial"/>
          <w:sz w:val="21"/>
          <w:szCs w:val="21"/>
        </w:rPr>
        <w:t>ții</w:t>
      </w:r>
      <w:r w:rsidR="001E1DB0" w:rsidRPr="00CD35C4">
        <w:rPr>
          <w:rFonts w:ascii="Arial" w:hAnsi="Arial" w:cs="Arial"/>
          <w:sz w:val="21"/>
          <w:szCs w:val="21"/>
        </w:rPr>
        <w:t xml:space="preserve"> unor standarde gl</w:t>
      </w:r>
      <w:r w:rsidR="00770847" w:rsidRPr="00CD35C4">
        <w:rPr>
          <w:rFonts w:ascii="Arial" w:hAnsi="Arial" w:cs="Arial"/>
          <w:sz w:val="21"/>
          <w:szCs w:val="21"/>
        </w:rPr>
        <w:t>o</w:t>
      </w:r>
      <w:r w:rsidR="001E1DB0" w:rsidRPr="00CD35C4">
        <w:rPr>
          <w:rFonts w:ascii="Arial" w:hAnsi="Arial" w:cs="Arial"/>
          <w:sz w:val="21"/>
          <w:szCs w:val="21"/>
        </w:rPr>
        <w:t>bale</w:t>
      </w:r>
      <w:r w:rsidR="00770847" w:rsidRPr="00CD35C4">
        <w:rPr>
          <w:rFonts w:ascii="Arial" w:hAnsi="Arial" w:cs="Arial"/>
          <w:sz w:val="21"/>
          <w:szCs w:val="21"/>
        </w:rPr>
        <w:t xml:space="preserve"> privind problemele de sustenabilitate, </w:t>
      </w:r>
      <w:r w:rsidR="00ED4ECE" w:rsidRPr="00CD35C4">
        <w:rPr>
          <w:rFonts w:ascii="Arial" w:hAnsi="Arial" w:cs="Arial"/>
          <w:sz w:val="21"/>
          <w:szCs w:val="21"/>
        </w:rPr>
        <w:t>inclusiv</w:t>
      </w:r>
      <w:r w:rsidR="00770847" w:rsidRPr="00CD35C4">
        <w:rPr>
          <w:rFonts w:ascii="Arial" w:hAnsi="Arial" w:cs="Arial"/>
          <w:sz w:val="21"/>
          <w:szCs w:val="21"/>
        </w:rPr>
        <w:t xml:space="preserve"> cele legate de riscurile climatice</w:t>
      </w:r>
      <w:r w:rsidR="005476CA" w:rsidRPr="00CD35C4">
        <w:rPr>
          <w:rFonts w:ascii="Arial" w:hAnsi="Arial" w:cs="Arial"/>
          <w:sz w:val="21"/>
          <w:szCs w:val="21"/>
        </w:rPr>
        <w:t xml:space="preserve">. </w:t>
      </w:r>
      <w:r w:rsidR="00ED4ECE" w:rsidRPr="00CD35C4">
        <w:rPr>
          <w:rFonts w:ascii="Arial" w:hAnsi="Arial" w:cs="Arial"/>
          <w:sz w:val="21"/>
          <w:szCs w:val="21"/>
        </w:rPr>
        <w:t>Totodată</w:t>
      </w:r>
      <w:r w:rsidR="005476CA" w:rsidRPr="00CD35C4">
        <w:rPr>
          <w:rFonts w:ascii="Arial" w:hAnsi="Arial" w:cs="Arial"/>
          <w:sz w:val="21"/>
          <w:szCs w:val="21"/>
        </w:rPr>
        <w:t xml:space="preserve">, </w:t>
      </w:r>
      <w:r w:rsidR="00921C57" w:rsidRPr="00CD35C4">
        <w:rPr>
          <w:rFonts w:ascii="Arial" w:hAnsi="Arial" w:cs="Arial"/>
          <w:sz w:val="21"/>
          <w:szCs w:val="21"/>
        </w:rPr>
        <w:t>constituie</w:t>
      </w:r>
      <w:r w:rsidR="00F8093F" w:rsidRPr="00CD35C4">
        <w:rPr>
          <w:rFonts w:ascii="Arial" w:hAnsi="Arial" w:cs="Arial"/>
          <w:sz w:val="21"/>
          <w:szCs w:val="21"/>
        </w:rPr>
        <w:t xml:space="preserve"> un pas </w:t>
      </w:r>
      <w:r w:rsidR="00A3036B" w:rsidRPr="00CD35C4">
        <w:rPr>
          <w:rFonts w:ascii="Arial" w:hAnsi="Arial" w:cs="Arial"/>
          <w:sz w:val="21"/>
          <w:szCs w:val="21"/>
        </w:rPr>
        <w:t>major</w:t>
      </w:r>
      <w:r w:rsidR="00AD7F12" w:rsidRPr="00CD35C4">
        <w:rPr>
          <w:rFonts w:ascii="Arial" w:hAnsi="Arial" w:cs="Arial"/>
          <w:sz w:val="21"/>
          <w:szCs w:val="21"/>
        </w:rPr>
        <w:t xml:space="preserve"> către obținerea de informații relevante, utile pentru luarea deciziilor privind sustenabilitatea </w:t>
      </w:r>
      <w:r w:rsidR="00ED4ECE" w:rsidRPr="00CD35C4">
        <w:rPr>
          <w:rFonts w:ascii="Arial" w:hAnsi="Arial" w:cs="Arial"/>
          <w:sz w:val="21"/>
          <w:szCs w:val="21"/>
        </w:rPr>
        <w:t>de către</w:t>
      </w:r>
      <w:r w:rsidR="00AD7F12" w:rsidRPr="00CD35C4">
        <w:rPr>
          <w:rFonts w:ascii="Arial" w:hAnsi="Arial" w:cs="Arial"/>
          <w:sz w:val="21"/>
          <w:szCs w:val="21"/>
        </w:rPr>
        <w:t xml:space="preserve"> </w:t>
      </w:r>
      <w:r w:rsidR="00A3036B" w:rsidRPr="00CD35C4">
        <w:rPr>
          <w:rFonts w:ascii="Arial" w:hAnsi="Arial" w:cs="Arial"/>
          <w:sz w:val="21"/>
          <w:szCs w:val="21"/>
        </w:rPr>
        <w:t>actorii</w:t>
      </w:r>
      <w:r w:rsidR="00AD7F12" w:rsidRPr="00CD35C4">
        <w:rPr>
          <w:rFonts w:ascii="Arial" w:hAnsi="Arial" w:cs="Arial"/>
          <w:sz w:val="21"/>
          <w:szCs w:val="21"/>
        </w:rPr>
        <w:t xml:space="preserve"> de pe piață, care s</w:t>
      </w:r>
      <w:r w:rsidR="00424DB3" w:rsidRPr="00CD35C4">
        <w:rPr>
          <w:rFonts w:ascii="Arial" w:hAnsi="Arial" w:cs="Arial"/>
          <w:sz w:val="21"/>
          <w:szCs w:val="21"/>
        </w:rPr>
        <w:t>ă</w:t>
      </w:r>
      <w:r w:rsidR="00A3036B" w:rsidRPr="00CD35C4">
        <w:rPr>
          <w:rFonts w:ascii="Arial" w:hAnsi="Arial" w:cs="Arial"/>
          <w:sz w:val="21"/>
          <w:szCs w:val="21"/>
        </w:rPr>
        <w:t xml:space="preserve"> fie</w:t>
      </w:r>
      <w:r w:rsidR="00AD7F12" w:rsidRPr="00CD35C4">
        <w:rPr>
          <w:rFonts w:ascii="Arial" w:hAnsi="Arial" w:cs="Arial"/>
          <w:sz w:val="21"/>
          <w:szCs w:val="21"/>
        </w:rPr>
        <w:t xml:space="preserve"> comparabile între industrii și jurisdicții.</w:t>
      </w:r>
      <w:r w:rsidR="00ED4ECE" w:rsidRPr="00CD35C4">
        <w:rPr>
          <w:rFonts w:ascii="Arial" w:hAnsi="Arial" w:cs="Arial"/>
          <w:sz w:val="21"/>
          <w:szCs w:val="21"/>
        </w:rPr>
        <w:t xml:space="preserve"> Aceste demersuri vor avea un impact semnificativ asupra unei companii, </w:t>
      </w:r>
      <w:r w:rsidR="005728D4" w:rsidRPr="00CD35C4">
        <w:rPr>
          <w:rFonts w:ascii="Arial" w:hAnsi="Arial" w:cs="Arial"/>
          <w:sz w:val="21"/>
          <w:szCs w:val="21"/>
        </w:rPr>
        <w:t>atât</w:t>
      </w:r>
      <w:r w:rsidR="00ED4ECE" w:rsidRPr="00CD35C4">
        <w:rPr>
          <w:rFonts w:ascii="Arial" w:hAnsi="Arial" w:cs="Arial"/>
          <w:sz w:val="21"/>
          <w:szCs w:val="21"/>
        </w:rPr>
        <w:t xml:space="preserve"> din punct de vedere strategic, c</w:t>
      </w:r>
      <w:r w:rsidR="00424DB3" w:rsidRPr="00CD35C4">
        <w:rPr>
          <w:rFonts w:ascii="Arial" w:hAnsi="Arial" w:cs="Arial"/>
          <w:sz w:val="21"/>
          <w:szCs w:val="21"/>
        </w:rPr>
        <w:t>â</w:t>
      </w:r>
      <w:r w:rsidR="00ED4ECE" w:rsidRPr="00CD35C4">
        <w:rPr>
          <w:rFonts w:ascii="Arial" w:hAnsi="Arial" w:cs="Arial"/>
          <w:sz w:val="21"/>
          <w:szCs w:val="21"/>
        </w:rPr>
        <w:t xml:space="preserve">t si </w:t>
      </w:r>
      <w:r w:rsidR="005728D4" w:rsidRPr="00CD35C4">
        <w:rPr>
          <w:rFonts w:ascii="Arial" w:hAnsi="Arial" w:cs="Arial"/>
          <w:sz w:val="21"/>
          <w:szCs w:val="21"/>
        </w:rPr>
        <w:t>operațional</w:t>
      </w:r>
      <w:r w:rsidR="00ED4ECE" w:rsidRPr="00CD35C4">
        <w:rPr>
          <w:rFonts w:ascii="Arial" w:hAnsi="Arial" w:cs="Arial"/>
          <w:sz w:val="21"/>
          <w:szCs w:val="21"/>
        </w:rPr>
        <w:t>, aducând noi provocări și chiar mai multe oportunități. Directorii compan</w:t>
      </w:r>
      <w:r w:rsidR="005728D4" w:rsidRPr="00CD35C4">
        <w:rPr>
          <w:rFonts w:ascii="Arial" w:hAnsi="Arial" w:cs="Arial"/>
          <w:sz w:val="21"/>
          <w:szCs w:val="21"/>
        </w:rPr>
        <w:t>iilor</w:t>
      </w:r>
      <w:r w:rsidR="00ED4ECE" w:rsidRPr="00CD35C4">
        <w:rPr>
          <w:rFonts w:ascii="Arial" w:hAnsi="Arial" w:cs="Arial"/>
          <w:sz w:val="21"/>
          <w:szCs w:val="21"/>
        </w:rPr>
        <w:t xml:space="preserve"> și membrii comitetului de audit trebuie să acționeze acum</w:t>
      </w:r>
      <w:r w:rsidR="005728D4" w:rsidRPr="00CD35C4">
        <w:rPr>
          <w:rFonts w:ascii="Arial" w:hAnsi="Arial" w:cs="Arial"/>
          <w:sz w:val="21"/>
          <w:szCs w:val="21"/>
        </w:rPr>
        <w:t>, dac</w:t>
      </w:r>
      <w:r w:rsidR="002053AD" w:rsidRPr="00CD35C4">
        <w:rPr>
          <w:rFonts w:ascii="Arial" w:hAnsi="Arial" w:cs="Arial"/>
          <w:sz w:val="21"/>
          <w:szCs w:val="21"/>
        </w:rPr>
        <w:t>ă</w:t>
      </w:r>
      <w:r w:rsidR="005728D4" w:rsidRPr="00CD35C4">
        <w:rPr>
          <w:rFonts w:ascii="Arial" w:hAnsi="Arial" w:cs="Arial"/>
          <w:sz w:val="21"/>
          <w:szCs w:val="21"/>
        </w:rPr>
        <w:t xml:space="preserve"> vor s</w:t>
      </w:r>
      <w:r w:rsidR="002053AD" w:rsidRPr="00CD35C4">
        <w:rPr>
          <w:rFonts w:ascii="Arial" w:hAnsi="Arial" w:cs="Arial"/>
          <w:sz w:val="21"/>
          <w:szCs w:val="21"/>
        </w:rPr>
        <w:t>ă</w:t>
      </w:r>
      <w:r w:rsidR="00ED4ECE" w:rsidRPr="00CD35C4">
        <w:rPr>
          <w:rFonts w:ascii="Arial" w:hAnsi="Arial" w:cs="Arial"/>
          <w:sz w:val="21"/>
          <w:szCs w:val="21"/>
        </w:rPr>
        <w:t xml:space="preserve"> benefici</w:t>
      </w:r>
      <w:r w:rsidR="005D2F68" w:rsidRPr="00CD35C4">
        <w:rPr>
          <w:rFonts w:ascii="Arial" w:hAnsi="Arial" w:cs="Arial"/>
          <w:sz w:val="21"/>
          <w:szCs w:val="21"/>
        </w:rPr>
        <w:t>eze</w:t>
      </w:r>
      <w:r w:rsidR="00ED4ECE" w:rsidRPr="00CD35C4">
        <w:rPr>
          <w:rFonts w:ascii="Arial" w:hAnsi="Arial" w:cs="Arial"/>
          <w:sz w:val="21"/>
          <w:szCs w:val="21"/>
        </w:rPr>
        <w:t xml:space="preserve"> pe deplin de pe urma acestei călătorii</w:t>
      </w:r>
      <w:r w:rsidRPr="00CD35C4">
        <w:rPr>
          <w:rFonts w:ascii="Arial" w:hAnsi="Arial" w:cs="Arial"/>
          <w:sz w:val="21"/>
          <w:szCs w:val="21"/>
        </w:rPr>
        <w:t>.</w:t>
      </w:r>
    </w:p>
    <w:p w14:paraId="49C0B5F3" w14:textId="77777777" w:rsidR="00ED4ECE" w:rsidRPr="00CD35C4" w:rsidRDefault="00ED4ECE" w:rsidP="009F722B">
      <w:pPr>
        <w:spacing w:after="0" w:line="240" w:lineRule="auto"/>
        <w:rPr>
          <w:rFonts w:ascii="Arial" w:hAnsi="Arial" w:cs="Arial"/>
          <w:i/>
          <w:sz w:val="22"/>
        </w:rPr>
      </w:pPr>
    </w:p>
    <w:p w14:paraId="0F119563" w14:textId="309CBC6D" w:rsidR="0032131A" w:rsidRPr="00CD35C4" w:rsidRDefault="0032131A" w:rsidP="0032131A">
      <w:pPr>
        <w:pStyle w:val="EYNormal"/>
        <w:jc w:val="center"/>
        <w:rPr>
          <w:rFonts w:eastAsiaTheme="minorHAnsi" w:cstheme="minorBidi"/>
          <w:b/>
          <w:sz w:val="18"/>
          <w:szCs w:val="18"/>
        </w:rPr>
      </w:pPr>
      <w:r w:rsidRPr="00CD35C4">
        <w:rPr>
          <w:rFonts w:eastAsiaTheme="minorHAnsi" w:cstheme="minorBidi"/>
          <w:b/>
          <w:sz w:val="18"/>
          <w:szCs w:val="18"/>
        </w:rPr>
        <w:t>***</w:t>
      </w:r>
    </w:p>
    <w:p w14:paraId="6E940BD0" w14:textId="77777777" w:rsidR="005355C2" w:rsidRPr="00CD35C4" w:rsidRDefault="005355C2" w:rsidP="005355C2">
      <w:pPr>
        <w:pStyle w:val="EYNormal"/>
        <w:rPr>
          <w:rFonts w:eastAsiaTheme="minorHAnsi" w:cstheme="minorBidi"/>
          <w:b/>
          <w:sz w:val="18"/>
          <w:szCs w:val="18"/>
        </w:rPr>
      </w:pPr>
      <w:r w:rsidRPr="00CD35C4">
        <w:rPr>
          <w:rFonts w:eastAsiaTheme="minorHAnsi" w:cstheme="minorBidi"/>
          <w:b/>
          <w:sz w:val="18"/>
          <w:szCs w:val="18"/>
        </w:rPr>
        <w:t>Despre EY România</w:t>
      </w:r>
    </w:p>
    <w:p w14:paraId="40961DBA" w14:textId="77777777" w:rsidR="005355C2" w:rsidRPr="00CD35C4" w:rsidRDefault="005355C2" w:rsidP="005355C2">
      <w:pPr>
        <w:pStyle w:val="EYNormal"/>
        <w:rPr>
          <w:rFonts w:eastAsiaTheme="minorHAnsi" w:cstheme="minorBidi"/>
          <w:sz w:val="18"/>
          <w:szCs w:val="18"/>
          <w:u w:val="single"/>
        </w:rPr>
      </w:pPr>
      <w:r w:rsidRPr="00CD35C4">
        <w:rPr>
          <w:rFonts w:eastAsiaTheme="minorHAnsi" w:cstheme="minorBidi"/>
          <w:sz w:val="18"/>
          <w:szCs w:val="18"/>
        </w:rPr>
        <w:t>EY este una dintre cele mai mari firme de servicii profesionale la nivel global, cu 312.250 de angajați în peste 700 de birouri în 150 de țări și venituri de aproximativ 40 miliarde de USD în anul fiscal încheiat la 30 iunie 2021. Rețeaua noastră este cea mai integrată la nivel global, iar resursele din cadrul acesteia ne ajută să le oferim clienților servicii prin care să beneficieze de oportunitățile din întreaga lume.</w:t>
      </w:r>
      <w:r w:rsidRPr="00CD35C4">
        <w:rPr>
          <w:rFonts w:eastAsiaTheme="minorHAnsi" w:cstheme="minorBidi"/>
          <w:sz w:val="18"/>
          <w:szCs w:val="18"/>
        </w:rPr>
        <w:br/>
        <w:t xml:space="preserve">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 Pentru mai multe informații, vizitați pagina noastră de internet: </w:t>
      </w:r>
      <w:hyperlink r:id="rId9" w:history="1">
        <w:r w:rsidRPr="00CD35C4">
          <w:rPr>
            <w:rStyle w:val="Hyperlink"/>
            <w:rFonts w:eastAsiaTheme="minorHAnsi" w:cstheme="minorBidi"/>
            <w:sz w:val="18"/>
            <w:szCs w:val="18"/>
          </w:rPr>
          <w:t>www.ey.com</w:t>
        </w:r>
      </w:hyperlink>
    </w:p>
    <w:p w14:paraId="1D628ACD" w14:textId="77777777" w:rsidR="00E72938" w:rsidRPr="00CD35C4" w:rsidRDefault="00E72938" w:rsidP="003F2717">
      <w:pPr>
        <w:spacing w:after="0" w:line="240" w:lineRule="auto"/>
        <w:rPr>
          <w:rFonts w:ascii="Arial" w:hAnsi="Arial" w:cs="Arial"/>
          <w:b/>
          <w:bCs/>
          <w:sz w:val="18"/>
          <w:szCs w:val="18"/>
        </w:rPr>
      </w:pPr>
    </w:p>
    <w:p w14:paraId="05B31F31" w14:textId="6BFE125A" w:rsidR="009F722B" w:rsidRPr="00CD35C4" w:rsidRDefault="009F722B" w:rsidP="003F2717">
      <w:pPr>
        <w:spacing w:after="0" w:line="240" w:lineRule="auto"/>
        <w:rPr>
          <w:rFonts w:ascii="Arial" w:hAnsi="Arial" w:cs="Arial"/>
          <w:b/>
          <w:bCs/>
          <w:sz w:val="18"/>
          <w:szCs w:val="18"/>
        </w:rPr>
      </w:pPr>
      <w:r w:rsidRPr="00CD35C4">
        <w:rPr>
          <w:rFonts w:ascii="Arial" w:hAnsi="Arial" w:cs="Arial"/>
          <w:b/>
          <w:bCs/>
          <w:sz w:val="18"/>
          <w:szCs w:val="18"/>
        </w:rPr>
        <w:t>Referințe:</w:t>
      </w:r>
    </w:p>
    <w:p w14:paraId="102396A7" w14:textId="746EC491" w:rsidR="00D56FBB" w:rsidRPr="00CD35C4" w:rsidRDefault="009F722B" w:rsidP="003F2717">
      <w:pPr>
        <w:spacing w:after="0" w:line="240" w:lineRule="auto"/>
        <w:rPr>
          <w:rFonts w:ascii="Arial" w:hAnsi="Arial" w:cs="Arial"/>
          <w:sz w:val="18"/>
          <w:szCs w:val="18"/>
        </w:rPr>
      </w:pPr>
      <w:r w:rsidRPr="00CD35C4">
        <w:rPr>
          <w:rFonts w:ascii="Arial" w:hAnsi="Arial" w:cs="Arial"/>
          <w:bCs/>
          <w:sz w:val="18"/>
          <w:szCs w:val="18"/>
        </w:rPr>
        <w:t xml:space="preserve">Standardul prototip pentru raportările legate de climă - </w:t>
      </w:r>
      <w:r w:rsidRPr="00CD35C4">
        <w:rPr>
          <w:rFonts w:ascii="Arial" w:hAnsi="Arial" w:cs="Arial"/>
          <w:sz w:val="18"/>
          <w:szCs w:val="18"/>
        </w:rPr>
        <w:t xml:space="preserve">disponibil </w:t>
      </w:r>
      <w:hyperlink r:id="rId10" w:history="1">
        <w:r w:rsidRPr="00CD35C4">
          <w:rPr>
            <w:rStyle w:val="Hyperlink"/>
            <w:rFonts w:ascii="Arial" w:hAnsi="Arial" w:cs="Arial"/>
            <w:sz w:val="18"/>
            <w:szCs w:val="18"/>
          </w:rPr>
          <w:t>aici</w:t>
        </w:r>
      </w:hyperlink>
      <w:r w:rsidRPr="00CD35C4">
        <w:rPr>
          <w:rFonts w:ascii="Arial" w:hAnsi="Arial" w:cs="Arial"/>
          <w:sz w:val="18"/>
          <w:szCs w:val="18"/>
        </w:rPr>
        <w:t>)</w:t>
      </w:r>
    </w:p>
    <w:p w14:paraId="71382E5F" w14:textId="21B3F600" w:rsidR="009F722B" w:rsidRPr="00CD35C4" w:rsidRDefault="009F722B" w:rsidP="003F2717">
      <w:pPr>
        <w:spacing w:after="0" w:line="240" w:lineRule="auto"/>
        <w:rPr>
          <w:rFonts w:ascii="Arial" w:hAnsi="Arial" w:cs="Arial"/>
          <w:strike/>
          <w:sz w:val="18"/>
          <w:szCs w:val="18"/>
        </w:rPr>
      </w:pPr>
      <w:r w:rsidRPr="00CD35C4">
        <w:rPr>
          <w:rFonts w:ascii="Arial" w:hAnsi="Arial" w:cs="Arial"/>
          <w:bCs/>
          <w:sz w:val="18"/>
          <w:szCs w:val="18"/>
        </w:rPr>
        <w:t>Standardul prototip privind cerințele generale</w:t>
      </w:r>
      <w:r w:rsidRPr="00CD35C4">
        <w:rPr>
          <w:rFonts w:ascii="Arial" w:hAnsi="Arial" w:cs="Arial"/>
          <w:sz w:val="18"/>
          <w:szCs w:val="18"/>
        </w:rPr>
        <w:t xml:space="preserve"> (disponibil </w:t>
      </w:r>
      <w:hyperlink r:id="rId11" w:history="1">
        <w:r w:rsidRPr="00CD35C4">
          <w:rPr>
            <w:rStyle w:val="Hyperlink"/>
            <w:rFonts w:ascii="Arial" w:hAnsi="Arial" w:cs="Arial"/>
            <w:sz w:val="18"/>
            <w:szCs w:val="18"/>
          </w:rPr>
          <w:t>aici</w:t>
        </w:r>
      </w:hyperlink>
      <w:r w:rsidRPr="00CD35C4">
        <w:rPr>
          <w:rFonts w:ascii="Arial" w:hAnsi="Arial" w:cs="Arial"/>
          <w:sz w:val="18"/>
          <w:szCs w:val="18"/>
        </w:rPr>
        <w:t>)</w:t>
      </w:r>
    </w:p>
    <w:sectPr w:rsidR="009F722B" w:rsidRPr="00CD35C4" w:rsidSect="00B53255">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8042" w14:textId="77777777" w:rsidR="004379AA" w:rsidRDefault="004379AA" w:rsidP="00D56FBB">
      <w:pPr>
        <w:spacing w:after="0" w:line="240" w:lineRule="auto"/>
      </w:pPr>
      <w:r>
        <w:separator/>
      </w:r>
    </w:p>
  </w:endnote>
  <w:endnote w:type="continuationSeparator" w:id="0">
    <w:p w14:paraId="219A8DC8" w14:textId="77777777" w:rsidR="004379AA" w:rsidRDefault="004379AA" w:rsidP="00D5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87BE" w14:textId="77777777" w:rsidR="004379AA" w:rsidRDefault="004379AA" w:rsidP="00D56FBB">
      <w:pPr>
        <w:spacing w:after="0" w:line="240" w:lineRule="auto"/>
      </w:pPr>
      <w:r>
        <w:separator/>
      </w:r>
    </w:p>
  </w:footnote>
  <w:footnote w:type="continuationSeparator" w:id="0">
    <w:p w14:paraId="701508BB" w14:textId="77777777" w:rsidR="004379AA" w:rsidRDefault="004379AA" w:rsidP="00D56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8519" w14:textId="20AEE9B2" w:rsidR="005355C2" w:rsidRDefault="005355C2">
    <w:pPr>
      <w:pStyle w:val="Header"/>
    </w:pPr>
    <w:r>
      <w:rPr>
        <w:noProof/>
        <w:lang w:eastAsia="ro-RO"/>
      </w:rPr>
      <w:drawing>
        <wp:inline distT="0" distB="0" distL="0" distR="0" wp14:anchorId="714815FF" wp14:editId="7580CAA6">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145EA"/>
    <w:multiLevelType w:val="hybridMultilevel"/>
    <w:tmpl w:val="D4D4762A"/>
    <w:lvl w:ilvl="0" w:tplc="5D1A30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BB"/>
    <w:rsid w:val="000035CC"/>
    <w:rsid w:val="000510B7"/>
    <w:rsid w:val="00060628"/>
    <w:rsid w:val="000A5A84"/>
    <w:rsid w:val="000E7513"/>
    <w:rsid w:val="00110602"/>
    <w:rsid w:val="00135121"/>
    <w:rsid w:val="00142A43"/>
    <w:rsid w:val="0016122A"/>
    <w:rsid w:val="001D15BB"/>
    <w:rsid w:val="001E1DB0"/>
    <w:rsid w:val="00201FB2"/>
    <w:rsid w:val="002053AD"/>
    <w:rsid w:val="0021184A"/>
    <w:rsid w:val="002625ED"/>
    <w:rsid w:val="00284B12"/>
    <w:rsid w:val="002C2D71"/>
    <w:rsid w:val="002C4D84"/>
    <w:rsid w:val="002D0FFE"/>
    <w:rsid w:val="002D17E9"/>
    <w:rsid w:val="003136BC"/>
    <w:rsid w:val="0032131A"/>
    <w:rsid w:val="00335C74"/>
    <w:rsid w:val="00340FC3"/>
    <w:rsid w:val="00377570"/>
    <w:rsid w:val="003C492A"/>
    <w:rsid w:val="003F2717"/>
    <w:rsid w:val="003F3868"/>
    <w:rsid w:val="00402FFA"/>
    <w:rsid w:val="00424DB3"/>
    <w:rsid w:val="00427B38"/>
    <w:rsid w:val="004379AA"/>
    <w:rsid w:val="00450123"/>
    <w:rsid w:val="00460223"/>
    <w:rsid w:val="00472333"/>
    <w:rsid w:val="00497C9B"/>
    <w:rsid w:val="00501922"/>
    <w:rsid w:val="00522066"/>
    <w:rsid w:val="005355C2"/>
    <w:rsid w:val="005476CA"/>
    <w:rsid w:val="00553239"/>
    <w:rsid w:val="005728D4"/>
    <w:rsid w:val="00597F54"/>
    <w:rsid w:val="005B661A"/>
    <w:rsid w:val="005C4D66"/>
    <w:rsid w:val="005D0459"/>
    <w:rsid w:val="005D2F68"/>
    <w:rsid w:val="005E36F2"/>
    <w:rsid w:val="005E50B3"/>
    <w:rsid w:val="005F0B6E"/>
    <w:rsid w:val="00663D92"/>
    <w:rsid w:val="006709FC"/>
    <w:rsid w:val="00671257"/>
    <w:rsid w:val="00673055"/>
    <w:rsid w:val="0067537E"/>
    <w:rsid w:val="00682B22"/>
    <w:rsid w:val="006B4DC2"/>
    <w:rsid w:val="006E4742"/>
    <w:rsid w:val="007277B1"/>
    <w:rsid w:val="007318BA"/>
    <w:rsid w:val="00734AED"/>
    <w:rsid w:val="00770847"/>
    <w:rsid w:val="007C7480"/>
    <w:rsid w:val="007D3B32"/>
    <w:rsid w:val="00823236"/>
    <w:rsid w:val="008314DC"/>
    <w:rsid w:val="008443A8"/>
    <w:rsid w:val="008625E2"/>
    <w:rsid w:val="00871064"/>
    <w:rsid w:val="008C276A"/>
    <w:rsid w:val="008F6C46"/>
    <w:rsid w:val="00900973"/>
    <w:rsid w:val="009205DB"/>
    <w:rsid w:val="00921C57"/>
    <w:rsid w:val="00930F89"/>
    <w:rsid w:val="009E783D"/>
    <w:rsid w:val="009F722B"/>
    <w:rsid w:val="00A01CFE"/>
    <w:rsid w:val="00A3036B"/>
    <w:rsid w:val="00AA7DCF"/>
    <w:rsid w:val="00AD5197"/>
    <w:rsid w:val="00AD5D40"/>
    <w:rsid w:val="00AD7CEF"/>
    <w:rsid w:val="00AD7F12"/>
    <w:rsid w:val="00AF5AAC"/>
    <w:rsid w:val="00B116B2"/>
    <w:rsid w:val="00B3280C"/>
    <w:rsid w:val="00B515F2"/>
    <w:rsid w:val="00B53255"/>
    <w:rsid w:val="00B64B48"/>
    <w:rsid w:val="00B658B5"/>
    <w:rsid w:val="00BE4AD7"/>
    <w:rsid w:val="00C0659F"/>
    <w:rsid w:val="00C32780"/>
    <w:rsid w:val="00C5579E"/>
    <w:rsid w:val="00C63AC1"/>
    <w:rsid w:val="00CA4499"/>
    <w:rsid w:val="00CB7317"/>
    <w:rsid w:val="00CD35C4"/>
    <w:rsid w:val="00CE03F6"/>
    <w:rsid w:val="00D242F5"/>
    <w:rsid w:val="00D35CAC"/>
    <w:rsid w:val="00D4428B"/>
    <w:rsid w:val="00D56FBB"/>
    <w:rsid w:val="00D613DB"/>
    <w:rsid w:val="00D66FD3"/>
    <w:rsid w:val="00D86984"/>
    <w:rsid w:val="00DB7361"/>
    <w:rsid w:val="00DC135B"/>
    <w:rsid w:val="00DE390E"/>
    <w:rsid w:val="00E00264"/>
    <w:rsid w:val="00E1704A"/>
    <w:rsid w:val="00E268D3"/>
    <w:rsid w:val="00E3508C"/>
    <w:rsid w:val="00E72938"/>
    <w:rsid w:val="00E92BB1"/>
    <w:rsid w:val="00EA289A"/>
    <w:rsid w:val="00ED4ECE"/>
    <w:rsid w:val="00EE271A"/>
    <w:rsid w:val="00EE6E32"/>
    <w:rsid w:val="00F0299E"/>
    <w:rsid w:val="00F27451"/>
    <w:rsid w:val="00F34CF6"/>
    <w:rsid w:val="00F453DB"/>
    <w:rsid w:val="00F47B94"/>
    <w:rsid w:val="00F578FE"/>
    <w:rsid w:val="00F8093F"/>
    <w:rsid w:val="00F80D9B"/>
    <w:rsid w:val="00F9122A"/>
    <w:rsid w:val="00FF0C6D"/>
    <w:rsid w:val="00FF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79DA8"/>
  <w15:docId w15:val="{177C3C10-576C-4E5E-A1D2-5236A106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ro-RO"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FBB"/>
    <w:pPr>
      <w:ind w:left="720"/>
      <w:contextualSpacing/>
    </w:pPr>
  </w:style>
  <w:style w:type="paragraph" w:styleId="FootnoteText">
    <w:name w:val="footnote text"/>
    <w:basedOn w:val="Normal"/>
    <w:link w:val="FootnoteTextChar"/>
    <w:uiPriority w:val="99"/>
    <w:semiHidden/>
    <w:unhideWhenUsed/>
    <w:rsid w:val="00D56FBB"/>
    <w:pPr>
      <w:spacing w:after="0" w:line="240" w:lineRule="auto"/>
    </w:pPr>
    <w:rPr>
      <w:szCs w:val="20"/>
    </w:rPr>
  </w:style>
  <w:style w:type="character" w:customStyle="1" w:styleId="FootnoteTextChar">
    <w:name w:val="Footnote Text Char"/>
    <w:basedOn w:val="DefaultParagraphFont"/>
    <w:link w:val="FootnoteText"/>
    <w:uiPriority w:val="99"/>
    <w:semiHidden/>
    <w:rsid w:val="00D56FBB"/>
    <w:rPr>
      <w:szCs w:val="20"/>
    </w:rPr>
  </w:style>
  <w:style w:type="character" w:styleId="FootnoteReference">
    <w:name w:val="footnote reference"/>
    <w:basedOn w:val="DefaultParagraphFont"/>
    <w:uiPriority w:val="99"/>
    <w:semiHidden/>
    <w:unhideWhenUsed/>
    <w:rsid w:val="00D56FBB"/>
    <w:rPr>
      <w:vertAlign w:val="superscript"/>
    </w:rPr>
  </w:style>
  <w:style w:type="paragraph" w:styleId="CommentText">
    <w:name w:val="annotation text"/>
    <w:basedOn w:val="Normal"/>
    <w:link w:val="CommentTextChar"/>
    <w:uiPriority w:val="99"/>
    <w:semiHidden/>
    <w:unhideWhenUsed/>
    <w:rsid w:val="005E50B3"/>
    <w:pPr>
      <w:spacing w:line="240" w:lineRule="auto"/>
    </w:pPr>
    <w:rPr>
      <w:szCs w:val="20"/>
    </w:rPr>
  </w:style>
  <w:style w:type="character" w:styleId="CommentReference">
    <w:name w:val="annotation reference"/>
    <w:basedOn w:val="DefaultParagraphFont"/>
    <w:uiPriority w:val="99"/>
    <w:semiHidden/>
    <w:unhideWhenUsed/>
    <w:rsid w:val="005E50B3"/>
    <w:rPr>
      <w:sz w:val="16"/>
      <w:szCs w:val="16"/>
    </w:rPr>
  </w:style>
  <w:style w:type="paragraph" w:styleId="BalloonText">
    <w:name w:val="Balloon Text"/>
    <w:basedOn w:val="Normal"/>
    <w:link w:val="BalloonTextChar"/>
    <w:uiPriority w:val="99"/>
    <w:semiHidden/>
    <w:unhideWhenUsed/>
    <w:rsid w:val="00501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22"/>
    <w:rPr>
      <w:rFonts w:ascii="Tahoma" w:hAnsi="Tahoma" w:cs="Tahoma"/>
      <w:sz w:val="16"/>
      <w:szCs w:val="16"/>
    </w:rPr>
  </w:style>
  <w:style w:type="character" w:styleId="Hyperlink">
    <w:name w:val="Hyperlink"/>
    <w:basedOn w:val="DefaultParagraphFont"/>
    <w:uiPriority w:val="99"/>
    <w:unhideWhenUsed/>
    <w:rsid w:val="00501922"/>
    <w:rPr>
      <w:color w:val="0000FF" w:themeColor="hyperlink"/>
      <w:u w:val="single"/>
    </w:rPr>
  </w:style>
  <w:style w:type="paragraph" w:styleId="Header">
    <w:name w:val="header"/>
    <w:basedOn w:val="Normal"/>
    <w:link w:val="HeaderChar"/>
    <w:uiPriority w:val="99"/>
    <w:unhideWhenUsed/>
    <w:rsid w:val="00535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5C2"/>
  </w:style>
  <w:style w:type="paragraph" w:styleId="Footer">
    <w:name w:val="footer"/>
    <w:basedOn w:val="Normal"/>
    <w:link w:val="FooterChar"/>
    <w:uiPriority w:val="99"/>
    <w:unhideWhenUsed/>
    <w:rsid w:val="00535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5C2"/>
  </w:style>
  <w:style w:type="paragraph" w:customStyle="1" w:styleId="EYDocumentprompts">
    <w:name w:val="EY Document prompts"/>
    <w:basedOn w:val="Normal"/>
    <w:uiPriority w:val="99"/>
    <w:rsid w:val="005355C2"/>
    <w:pPr>
      <w:suppressAutoHyphens/>
      <w:spacing w:before="60" w:after="60" w:line="240" w:lineRule="atLeast"/>
    </w:pPr>
    <w:rPr>
      <w:rFonts w:ascii="Arial" w:eastAsia="Times New Roman" w:hAnsi="Arial" w:cs="Times New Roman"/>
      <w:kern w:val="12"/>
      <w:szCs w:val="24"/>
    </w:rPr>
  </w:style>
  <w:style w:type="paragraph" w:customStyle="1" w:styleId="EYDocumentpromptsbold">
    <w:name w:val="EY Document prompts (bold)"/>
    <w:basedOn w:val="Normal"/>
    <w:uiPriority w:val="99"/>
    <w:rsid w:val="005355C2"/>
    <w:pPr>
      <w:suppressAutoHyphens/>
      <w:spacing w:after="0" w:line="260" w:lineRule="atLeast"/>
    </w:pPr>
    <w:rPr>
      <w:rFonts w:ascii="Arial Bold" w:eastAsia="Times New Roman" w:hAnsi="Arial Bold" w:cs="Times New Roman"/>
      <w:b/>
      <w:kern w:val="12"/>
      <w:szCs w:val="24"/>
    </w:rPr>
  </w:style>
  <w:style w:type="paragraph" w:styleId="NormalWeb">
    <w:name w:val="Normal (Web)"/>
    <w:basedOn w:val="Normal"/>
    <w:uiPriority w:val="99"/>
    <w:unhideWhenUsed/>
    <w:rsid w:val="005355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YNormal">
    <w:name w:val="EY Normal"/>
    <w:link w:val="EYNormalChar"/>
    <w:rsid w:val="005355C2"/>
    <w:pPr>
      <w:suppressAutoHyphens/>
      <w:spacing w:after="0" w:line="240" w:lineRule="auto"/>
    </w:pPr>
    <w:rPr>
      <w:rFonts w:ascii="Arial" w:eastAsia="Times New Roman" w:hAnsi="Arial" w:cs="Times New Roman"/>
      <w:kern w:val="12"/>
      <w:sz w:val="22"/>
      <w:szCs w:val="24"/>
    </w:rPr>
  </w:style>
  <w:style w:type="character" w:customStyle="1" w:styleId="EYNormalChar">
    <w:name w:val="EY Normal Char"/>
    <w:basedOn w:val="DefaultParagraphFont"/>
    <w:link w:val="EYNormal"/>
    <w:rsid w:val="005355C2"/>
    <w:rPr>
      <w:rFonts w:ascii="Arial" w:eastAsia="Times New Roman" w:hAnsi="Arial" w:cs="Times New Roman"/>
      <w:kern w:val="12"/>
      <w:sz w:val="22"/>
      <w:szCs w:val="24"/>
    </w:rPr>
  </w:style>
  <w:style w:type="paragraph" w:styleId="CommentSubject">
    <w:name w:val="annotation subject"/>
    <w:basedOn w:val="CommentText"/>
    <w:next w:val="CommentText"/>
    <w:link w:val="CommentSubjectChar"/>
    <w:uiPriority w:val="99"/>
    <w:semiHidden/>
    <w:unhideWhenUsed/>
    <w:rsid w:val="00B3280C"/>
    <w:rPr>
      <w:b/>
      <w:bCs/>
    </w:rPr>
  </w:style>
  <w:style w:type="character" w:customStyle="1" w:styleId="CommentTextChar">
    <w:name w:val="Comment Text Char"/>
    <w:basedOn w:val="DefaultParagraphFont"/>
    <w:link w:val="CommentText"/>
    <w:uiPriority w:val="99"/>
    <w:semiHidden/>
    <w:rsid w:val="00B3280C"/>
    <w:rPr>
      <w:szCs w:val="20"/>
    </w:rPr>
  </w:style>
  <w:style w:type="character" w:customStyle="1" w:styleId="CommentSubjectChar">
    <w:name w:val="Comment Subject Char"/>
    <w:basedOn w:val="CommentTextChar"/>
    <w:link w:val="CommentSubject"/>
    <w:uiPriority w:val="99"/>
    <w:semiHidden/>
    <w:rsid w:val="00B3280C"/>
    <w:rPr>
      <w:b/>
      <w:bCs/>
      <w:szCs w:val="20"/>
    </w:rPr>
  </w:style>
  <w:style w:type="character" w:styleId="FollowedHyperlink">
    <w:name w:val="FollowedHyperlink"/>
    <w:basedOn w:val="DefaultParagraphFont"/>
    <w:uiPriority w:val="99"/>
    <w:semiHidden/>
    <w:unhideWhenUsed/>
    <w:rsid w:val="00321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1752">
      <w:bodyDiv w:val="1"/>
      <w:marLeft w:val="0"/>
      <w:marRight w:val="0"/>
      <w:marTop w:val="0"/>
      <w:marBottom w:val="0"/>
      <w:divBdr>
        <w:top w:val="none" w:sz="0" w:space="0" w:color="auto"/>
        <w:left w:val="none" w:sz="0" w:space="0" w:color="auto"/>
        <w:bottom w:val="none" w:sz="0" w:space="0" w:color="auto"/>
        <w:right w:val="none" w:sz="0" w:space="0" w:color="auto"/>
      </w:divBdr>
    </w:div>
    <w:div w:id="478688004">
      <w:bodyDiv w:val="1"/>
      <w:marLeft w:val="0"/>
      <w:marRight w:val="0"/>
      <w:marTop w:val="0"/>
      <w:marBottom w:val="0"/>
      <w:divBdr>
        <w:top w:val="none" w:sz="0" w:space="0" w:color="auto"/>
        <w:left w:val="none" w:sz="0" w:space="0" w:color="auto"/>
        <w:bottom w:val="none" w:sz="0" w:space="0" w:color="auto"/>
        <w:right w:val="none" w:sz="0" w:space="0" w:color="auto"/>
      </w:divBdr>
      <w:divsChild>
        <w:div w:id="1257518523">
          <w:marLeft w:val="0"/>
          <w:marRight w:val="0"/>
          <w:marTop w:val="0"/>
          <w:marBottom w:val="0"/>
          <w:divBdr>
            <w:top w:val="none" w:sz="0" w:space="0" w:color="auto"/>
            <w:left w:val="none" w:sz="0" w:space="0" w:color="auto"/>
            <w:bottom w:val="none" w:sz="0" w:space="0" w:color="auto"/>
            <w:right w:val="none" w:sz="0" w:space="0" w:color="auto"/>
          </w:divBdr>
          <w:divsChild>
            <w:div w:id="656693786">
              <w:marLeft w:val="0"/>
              <w:marRight w:val="0"/>
              <w:marTop w:val="0"/>
              <w:marBottom w:val="0"/>
              <w:divBdr>
                <w:top w:val="none" w:sz="0" w:space="0" w:color="auto"/>
                <w:left w:val="none" w:sz="0" w:space="0" w:color="auto"/>
                <w:bottom w:val="none" w:sz="0" w:space="0" w:color="auto"/>
                <w:right w:val="none" w:sz="0" w:space="0" w:color="auto"/>
              </w:divBdr>
              <w:divsChild>
                <w:div w:id="1252740473">
                  <w:marLeft w:val="0"/>
                  <w:marRight w:val="0"/>
                  <w:marTop w:val="0"/>
                  <w:marBottom w:val="0"/>
                  <w:divBdr>
                    <w:top w:val="single" w:sz="4" w:space="20" w:color="C4C4CD"/>
                    <w:left w:val="none" w:sz="0" w:space="0" w:color="auto"/>
                    <w:bottom w:val="single" w:sz="4" w:space="19" w:color="C4C4CD"/>
                    <w:right w:val="none" w:sz="0" w:space="0" w:color="auto"/>
                  </w:divBdr>
                  <w:divsChild>
                    <w:div w:id="1017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0241">
          <w:marLeft w:val="0"/>
          <w:marRight w:val="0"/>
          <w:marTop w:val="0"/>
          <w:marBottom w:val="0"/>
          <w:divBdr>
            <w:top w:val="none" w:sz="0" w:space="0" w:color="auto"/>
            <w:left w:val="none" w:sz="0" w:space="0" w:color="auto"/>
            <w:bottom w:val="none" w:sz="0" w:space="0" w:color="auto"/>
            <w:right w:val="none" w:sz="0" w:space="0" w:color="auto"/>
          </w:divBdr>
          <w:divsChild>
            <w:div w:id="1232813375">
              <w:marLeft w:val="0"/>
              <w:marRight w:val="0"/>
              <w:marTop w:val="0"/>
              <w:marBottom w:val="0"/>
              <w:divBdr>
                <w:top w:val="none" w:sz="0" w:space="0" w:color="auto"/>
                <w:left w:val="none" w:sz="0" w:space="0" w:color="auto"/>
                <w:bottom w:val="none" w:sz="0" w:space="0" w:color="auto"/>
                <w:right w:val="none" w:sz="0" w:space="0" w:color="auto"/>
              </w:divBdr>
              <w:divsChild>
                <w:div w:id="20568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5274">
      <w:bodyDiv w:val="1"/>
      <w:marLeft w:val="0"/>
      <w:marRight w:val="0"/>
      <w:marTop w:val="0"/>
      <w:marBottom w:val="0"/>
      <w:divBdr>
        <w:top w:val="none" w:sz="0" w:space="0" w:color="auto"/>
        <w:left w:val="none" w:sz="0" w:space="0" w:color="auto"/>
        <w:bottom w:val="none" w:sz="0" w:space="0" w:color="auto"/>
        <w:right w:val="none" w:sz="0" w:space="0" w:color="auto"/>
      </w:divBdr>
    </w:div>
    <w:div w:id="602231148">
      <w:bodyDiv w:val="1"/>
      <w:marLeft w:val="0"/>
      <w:marRight w:val="0"/>
      <w:marTop w:val="0"/>
      <w:marBottom w:val="0"/>
      <w:divBdr>
        <w:top w:val="none" w:sz="0" w:space="0" w:color="auto"/>
        <w:left w:val="none" w:sz="0" w:space="0" w:color="auto"/>
        <w:bottom w:val="none" w:sz="0" w:space="0" w:color="auto"/>
        <w:right w:val="none" w:sz="0" w:space="0" w:color="auto"/>
      </w:divBdr>
    </w:div>
    <w:div w:id="836577391">
      <w:bodyDiv w:val="1"/>
      <w:marLeft w:val="0"/>
      <w:marRight w:val="0"/>
      <w:marTop w:val="0"/>
      <w:marBottom w:val="0"/>
      <w:divBdr>
        <w:top w:val="none" w:sz="0" w:space="0" w:color="auto"/>
        <w:left w:val="none" w:sz="0" w:space="0" w:color="auto"/>
        <w:bottom w:val="none" w:sz="0" w:space="0" w:color="auto"/>
        <w:right w:val="none" w:sz="0" w:space="0" w:color="auto"/>
      </w:divBdr>
    </w:div>
    <w:div w:id="960459122">
      <w:bodyDiv w:val="1"/>
      <w:marLeft w:val="0"/>
      <w:marRight w:val="0"/>
      <w:marTop w:val="0"/>
      <w:marBottom w:val="0"/>
      <w:divBdr>
        <w:top w:val="none" w:sz="0" w:space="0" w:color="auto"/>
        <w:left w:val="none" w:sz="0" w:space="0" w:color="auto"/>
        <w:bottom w:val="none" w:sz="0" w:space="0" w:color="auto"/>
        <w:right w:val="none" w:sz="0" w:space="0" w:color="auto"/>
      </w:divBdr>
      <w:divsChild>
        <w:div w:id="1408377862">
          <w:marLeft w:val="0"/>
          <w:marRight w:val="0"/>
          <w:marTop w:val="0"/>
          <w:marBottom w:val="0"/>
          <w:divBdr>
            <w:top w:val="none" w:sz="0" w:space="0" w:color="auto"/>
            <w:left w:val="none" w:sz="0" w:space="0" w:color="auto"/>
            <w:bottom w:val="none" w:sz="0" w:space="0" w:color="auto"/>
            <w:right w:val="none" w:sz="0" w:space="0" w:color="auto"/>
          </w:divBdr>
          <w:divsChild>
            <w:div w:id="20058612">
              <w:marLeft w:val="0"/>
              <w:marRight w:val="0"/>
              <w:marTop w:val="0"/>
              <w:marBottom w:val="0"/>
              <w:divBdr>
                <w:top w:val="none" w:sz="0" w:space="0" w:color="auto"/>
                <w:left w:val="none" w:sz="0" w:space="0" w:color="auto"/>
                <w:bottom w:val="none" w:sz="0" w:space="0" w:color="auto"/>
                <w:right w:val="none" w:sz="0" w:space="0" w:color="auto"/>
              </w:divBdr>
              <w:divsChild>
                <w:div w:id="13590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073">
          <w:marLeft w:val="0"/>
          <w:marRight w:val="0"/>
          <w:marTop w:val="0"/>
          <w:marBottom w:val="0"/>
          <w:divBdr>
            <w:top w:val="none" w:sz="0" w:space="0" w:color="auto"/>
            <w:left w:val="none" w:sz="0" w:space="0" w:color="auto"/>
            <w:bottom w:val="none" w:sz="0" w:space="0" w:color="auto"/>
            <w:right w:val="none" w:sz="0" w:space="0" w:color="auto"/>
          </w:divBdr>
          <w:divsChild>
            <w:div w:id="1596748694">
              <w:marLeft w:val="0"/>
              <w:marRight w:val="0"/>
              <w:marTop w:val="0"/>
              <w:marBottom w:val="0"/>
              <w:divBdr>
                <w:top w:val="none" w:sz="0" w:space="0" w:color="auto"/>
                <w:left w:val="none" w:sz="0" w:space="0" w:color="auto"/>
                <w:bottom w:val="none" w:sz="0" w:space="0" w:color="auto"/>
                <w:right w:val="none" w:sz="0" w:space="0" w:color="auto"/>
              </w:divBdr>
              <w:divsChild>
                <w:div w:id="1834684566">
                  <w:marLeft w:val="-92"/>
                  <w:marRight w:val="-92"/>
                  <w:marTop w:val="0"/>
                  <w:marBottom w:val="0"/>
                  <w:divBdr>
                    <w:top w:val="none" w:sz="0" w:space="0" w:color="auto"/>
                    <w:left w:val="none" w:sz="0" w:space="0" w:color="auto"/>
                    <w:bottom w:val="none" w:sz="0" w:space="0" w:color="auto"/>
                    <w:right w:val="none" w:sz="0" w:space="0" w:color="auto"/>
                  </w:divBdr>
                  <w:divsChild>
                    <w:div w:id="526528898">
                      <w:marLeft w:val="0"/>
                      <w:marRight w:val="0"/>
                      <w:marTop w:val="265"/>
                      <w:marBottom w:val="0"/>
                      <w:divBdr>
                        <w:top w:val="none" w:sz="0" w:space="0" w:color="auto"/>
                        <w:left w:val="none" w:sz="0" w:space="0" w:color="auto"/>
                        <w:bottom w:val="none" w:sz="0" w:space="0" w:color="auto"/>
                        <w:right w:val="none" w:sz="0" w:space="0" w:color="auto"/>
                      </w:divBdr>
                    </w:div>
                  </w:divsChild>
                </w:div>
              </w:divsChild>
            </w:div>
          </w:divsChild>
        </w:div>
      </w:divsChild>
    </w:div>
    <w:div w:id="1022124171">
      <w:bodyDiv w:val="1"/>
      <w:marLeft w:val="0"/>
      <w:marRight w:val="0"/>
      <w:marTop w:val="0"/>
      <w:marBottom w:val="0"/>
      <w:divBdr>
        <w:top w:val="none" w:sz="0" w:space="0" w:color="auto"/>
        <w:left w:val="none" w:sz="0" w:space="0" w:color="auto"/>
        <w:bottom w:val="none" w:sz="0" w:space="0" w:color="auto"/>
        <w:right w:val="none" w:sz="0" w:space="0" w:color="auto"/>
      </w:divBdr>
      <w:divsChild>
        <w:div w:id="456603234">
          <w:marLeft w:val="2360"/>
          <w:marRight w:val="0"/>
          <w:marTop w:val="0"/>
          <w:marBottom w:val="0"/>
          <w:divBdr>
            <w:top w:val="none" w:sz="0" w:space="0" w:color="auto"/>
            <w:left w:val="none" w:sz="0" w:space="0" w:color="auto"/>
            <w:bottom w:val="none" w:sz="0" w:space="0" w:color="auto"/>
            <w:right w:val="none" w:sz="0" w:space="0" w:color="auto"/>
          </w:divBdr>
          <w:divsChild>
            <w:div w:id="1410082836">
              <w:marLeft w:val="0"/>
              <w:marRight w:val="0"/>
              <w:marTop w:val="0"/>
              <w:marBottom w:val="0"/>
              <w:divBdr>
                <w:top w:val="none" w:sz="0" w:space="0" w:color="auto"/>
                <w:left w:val="none" w:sz="0" w:space="0" w:color="auto"/>
                <w:bottom w:val="none" w:sz="0" w:space="0" w:color="auto"/>
                <w:right w:val="none" w:sz="0" w:space="0" w:color="auto"/>
              </w:divBdr>
              <w:divsChild>
                <w:div w:id="2189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5145">
          <w:marLeft w:val="2360"/>
          <w:marRight w:val="0"/>
          <w:marTop w:val="0"/>
          <w:marBottom w:val="0"/>
          <w:divBdr>
            <w:top w:val="none" w:sz="0" w:space="0" w:color="auto"/>
            <w:left w:val="none" w:sz="0" w:space="0" w:color="auto"/>
            <w:bottom w:val="none" w:sz="0" w:space="0" w:color="auto"/>
            <w:right w:val="none" w:sz="0" w:space="0" w:color="auto"/>
          </w:divBdr>
          <w:divsChild>
            <w:div w:id="1930963062">
              <w:marLeft w:val="0"/>
              <w:marRight w:val="0"/>
              <w:marTop w:val="0"/>
              <w:marBottom w:val="0"/>
              <w:divBdr>
                <w:top w:val="none" w:sz="0" w:space="0" w:color="auto"/>
                <w:left w:val="none" w:sz="0" w:space="0" w:color="auto"/>
                <w:bottom w:val="none" w:sz="0" w:space="0" w:color="auto"/>
                <w:right w:val="none" w:sz="0" w:space="0" w:color="auto"/>
              </w:divBdr>
              <w:divsChild>
                <w:div w:id="1557357659">
                  <w:marLeft w:val="0"/>
                  <w:marRight w:val="0"/>
                  <w:marTop w:val="0"/>
                  <w:marBottom w:val="0"/>
                  <w:divBdr>
                    <w:top w:val="none" w:sz="0" w:space="0" w:color="auto"/>
                    <w:left w:val="none" w:sz="0" w:space="0" w:color="auto"/>
                    <w:bottom w:val="none" w:sz="0" w:space="0" w:color="auto"/>
                    <w:right w:val="none" w:sz="0" w:space="0" w:color="auto"/>
                  </w:divBdr>
                  <w:divsChild>
                    <w:div w:id="52242958">
                      <w:marLeft w:val="0"/>
                      <w:marRight w:val="0"/>
                      <w:marTop w:val="0"/>
                      <w:marBottom w:val="0"/>
                      <w:divBdr>
                        <w:top w:val="none" w:sz="0" w:space="0" w:color="auto"/>
                        <w:left w:val="none" w:sz="0" w:space="0" w:color="auto"/>
                        <w:bottom w:val="none" w:sz="0" w:space="0" w:color="auto"/>
                        <w:right w:val="none" w:sz="0" w:space="0" w:color="auto"/>
                      </w:divBdr>
                      <w:divsChild>
                        <w:div w:id="1450662598">
                          <w:marLeft w:val="-92"/>
                          <w:marRight w:val="-92"/>
                          <w:marTop w:val="0"/>
                          <w:marBottom w:val="0"/>
                          <w:divBdr>
                            <w:top w:val="single" w:sz="4" w:space="0" w:color="C4C4CD"/>
                            <w:left w:val="none" w:sz="0" w:space="0" w:color="auto"/>
                            <w:bottom w:val="none" w:sz="0" w:space="0" w:color="auto"/>
                            <w:right w:val="none" w:sz="0" w:space="0" w:color="auto"/>
                          </w:divBdr>
                          <w:divsChild>
                            <w:div w:id="1729525283">
                              <w:marLeft w:val="-92"/>
                              <w:marRight w:val="-92"/>
                              <w:marTop w:val="0"/>
                              <w:marBottom w:val="0"/>
                              <w:divBdr>
                                <w:top w:val="none" w:sz="0" w:space="0" w:color="auto"/>
                                <w:left w:val="none" w:sz="0" w:space="0" w:color="auto"/>
                                <w:bottom w:val="none" w:sz="0" w:space="0" w:color="auto"/>
                                <w:right w:val="none" w:sz="0" w:space="0" w:color="auto"/>
                              </w:divBdr>
                              <w:divsChild>
                                <w:div w:id="1923756015">
                                  <w:marLeft w:val="0"/>
                                  <w:marRight w:val="0"/>
                                  <w:marTop w:val="0"/>
                                  <w:marBottom w:val="0"/>
                                  <w:divBdr>
                                    <w:top w:val="none" w:sz="0" w:space="0" w:color="auto"/>
                                    <w:left w:val="none" w:sz="0" w:space="0" w:color="auto"/>
                                    <w:bottom w:val="none" w:sz="0" w:space="0" w:color="auto"/>
                                    <w:right w:val="none" w:sz="0" w:space="0" w:color="auto"/>
                                  </w:divBdr>
                                  <w:divsChild>
                                    <w:div w:id="499468109">
                                      <w:marLeft w:val="0"/>
                                      <w:marRight w:val="0"/>
                                      <w:marTop w:val="0"/>
                                      <w:marBottom w:val="0"/>
                                      <w:divBdr>
                                        <w:top w:val="none" w:sz="0" w:space="0" w:color="auto"/>
                                        <w:left w:val="none" w:sz="0" w:space="0" w:color="auto"/>
                                        <w:bottom w:val="none" w:sz="0" w:space="0" w:color="auto"/>
                                        <w:right w:val="none" w:sz="0" w:space="0" w:color="auto"/>
                                      </w:divBdr>
                                      <w:divsChild>
                                        <w:div w:id="1644192830">
                                          <w:marLeft w:val="0"/>
                                          <w:marRight w:val="0"/>
                                          <w:marTop w:val="0"/>
                                          <w:marBottom w:val="0"/>
                                          <w:divBdr>
                                            <w:top w:val="none" w:sz="0" w:space="0" w:color="auto"/>
                                            <w:left w:val="none" w:sz="0" w:space="0" w:color="auto"/>
                                            <w:bottom w:val="none" w:sz="0" w:space="0" w:color="auto"/>
                                            <w:right w:val="none" w:sz="0" w:space="0" w:color="auto"/>
                                          </w:divBdr>
                                        </w:div>
                                        <w:div w:id="742214759">
                                          <w:marLeft w:val="0"/>
                                          <w:marRight w:val="0"/>
                                          <w:marTop w:val="0"/>
                                          <w:marBottom w:val="0"/>
                                          <w:divBdr>
                                            <w:top w:val="none" w:sz="0" w:space="0" w:color="auto"/>
                                            <w:left w:val="none" w:sz="0" w:space="0" w:color="auto"/>
                                            <w:bottom w:val="none" w:sz="0" w:space="0" w:color="auto"/>
                                            <w:right w:val="none" w:sz="0" w:space="0" w:color="auto"/>
                                          </w:divBdr>
                                          <w:divsChild>
                                            <w:div w:id="1358237585">
                                              <w:marLeft w:val="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4686">
      <w:bodyDiv w:val="1"/>
      <w:marLeft w:val="0"/>
      <w:marRight w:val="0"/>
      <w:marTop w:val="0"/>
      <w:marBottom w:val="0"/>
      <w:divBdr>
        <w:top w:val="none" w:sz="0" w:space="0" w:color="auto"/>
        <w:left w:val="none" w:sz="0" w:space="0" w:color="auto"/>
        <w:bottom w:val="none" w:sz="0" w:space="0" w:color="auto"/>
        <w:right w:val="none" w:sz="0" w:space="0" w:color="auto"/>
      </w:divBdr>
    </w:div>
    <w:div w:id="1339695505">
      <w:bodyDiv w:val="1"/>
      <w:marLeft w:val="0"/>
      <w:marRight w:val="0"/>
      <w:marTop w:val="0"/>
      <w:marBottom w:val="0"/>
      <w:divBdr>
        <w:top w:val="none" w:sz="0" w:space="0" w:color="auto"/>
        <w:left w:val="none" w:sz="0" w:space="0" w:color="auto"/>
        <w:bottom w:val="none" w:sz="0" w:space="0" w:color="auto"/>
        <w:right w:val="none" w:sz="0" w:space="0" w:color="auto"/>
      </w:divBdr>
      <w:divsChild>
        <w:div w:id="1533302728">
          <w:marLeft w:val="0"/>
          <w:marRight w:val="0"/>
          <w:marTop w:val="0"/>
          <w:marBottom w:val="576"/>
          <w:divBdr>
            <w:top w:val="none" w:sz="0" w:space="0" w:color="auto"/>
            <w:left w:val="none" w:sz="0" w:space="0" w:color="auto"/>
            <w:bottom w:val="none" w:sz="0" w:space="0" w:color="auto"/>
            <w:right w:val="none" w:sz="0" w:space="0" w:color="auto"/>
          </w:divBdr>
          <w:divsChild>
            <w:div w:id="2946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9704">
      <w:bodyDiv w:val="1"/>
      <w:marLeft w:val="0"/>
      <w:marRight w:val="0"/>
      <w:marTop w:val="0"/>
      <w:marBottom w:val="0"/>
      <w:divBdr>
        <w:top w:val="none" w:sz="0" w:space="0" w:color="auto"/>
        <w:left w:val="none" w:sz="0" w:space="0" w:color="auto"/>
        <w:bottom w:val="none" w:sz="0" w:space="0" w:color="auto"/>
        <w:right w:val="none" w:sz="0" w:space="0" w:color="auto"/>
      </w:divBdr>
    </w:div>
    <w:div w:id="1694719386">
      <w:bodyDiv w:val="1"/>
      <w:marLeft w:val="0"/>
      <w:marRight w:val="0"/>
      <w:marTop w:val="0"/>
      <w:marBottom w:val="0"/>
      <w:divBdr>
        <w:top w:val="none" w:sz="0" w:space="0" w:color="auto"/>
        <w:left w:val="none" w:sz="0" w:space="0" w:color="auto"/>
        <w:bottom w:val="none" w:sz="0" w:space="0" w:color="auto"/>
        <w:right w:val="none" w:sz="0" w:space="0" w:color="auto"/>
      </w:divBdr>
      <w:divsChild>
        <w:div w:id="799345313">
          <w:marLeft w:val="0"/>
          <w:marRight w:val="0"/>
          <w:marTop w:val="0"/>
          <w:marBottom w:val="0"/>
          <w:divBdr>
            <w:top w:val="none" w:sz="0" w:space="0" w:color="auto"/>
            <w:left w:val="none" w:sz="0" w:space="0" w:color="auto"/>
            <w:bottom w:val="none" w:sz="0" w:space="0" w:color="auto"/>
            <w:right w:val="none" w:sz="0" w:space="0" w:color="auto"/>
          </w:divBdr>
          <w:divsChild>
            <w:div w:id="1625888270">
              <w:marLeft w:val="0"/>
              <w:marRight w:val="0"/>
              <w:marTop w:val="0"/>
              <w:marBottom w:val="0"/>
              <w:divBdr>
                <w:top w:val="none" w:sz="0" w:space="0" w:color="auto"/>
                <w:left w:val="none" w:sz="0" w:space="0" w:color="auto"/>
                <w:bottom w:val="none" w:sz="0" w:space="0" w:color="auto"/>
                <w:right w:val="none" w:sz="0" w:space="0" w:color="auto"/>
              </w:divBdr>
              <w:divsChild>
                <w:div w:id="9733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a.hutanu@ro.e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rs.org/content/dam/ifrs/groups/trwg/trwg-general-requirements-prototype.pdf" TargetMode="External"/><Relationship Id="rId5" Type="http://schemas.openxmlformats.org/officeDocument/2006/relationships/webSettings" Target="webSettings.xml"/><Relationship Id="rId10" Type="http://schemas.openxmlformats.org/officeDocument/2006/relationships/hyperlink" Target="https://www.ifrs.org/content/dam/ifrs/groups/trwg/climate-related-disclosures-prototype-technical-protocols-supplement.pdf" TargetMode="External"/><Relationship Id="rId4" Type="http://schemas.openxmlformats.org/officeDocument/2006/relationships/settings" Target="settings.xml"/><Relationship Id="rId9" Type="http://schemas.openxmlformats.org/officeDocument/2006/relationships/hyperlink" Target="http://www.e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9C257-54F2-4F11-9B7F-BA3C6555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Ceausescu</dc:creator>
  <cp:keywords/>
  <dc:description/>
  <cp:lastModifiedBy>Alina Grigoras</cp:lastModifiedBy>
  <cp:revision>7</cp:revision>
  <dcterms:created xsi:type="dcterms:W3CDTF">2021-12-08T09:41:00Z</dcterms:created>
  <dcterms:modified xsi:type="dcterms:W3CDTF">2021-12-08T11:33:00Z</dcterms:modified>
</cp:coreProperties>
</file>