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4FD" w:rsidRPr="00CD5BE6" w:rsidRDefault="00CD5BE6" w:rsidP="00CD5BE6">
      <w:pPr>
        <w:jc w:val="right"/>
        <w:rPr>
          <w:b/>
        </w:rPr>
      </w:pPr>
      <w:r w:rsidRPr="00CD5BE6">
        <w:rPr>
          <w:b/>
          <w:sz w:val="20"/>
          <w:szCs w:val="20"/>
        </w:rPr>
        <w:t>HOT. 19</w:t>
      </w:r>
    </w:p>
    <w:p w:rsidR="00090D1C" w:rsidRPr="003E7F15" w:rsidRDefault="00090D1C">
      <w:r w:rsidRPr="003E7F15">
        <w:t xml:space="preserve">Dosar nr. </w:t>
      </w:r>
      <w:r w:rsidR="00CD5BE6">
        <w:t>...</w:t>
      </w:r>
    </w:p>
    <w:p w:rsidR="00090D1C" w:rsidRPr="003E7F15" w:rsidRDefault="00090D1C" w:rsidP="00554EC2">
      <w:pPr>
        <w:jc w:val="center"/>
      </w:pPr>
      <w:r w:rsidRPr="003E7F15">
        <w:t>R O M Â N I A</w:t>
      </w:r>
    </w:p>
    <w:p w:rsidR="00090D1C" w:rsidRPr="003E7F15" w:rsidRDefault="00956884">
      <w:pPr>
        <w:jc w:val="center"/>
      </w:pPr>
      <w:r>
        <w:t xml:space="preserve">CURTEA DE APEL </w:t>
      </w:r>
      <w:r w:rsidR="00CD5BE6">
        <w:t>...</w:t>
      </w:r>
    </w:p>
    <w:p w:rsidR="00090D1C" w:rsidRPr="003E7F15" w:rsidRDefault="00956884">
      <w:pPr>
        <w:jc w:val="center"/>
        <w:rPr>
          <w:szCs w:val="15"/>
          <w:lang w:val="en-US"/>
        </w:rPr>
      </w:pPr>
      <w:r>
        <w:t xml:space="preserve">SECŢIA </w:t>
      </w:r>
      <w:r w:rsidR="00CD5BE6">
        <w:t>...</w:t>
      </w:r>
    </w:p>
    <w:p w:rsidR="00090D1C" w:rsidRDefault="00090D1C"/>
    <w:p w:rsidR="00AF594A" w:rsidRPr="003E7F15" w:rsidRDefault="00AF594A"/>
    <w:p w:rsidR="00090D1C" w:rsidRDefault="00554EC2">
      <w:pPr>
        <w:jc w:val="center"/>
      </w:pPr>
      <w:r>
        <w:t>Decizia n</w:t>
      </w:r>
      <w:r w:rsidR="00090D1C" w:rsidRPr="003E7F15">
        <w:t xml:space="preserve">r. </w:t>
      </w:r>
      <w:r w:rsidR="00CD5BE6">
        <w:t>…</w:t>
      </w:r>
    </w:p>
    <w:p w:rsidR="00554EC2" w:rsidRDefault="00554EC2">
      <w:pPr>
        <w:jc w:val="center"/>
      </w:pPr>
    </w:p>
    <w:p w:rsidR="00AF594A" w:rsidRPr="003E7F15" w:rsidRDefault="00AF594A">
      <w:pPr>
        <w:jc w:val="center"/>
      </w:pPr>
    </w:p>
    <w:p w:rsidR="00554EC2" w:rsidRDefault="00554EC2" w:rsidP="00554EC2">
      <w:pPr>
        <w:jc w:val="center"/>
      </w:pPr>
      <w:proofErr w:type="spellStart"/>
      <w:r w:rsidRPr="00466029">
        <w:t>Şedinţa</w:t>
      </w:r>
      <w:proofErr w:type="spellEnd"/>
      <w:r w:rsidRPr="00466029">
        <w:t> </w:t>
      </w:r>
      <w:r w:rsidRPr="00466029">
        <w:fldChar w:fldCharType="begin">
          <w:ffData>
            <w:name w:val="tip_sedinta"/>
            <w:enabled/>
            <w:calcOnExit w:val="0"/>
            <w:textInput/>
          </w:ffData>
        </w:fldChar>
      </w:r>
      <w:r w:rsidRPr="00466029">
        <w:instrText xml:space="preserve"> FORMTEXT </w:instrText>
      </w:r>
      <w:r w:rsidRPr="00466029">
        <w:fldChar w:fldCharType="separate"/>
      </w:r>
      <w:r>
        <w:t>publică</w:t>
      </w:r>
      <w:r w:rsidRPr="00466029">
        <w:fldChar w:fldCharType="end"/>
      </w:r>
      <w:r w:rsidRPr="00466029">
        <w:t xml:space="preserve"> </w:t>
      </w:r>
      <w:r>
        <w:t>din data de</w:t>
      </w:r>
      <w:r w:rsidRPr="00466029">
        <w:t xml:space="preserve"> </w:t>
      </w:r>
      <w:r w:rsidR="00CD5BE6">
        <w:t>…</w:t>
      </w:r>
      <w:r w:rsidRPr="00466029">
        <w:t xml:space="preserve"> </w:t>
      </w:r>
    </w:p>
    <w:p w:rsidR="00554EC2" w:rsidRPr="00466029" w:rsidRDefault="00554EC2" w:rsidP="00554EC2">
      <w:pPr>
        <w:jc w:val="center"/>
      </w:pPr>
    </w:p>
    <w:p w:rsidR="00554EC2" w:rsidRPr="00466029" w:rsidRDefault="00554EC2" w:rsidP="00554EC2">
      <w:pPr>
        <w:jc w:val="center"/>
      </w:pPr>
      <w:r w:rsidRPr="00466029">
        <w:t>Completul compus din:</w:t>
      </w:r>
    </w:p>
    <w:p w:rsidR="00554EC2" w:rsidRDefault="00554EC2" w:rsidP="00554EC2">
      <w:pPr>
        <w:jc w:val="center"/>
      </w:pPr>
      <w:proofErr w:type="spellStart"/>
      <w:r w:rsidRPr="00466029">
        <w:t>Preşedinte</w:t>
      </w:r>
      <w:proofErr w:type="spellEnd"/>
      <w:r>
        <w:t>:</w:t>
      </w:r>
      <w:r w:rsidRPr="00C2417B">
        <w:t xml:space="preserve"> </w:t>
      </w:r>
      <w:r w:rsidR="00CD5BE6">
        <w:t>...</w:t>
      </w:r>
    </w:p>
    <w:p w:rsidR="00554EC2" w:rsidRPr="00466029" w:rsidRDefault="00554EC2" w:rsidP="00554EC2">
      <w:pPr>
        <w:jc w:val="center"/>
      </w:pPr>
      <w:r>
        <w:t>Judecător:</w:t>
      </w:r>
      <w:r w:rsidR="00EF5EB4">
        <w:t xml:space="preserve"> </w:t>
      </w:r>
      <w:r w:rsidR="00CD5BE6">
        <w:t>COD 1015</w:t>
      </w:r>
    </w:p>
    <w:p w:rsidR="00554EC2" w:rsidRDefault="00554EC2" w:rsidP="00554EC2">
      <w:pPr>
        <w:jc w:val="center"/>
      </w:pPr>
      <w:r>
        <w:t xml:space="preserve">Judecător: </w:t>
      </w:r>
      <w:r w:rsidR="00CD5BE6">
        <w:t>...</w:t>
      </w:r>
    </w:p>
    <w:p w:rsidR="00554EC2" w:rsidRPr="00466029" w:rsidRDefault="00554EC2" w:rsidP="00554EC2">
      <w:pPr>
        <w:jc w:val="center"/>
      </w:pPr>
      <w:r>
        <w:t xml:space="preserve">Grefier: </w:t>
      </w:r>
      <w:r w:rsidR="00CD5BE6">
        <w:t>...</w:t>
      </w:r>
    </w:p>
    <w:p w:rsidR="00554EC2" w:rsidRDefault="00554EC2" w:rsidP="00554EC2">
      <w:pPr>
        <w:jc w:val="center"/>
      </w:pPr>
    </w:p>
    <w:p w:rsidR="00AF594A" w:rsidRPr="00466029" w:rsidRDefault="00AF594A" w:rsidP="00554EC2">
      <w:pPr>
        <w:jc w:val="center"/>
      </w:pPr>
    </w:p>
    <w:p w:rsidR="00554EC2" w:rsidRPr="00285AD9" w:rsidRDefault="00554EC2" w:rsidP="00AF594A">
      <w:pPr>
        <w:ind w:firstLine="709"/>
        <w:jc w:val="both"/>
      </w:pPr>
      <w:r w:rsidRPr="00285AD9">
        <w:rPr>
          <w:rFonts w:eastAsia="Calibri"/>
          <w:lang w:eastAsia="en-US"/>
        </w:rPr>
        <w:t xml:space="preserve">Pe rol se află </w:t>
      </w:r>
      <w:proofErr w:type="spellStart"/>
      <w:r w:rsidRPr="00285AD9">
        <w:rPr>
          <w:rFonts w:eastAsia="Calibri"/>
          <w:lang w:eastAsia="en-US"/>
        </w:rPr>
        <w:t>soluţionarea</w:t>
      </w:r>
      <w:proofErr w:type="spellEnd"/>
      <w:r w:rsidRPr="00285AD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cauzei în materia </w:t>
      </w:r>
      <w:r w:rsidR="00CD5BE6">
        <w:rPr>
          <w:rFonts w:eastAsia="Calibri"/>
          <w:i/>
          <w:lang w:eastAsia="en-US"/>
        </w:rPr>
        <w:t>...</w:t>
      </w:r>
      <w:r>
        <w:rPr>
          <w:rFonts w:eastAsia="Calibri"/>
          <w:lang w:eastAsia="en-US"/>
        </w:rPr>
        <w:t xml:space="preserve"> având ca obiect </w:t>
      </w:r>
      <w:r w:rsidRPr="00285AD9">
        <w:rPr>
          <w:rFonts w:eastAsia="Calibri"/>
          <w:lang w:eastAsia="en-US"/>
        </w:rPr>
        <w:t xml:space="preserve">recursul </w:t>
      </w:r>
      <w:r w:rsidRPr="00554EC2">
        <w:t>declarat de recurenta</w:t>
      </w:r>
      <w:r w:rsidR="00AF594A">
        <w:t xml:space="preserve"> – intervenient în numele altei persoane</w:t>
      </w:r>
      <w:r w:rsidRPr="00554EC2">
        <w:t xml:space="preserve"> </w:t>
      </w:r>
      <w:r w:rsidR="00CD5BE6">
        <w:t>X</w:t>
      </w:r>
      <w:r w:rsidRPr="00554EC2">
        <w:t xml:space="preserve"> împotriva încheierii de </w:t>
      </w:r>
      <w:proofErr w:type="spellStart"/>
      <w:r w:rsidRPr="00554EC2">
        <w:t>şedinţă</w:t>
      </w:r>
      <w:proofErr w:type="spellEnd"/>
      <w:r w:rsidRPr="00554EC2">
        <w:t xml:space="preserve"> din data de </w:t>
      </w:r>
      <w:r w:rsidR="00CD5BE6">
        <w:t>…</w:t>
      </w:r>
      <w:r>
        <w:t xml:space="preserve"> </w:t>
      </w:r>
      <w:r w:rsidRPr="00285AD9">
        <w:t xml:space="preserve">a Tribunalului </w:t>
      </w:r>
      <w:r w:rsidR="00CD5BE6">
        <w:t>...</w:t>
      </w:r>
      <w:r w:rsidRPr="00285AD9">
        <w:t xml:space="preserve">, </w:t>
      </w:r>
      <w:proofErr w:type="spellStart"/>
      <w:r>
        <w:t>intima</w:t>
      </w:r>
      <w:r w:rsidR="00AF594A">
        <w:t>ţ</w:t>
      </w:r>
      <w:r>
        <w:t>i</w:t>
      </w:r>
      <w:proofErr w:type="spellEnd"/>
      <w:r>
        <w:t xml:space="preserve"> fiind</w:t>
      </w:r>
      <w:r w:rsidRPr="00554EC2">
        <w:t xml:space="preserve"> </w:t>
      </w:r>
      <w:r w:rsidR="00CD5BE6">
        <w:t>Y</w:t>
      </w:r>
      <w:r w:rsidR="00AF594A">
        <w:t>,</w:t>
      </w:r>
      <w:r w:rsidR="00AF594A" w:rsidRPr="00AF594A">
        <w:t xml:space="preserve"> </w:t>
      </w:r>
      <w:r w:rsidR="00AF594A">
        <w:t xml:space="preserve">Municipiul </w:t>
      </w:r>
      <w:r w:rsidR="00CD5BE6">
        <w:t>...</w:t>
      </w:r>
      <w:r w:rsidR="007844B0">
        <w:t>,</w:t>
      </w:r>
      <w:r>
        <w:t xml:space="preserve"> </w:t>
      </w:r>
      <w:r w:rsidR="007844B0">
        <w:t xml:space="preserve">Primăria Municipiului </w:t>
      </w:r>
      <w:r w:rsidR="00CD5BE6">
        <w:t>...</w:t>
      </w:r>
      <w:r w:rsidR="007844B0">
        <w:t xml:space="preserve"> prin</w:t>
      </w:r>
      <w:r w:rsidR="00AF594A">
        <w:t xml:space="preserve"> Primar.</w:t>
      </w:r>
    </w:p>
    <w:p w:rsidR="00554EC2" w:rsidRPr="00285AD9" w:rsidRDefault="00554EC2" w:rsidP="00AF594A">
      <w:pPr>
        <w:ind w:firstLine="709"/>
        <w:jc w:val="both"/>
      </w:pPr>
      <w:r w:rsidRPr="00285AD9">
        <w:t>La apelul nominal</w:t>
      </w:r>
      <w:r>
        <w:t>,</w:t>
      </w:r>
      <w:r w:rsidRPr="00285AD9">
        <w:t xml:space="preserve"> făcut în </w:t>
      </w:r>
      <w:proofErr w:type="spellStart"/>
      <w:r w:rsidRPr="00285AD9">
        <w:t>şedinţă</w:t>
      </w:r>
      <w:proofErr w:type="spellEnd"/>
      <w:r w:rsidRPr="00285AD9">
        <w:t xml:space="preserve"> publică, </w:t>
      </w:r>
      <w:r w:rsidR="00AF594A">
        <w:t xml:space="preserve">a răspuns </w:t>
      </w:r>
      <w:r w:rsidR="007844B0">
        <w:t xml:space="preserve">, personal, </w:t>
      </w:r>
      <w:r w:rsidR="00AF594A">
        <w:t>recurenta</w:t>
      </w:r>
      <w:r w:rsidR="007844B0">
        <w:t xml:space="preserve"> </w:t>
      </w:r>
      <w:r w:rsidR="00CD5BE6">
        <w:t>X</w:t>
      </w:r>
      <w:r w:rsidR="007844B0">
        <w:t xml:space="preserve">, avocat </w:t>
      </w:r>
      <w:r w:rsidR="00CD5BE6">
        <w:t>AV</w:t>
      </w:r>
      <w:r w:rsidR="007844B0">
        <w:t xml:space="preserve">, care depune la dosar împuternicire </w:t>
      </w:r>
      <w:proofErr w:type="spellStart"/>
      <w:r w:rsidR="007844B0">
        <w:t>avocaţială</w:t>
      </w:r>
      <w:proofErr w:type="spellEnd"/>
      <w:r w:rsidR="007844B0">
        <w:t xml:space="preserve"> pentru intimata</w:t>
      </w:r>
      <w:r w:rsidR="00EF5EB4">
        <w:t xml:space="preserve"> </w:t>
      </w:r>
      <w:r w:rsidR="00CD5BE6">
        <w:t>Y</w:t>
      </w:r>
      <w:r w:rsidR="007844B0">
        <w:t>, lipsă fiind reprezentantul celuilalt intimat.</w:t>
      </w:r>
    </w:p>
    <w:p w:rsidR="00554EC2" w:rsidRPr="00285AD9" w:rsidRDefault="00554EC2" w:rsidP="00AF594A">
      <w:pPr>
        <w:ind w:firstLine="709"/>
        <w:jc w:val="both"/>
      </w:pPr>
      <w:r w:rsidRPr="00285AD9">
        <w:t xml:space="preserve">Procedura de citare a </w:t>
      </w:r>
      <w:proofErr w:type="spellStart"/>
      <w:r w:rsidRPr="00285AD9">
        <w:t>părţilor</w:t>
      </w:r>
      <w:proofErr w:type="spellEnd"/>
      <w:r w:rsidRPr="00285AD9">
        <w:t xml:space="preserve"> este legal îndeplinită.</w:t>
      </w:r>
    </w:p>
    <w:p w:rsidR="00554EC2" w:rsidRDefault="00554EC2" w:rsidP="00AF594A">
      <w:pPr>
        <w:ind w:firstLine="709"/>
        <w:jc w:val="both"/>
      </w:pPr>
      <w:r w:rsidRPr="00285AD9">
        <w:t xml:space="preserve">S-a făcut referatul cauzei de către grefierul de </w:t>
      </w:r>
      <w:proofErr w:type="spellStart"/>
      <w:r w:rsidRPr="00285AD9">
        <w:t>şedinţă</w:t>
      </w:r>
      <w:proofErr w:type="spellEnd"/>
      <w:r w:rsidRPr="00285AD9">
        <w:t xml:space="preserve">, din care rezultă aspectele de mai sus cu privire la </w:t>
      </w:r>
      <w:proofErr w:type="spellStart"/>
      <w:r w:rsidRPr="00285AD9">
        <w:t>prezenţa</w:t>
      </w:r>
      <w:proofErr w:type="spellEnd"/>
      <w:r w:rsidRPr="00285AD9">
        <w:t xml:space="preserve"> </w:t>
      </w:r>
      <w:proofErr w:type="spellStart"/>
      <w:r w:rsidRPr="00285AD9">
        <w:t>părţilor</w:t>
      </w:r>
      <w:proofErr w:type="spellEnd"/>
      <w:r w:rsidRPr="00285AD9">
        <w:t xml:space="preserve">, modul de îndeplinire a procedurii de citare, stadiul procesual al dosarului, care este la primul termen de judecată </w:t>
      </w:r>
      <w:r w:rsidR="00AF594A">
        <w:t>în recurs.</w:t>
      </w:r>
    </w:p>
    <w:p w:rsidR="007844B0" w:rsidRDefault="00AF594A" w:rsidP="00EF5EB4">
      <w:pPr>
        <w:ind w:firstLine="709"/>
        <w:jc w:val="both"/>
      </w:pPr>
      <w:r>
        <w:t xml:space="preserve">Totodată, se arată </w:t>
      </w:r>
      <w:proofErr w:type="spellStart"/>
      <w:r>
        <w:t>şi</w:t>
      </w:r>
      <w:proofErr w:type="spellEnd"/>
      <w:r>
        <w:t xml:space="preserve"> faptul că recurenta nu a achitat taxa judiciar de timbru </w:t>
      </w:r>
      <w:proofErr w:type="spellStart"/>
      <w:r>
        <w:t>şi</w:t>
      </w:r>
      <w:proofErr w:type="spellEnd"/>
      <w:r>
        <w:t xml:space="preserve"> nu a formulat precizările solicitate de </w:t>
      </w:r>
      <w:proofErr w:type="spellStart"/>
      <w:r>
        <w:t>instanţă</w:t>
      </w:r>
      <w:proofErr w:type="spellEnd"/>
      <w:r>
        <w:t xml:space="preserve">, iar intimatul Municipiul </w:t>
      </w:r>
      <w:r w:rsidR="00CD5BE6">
        <w:t>...</w:t>
      </w:r>
      <w:r>
        <w:t xml:space="preserve"> prin Primar a depus la dosar, prin fax, precizări scrise.</w:t>
      </w:r>
    </w:p>
    <w:p w:rsidR="00EF5EB4" w:rsidRDefault="007844B0" w:rsidP="00AF594A">
      <w:pPr>
        <w:ind w:firstLine="709"/>
        <w:jc w:val="both"/>
      </w:pPr>
      <w:r>
        <w:t xml:space="preserve">Recurenta depune la dosar dovada achitării taxei judiciare de timbru, respectiv </w:t>
      </w:r>
      <w:proofErr w:type="spellStart"/>
      <w:r>
        <w:t>chitanţa</w:t>
      </w:r>
      <w:proofErr w:type="spellEnd"/>
      <w:r>
        <w:t xml:space="preserve"> seria </w:t>
      </w:r>
      <w:r w:rsidR="00CD5BE6">
        <w:t>..</w:t>
      </w:r>
      <w:r>
        <w:t xml:space="preserve"> nr.</w:t>
      </w:r>
      <w:r w:rsidR="00EF5EB4">
        <w:t xml:space="preserve"> </w:t>
      </w:r>
      <w:r w:rsidR="00CD5BE6">
        <w:t>..</w:t>
      </w:r>
      <w:r w:rsidR="00EF5EB4">
        <w:t xml:space="preserve"> din data de </w:t>
      </w:r>
      <w:r w:rsidR="00CD5BE6">
        <w:t>..</w:t>
      </w:r>
      <w:r w:rsidR="00EF5EB4">
        <w:t>, în cuantum de 50 de lei. Totodată, depune la dosar, în două exemplare, precizări scrise.</w:t>
      </w:r>
    </w:p>
    <w:p w:rsidR="00EF5EB4" w:rsidRDefault="00EF5EB4" w:rsidP="00AF594A">
      <w:pPr>
        <w:ind w:firstLine="709"/>
        <w:jc w:val="both"/>
      </w:pPr>
      <w:proofErr w:type="spellStart"/>
      <w:r>
        <w:t>Instanţa</w:t>
      </w:r>
      <w:proofErr w:type="spellEnd"/>
      <w:r>
        <w:t xml:space="preserve"> constată îndeplinită </w:t>
      </w:r>
      <w:proofErr w:type="spellStart"/>
      <w:r>
        <w:t>obligaţia</w:t>
      </w:r>
      <w:proofErr w:type="spellEnd"/>
      <w:r>
        <w:t xml:space="preserve"> de achitare a taxei judiciare de timbru, comunică un exemplar al precizărilor, depuse astăzi în </w:t>
      </w:r>
      <w:proofErr w:type="spellStart"/>
      <w:r>
        <w:t>şedinţă</w:t>
      </w:r>
      <w:proofErr w:type="spellEnd"/>
      <w:r>
        <w:t xml:space="preserve"> de către recurentă, reprezentantului </w:t>
      </w:r>
      <w:proofErr w:type="spellStart"/>
      <w:r>
        <w:t>convenţional</w:t>
      </w:r>
      <w:proofErr w:type="spellEnd"/>
      <w:r>
        <w:t xml:space="preserve"> al intimatei </w:t>
      </w:r>
      <w:r w:rsidR="00CD5BE6">
        <w:t>Y</w:t>
      </w:r>
      <w:r>
        <w:t xml:space="preserve"> </w:t>
      </w:r>
      <w:proofErr w:type="spellStart"/>
      <w:r>
        <w:t>şi</w:t>
      </w:r>
      <w:proofErr w:type="spellEnd"/>
      <w:r>
        <w:t xml:space="preserve">, nemaifiind chestiuni prealabile de invocat </w:t>
      </w:r>
      <w:proofErr w:type="spellStart"/>
      <w:r>
        <w:t>şi</w:t>
      </w:r>
      <w:proofErr w:type="spellEnd"/>
      <w:r>
        <w:t xml:space="preserve"> cereri de formulat, declară încheiată cercetarea judecătorească </w:t>
      </w:r>
      <w:proofErr w:type="spellStart"/>
      <w:r>
        <w:t>şi</w:t>
      </w:r>
      <w:proofErr w:type="spellEnd"/>
      <w:r>
        <w:t xml:space="preserve"> acordă cuvântul cu privire la recursul formulat.</w:t>
      </w:r>
    </w:p>
    <w:p w:rsidR="00EF5EB4" w:rsidRDefault="00EF5EB4" w:rsidP="00EF5EB4">
      <w:pPr>
        <w:ind w:firstLine="709"/>
        <w:jc w:val="both"/>
      </w:pPr>
      <w:r>
        <w:t xml:space="preserve"> Recurenta</w:t>
      </w:r>
      <w:r w:rsidRPr="00EF5EB4">
        <w:t xml:space="preserve"> </w:t>
      </w:r>
      <w:r w:rsidR="00CD5BE6">
        <w:t>X</w:t>
      </w:r>
      <w:r>
        <w:t xml:space="preserve"> solicită </w:t>
      </w:r>
      <w:r w:rsidR="007844B0">
        <w:t xml:space="preserve">admiterea recursului </w:t>
      </w:r>
      <w:proofErr w:type="spellStart"/>
      <w:r w:rsidR="007844B0">
        <w:t>şi</w:t>
      </w:r>
      <w:proofErr w:type="spellEnd"/>
      <w:r w:rsidR="007844B0">
        <w:t xml:space="preserve"> a cererii de </w:t>
      </w:r>
      <w:proofErr w:type="spellStart"/>
      <w:r w:rsidR="007844B0">
        <w:t>intervenţie</w:t>
      </w:r>
      <w:proofErr w:type="spellEnd"/>
      <w:r w:rsidR="007844B0">
        <w:t xml:space="preserve"> accesorie în numele altei persoane</w:t>
      </w:r>
      <w:r>
        <w:t xml:space="preserve">, consideră că i-a fost încălcat un drept legal, solicită </w:t>
      </w:r>
      <w:proofErr w:type="spellStart"/>
      <w:r>
        <w:t>menţinerea</w:t>
      </w:r>
      <w:proofErr w:type="spellEnd"/>
      <w:r>
        <w:t xml:space="preserve"> </w:t>
      </w:r>
      <w:proofErr w:type="spellStart"/>
      <w:r>
        <w:t>sentinţei</w:t>
      </w:r>
      <w:proofErr w:type="spellEnd"/>
      <w:r>
        <w:t xml:space="preserve"> civile </w:t>
      </w:r>
      <w:proofErr w:type="spellStart"/>
      <w:r>
        <w:t>pronunţate</w:t>
      </w:r>
      <w:proofErr w:type="spellEnd"/>
      <w:r>
        <w:t xml:space="preserve"> de către Judecătoria </w:t>
      </w:r>
      <w:r w:rsidR="00CD5BE6">
        <w:t>...</w:t>
      </w:r>
      <w:r>
        <w:t xml:space="preserve">, respectiv a </w:t>
      </w:r>
      <w:proofErr w:type="spellStart"/>
      <w:r>
        <w:t>sentinţei</w:t>
      </w:r>
      <w:proofErr w:type="spellEnd"/>
      <w:r>
        <w:t xml:space="preserve"> nr. </w:t>
      </w:r>
      <w:r w:rsidR="00CD5BE6">
        <w:t>...</w:t>
      </w:r>
      <w:r>
        <w:t>.</w:t>
      </w:r>
    </w:p>
    <w:p w:rsidR="007844B0" w:rsidRDefault="00EF5EB4" w:rsidP="00EF5EB4">
      <w:pPr>
        <w:ind w:firstLine="709"/>
        <w:jc w:val="both"/>
      </w:pPr>
      <w:r>
        <w:t xml:space="preserve">Totodată, arată că </w:t>
      </w:r>
      <w:r w:rsidR="007844B0">
        <w:t xml:space="preserve">intimata </w:t>
      </w:r>
      <w:r w:rsidR="00CD5BE6">
        <w:t>Y</w:t>
      </w:r>
      <w:r>
        <w:t xml:space="preserve"> </w:t>
      </w:r>
      <w:r w:rsidR="007844B0">
        <w:t xml:space="preserve">a încălcat multe </w:t>
      </w:r>
      <w:proofErr w:type="spellStart"/>
      <w:r w:rsidR="007844B0">
        <w:t>dispoziţii</w:t>
      </w:r>
      <w:proofErr w:type="spellEnd"/>
      <w:r w:rsidR="007844B0">
        <w:t xml:space="preserve"> legale, respectiv art. 36 lit. g din Legea nr. 230</w:t>
      </w:r>
      <w:r>
        <w:t xml:space="preserve">, iar când a fost realizat controlul de către Primăria Municipiului </w:t>
      </w:r>
      <w:r w:rsidR="00CD5BE6">
        <w:t>...</w:t>
      </w:r>
      <w:r w:rsidRPr="00EF5EB4">
        <w:t xml:space="preserve"> </w:t>
      </w:r>
      <w:r>
        <w:t xml:space="preserve">la sediul </w:t>
      </w:r>
      <w:proofErr w:type="spellStart"/>
      <w:r>
        <w:t>asociaţiei</w:t>
      </w:r>
      <w:proofErr w:type="spellEnd"/>
      <w:r>
        <w:t xml:space="preserve"> s-au constatat multe nereguli.</w:t>
      </w:r>
    </w:p>
    <w:p w:rsidR="00710486" w:rsidRDefault="00EF5EB4" w:rsidP="00EF5EB4">
      <w:pPr>
        <w:ind w:firstLine="709"/>
        <w:jc w:val="both"/>
      </w:pPr>
      <w:r>
        <w:t xml:space="preserve">Apărătorul intimatei solicită </w:t>
      </w:r>
      <w:r w:rsidR="00710486">
        <w:t xml:space="preserve">respingerea recursului </w:t>
      </w:r>
      <w:r w:rsidRPr="00554EC2">
        <w:t xml:space="preserve">declarat de recurenta </w:t>
      </w:r>
      <w:r w:rsidR="00CD5BE6">
        <w:t>X</w:t>
      </w:r>
      <w:r w:rsidRPr="00554EC2">
        <w:t xml:space="preserve"> împotriva încheierii de </w:t>
      </w:r>
      <w:proofErr w:type="spellStart"/>
      <w:r w:rsidRPr="00554EC2">
        <w:t>şedinţă</w:t>
      </w:r>
      <w:proofErr w:type="spellEnd"/>
      <w:r w:rsidRPr="00554EC2">
        <w:t xml:space="preserve"> din data de </w:t>
      </w:r>
      <w:r w:rsidR="00CD5BE6">
        <w:t>…</w:t>
      </w:r>
      <w:r>
        <w:t xml:space="preserve"> a Tribunalului </w:t>
      </w:r>
      <w:r w:rsidR="00CD5BE6">
        <w:t>...</w:t>
      </w:r>
      <w:r>
        <w:t xml:space="preserve">, apreciind că </w:t>
      </w:r>
      <w:r w:rsidR="00710486">
        <w:t>recurenta nu justifică un interes în cauză,</w:t>
      </w:r>
      <w:r>
        <w:t xml:space="preserve"> obiectul </w:t>
      </w:r>
      <w:r w:rsidR="00710486">
        <w:t xml:space="preserve">cauzei </w:t>
      </w:r>
      <w:r>
        <w:t>fiind</w:t>
      </w:r>
      <w:r w:rsidR="00710486">
        <w:t xml:space="preserve"> plângere </w:t>
      </w:r>
      <w:proofErr w:type="spellStart"/>
      <w:r w:rsidR="00710486">
        <w:t>contravenţională</w:t>
      </w:r>
      <w:proofErr w:type="spellEnd"/>
      <w:r w:rsidR="00710486">
        <w:t xml:space="preserve">, iar nu activitatea </w:t>
      </w:r>
      <w:proofErr w:type="spellStart"/>
      <w:r w:rsidR="00710486">
        <w:t>asociaţiei</w:t>
      </w:r>
      <w:proofErr w:type="spellEnd"/>
      <w:r>
        <w:t>.</w:t>
      </w:r>
    </w:p>
    <w:p w:rsidR="00554EC2" w:rsidRDefault="00710486" w:rsidP="00F91E27">
      <w:pPr>
        <w:ind w:firstLine="709"/>
        <w:jc w:val="both"/>
      </w:pPr>
      <w:proofErr w:type="spellStart"/>
      <w:r>
        <w:t>Instanţa</w:t>
      </w:r>
      <w:proofErr w:type="spellEnd"/>
      <w:r>
        <w:t xml:space="preserve"> </w:t>
      </w:r>
      <w:proofErr w:type="spellStart"/>
      <w:r>
        <w:t>reţine</w:t>
      </w:r>
      <w:proofErr w:type="spellEnd"/>
      <w:r>
        <w:t xml:space="preserve"> cauza în </w:t>
      </w:r>
      <w:proofErr w:type="spellStart"/>
      <w:r>
        <w:t>pronunţare</w:t>
      </w:r>
      <w:proofErr w:type="spellEnd"/>
      <w:r w:rsidR="00F91E27">
        <w:t>.</w:t>
      </w:r>
    </w:p>
    <w:p w:rsidR="00554EC2" w:rsidRDefault="00554EC2" w:rsidP="00554EC2">
      <w:pPr>
        <w:jc w:val="center"/>
      </w:pPr>
    </w:p>
    <w:p w:rsidR="00554EC2" w:rsidRPr="00E279A4" w:rsidRDefault="00554EC2" w:rsidP="00554EC2">
      <w:pPr>
        <w:jc w:val="center"/>
      </w:pPr>
      <w:r w:rsidRPr="00E279A4">
        <w:t>Curtea de Apel,</w:t>
      </w:r>
    </w:p>
    <w:p w:rsidR="00554EC2" w:rsidRDefault="00554EC2" w:rsidP="00554EC2">
      <w:pPr>
        <w:jc w:val="center"/>
      </w:pPr>
    </w:p>
    <w:p w:rsidR="009F4288" w:rsidRDefault="009F4288" w:rsidP="00554EC2">
      <w:pPr>
        <w:jc w:val="center"/>
      </w:pPr>
    </w:p>
    <w:p w:rsidR="009F4288" w:rsidRDefault="009F4288" w:rsidP="009F4288">
      <w:pPr>
        <w:ind w:firstLine="709"/>
        <w:jc w:val="both"/>
      </w:pPr>
      <w:r>
        <w:t xml:space="preserve">Deliberând asupra recursului în </w:t>
      </w:r>
      <w:r w:rsidR="00CD5BE6">
        <w:rPr>
          <w:i/>
        </w:rPr>
        <w:t>...</w:t>
      </w:r>
      <w:r>
        <w:t xml:space="preserve"> de </w:t>
      </w:r>
      <w:proofErr w:type="spellStart"/>
      <w:r>
        <w:t>faţă</w:t>
      </w:r>
      <w:proofErr w:type="spellEnd"/>
      <w:r>
        <w:t>, constată următoarele:</w:t>
      </w:r>
    </w:p>
    <w:p w:rsidR="009F4288" w:rsidRDefault="009F4288" w:rsidP="009F4288">
      <w:pPr>
        <w:ind w:firstLine="709"/>
        <w:jc w:val="both"/>
      </w:pPr>
    </w:p>
    <w:p w:rsidR="009F4288" w:rsidRDefault="009F4288" w:rsidP="009F4288">
      <w:pPr>
        <w:ind w:firstLine="709"/>
        <w:jc w:val="both"/>
      </w:pPr>
      <w:r>
        <w:t xml:space="preserve">Prin încheierea de </w:t>
      </w:r>
      <w:proofErr w:type="spellStart"/>
      <w:r w:rsidRPr="00554EC2">
        <w:t>şedinţă</w:t>
      </w:r>
      <w:proofErr w:type="spellEnd"/>
      <w:r w:rsidRPr="00554EC2">
        <w:t xml:space="preserve"> din data de </w:t>
      </w:r>
      <w:r w:rsidR="00CD5BE6">
        <w:t>..</w:t>
      </w:r>
      <w:r>
        <w:t xml:space="preserve"> </w:t>
      </w:r>
      <w:proofErr w:type="spellStart"/>
      <w:r>
        <w:t>pronunţată</w:t>
      </w:r>
      <w:proofErr w:type="spellEnd"/>
      <w:r>
        <w:t xml:space="preserve"> de către Tribunalul </w:t>
      </w:r>
      <w:r w:rsidR="00CD5BE6">
        <w:t>...</w:t>
      </w:r>
      <w:r w:rsidR="00EF5EB4">
        <w:t xml:space="preserve"> </w:t>
      </w:r>
      <w:r>
        <w:t>fost respinsă, ca inadmisibilă</w:t>
      </w:r>
      <w:r w:rsidR="00EF5EB4">
        <w:t xml:space="preserve"> în principiu</w:t>
      </w:r>
      <w:r>
        <w:t>, cererea de</w:t>
      </w:r>
      <w:r w:rsidR="00EF5EB4">
        <w:t xml:space="preserve"> </w:t>
      </w:r>
      <w:proofErr w:type="spellStart"/>
      <w:r w:rsidR="00EF5EB4">
        <w:t>intervenţie</w:t>
      </w:r>
      <w:proofErr w:type="spellEnd"/>
      <w:r w:rsidR="00EF5EB4">
        <w:t xml:space="preserve"> în interes accesoriu formulată de către </w:t>
      </w:r>
      <w:r>
        <w:t xml:space="preserve"> </w:t>
      </w:r>
      <w:r w:rsidR="00CD5BE6">
        <w:t>X</w:t>
      </w:r>
      <w:r w:rsidR="00EF5EB4">
        <w:t>.</w:t>
      </w:r>
    </w:p>
    <w:p w:rsidR="00BB2B3D" w:rsidRDefault="00BB2B3D" w:rsidP="009F4288">
      <w:pPr>
        <w:ind w:firstLine="709"/>
        <w:jc w:val="both"/>
      </w:pPr>
    </w:p>
    <w:p w:rsidR="00F91E27" w:rsidRDefault="00F91E27" w:rsidP="009F4288">
      <w:pPr>
        <w:ind w:firstLine="709"/>
        <w:jc w:val="both"/>
      </w:pPr>
      <w:r>
        <w:t>Analizând criticile formulate de recurentă se constată că sunt fondate.</w:t>
      </w:r>
    </w:p>
    <w:p w:rsidR="00BB2B3D" w:rsidRDefault="00BB2B3D" w:rsidP="009F4288">
      <w:pPr>
        <w:ind w:firstLine="709"/>
        <w:jc w:val="both"/>
      </w:pPr>
    </w:p>
    <w:p w:rsidR="00F91E27" w:rsidRDefault="00F91E27" w:rsidP="009F4288">
      <w:pPr>
        <w:ind w:firstLine="709"/>
        <w:jc w:val="both"/>
      </w:pPr>
      <w:r>
        <w:t xml:space="preserve">La data de </w:t>
      </w:r>
      <w:r w:rsidR="00CD5BE6">
        <w:t>…</w:t>
      </w:r>
      <w:r>
        <w:t xml:space="preserve"> intervenienta </w:t>
      </w:r>
      <w:r w:rsidR="00CD5BE6">
        <w:t>X</w:t>
      </w:r>
      <w:r>
        <w:t xml:space="preserve"> a formulat o cerere de </w:t>
      </w:r>
      <w:proofErr w:type="spellStart"/>
      <w:r>
        <w:t>intervenţie</w:t>
      </w:r>
      <w:proofErr w:type="spellEnd"/>
      <w:r>
        <w:t xml:space="preserve"> accesorie în sprijinul </w:t>
      </w:r>
      <w:proofErr w:type="spellStart"/>
      <w:r>
        <w:t>poziţiei</w:t>
      </w:r>
      <w:proofErr w:type="spellEnd"/>
      <w:r>
        <w:t xml:space="preserve"> procesuale a organului constatator, Primarul mun. </w:t>
      </w:r>
      <w:r w:rsidR="00CD5BE6">
        <w:t>...</w:t>
      </w:r>
      <w:r>
        <w:t xml:space="preserve">, </w:t>
      </w:r>
      <w:r w:rsidR="00BE2303">
        <w:t xml:space="preserve">în motivarea cererii arătând că este persoana care a formulat mai multe sesizări privind activitatea de </w:t>
      </w:r>
      <w:proofErr w:type="spellStart"/>
      <w:r w:rsidR="00BE2303">
        <w:t>preşedinte</w:t>
      </w:r>
      <w:proofErr w:type="spellEnd"/>
      <w:r w:rsidR="00BE2303">
        <w:t xml:space="preserve"> al </w:t>
      </w:r>
      <w:proofErr w:type="spellStart"/>
      <w:r w:rsidR="00BE2303">
        <w:t>asociaţiei</w:t>
      </w:r>
      <w:proofErr w:type="spellEnd"/>
      <w:r w:rsidR="00BE2303">
        <w:t xml:space="preserve"> de proprietari a dnei </w:t>
      </w:r>
      <w:r w:rsidR="00CD5BE6">
        <w:t>Y</w:t>
      </w:r>
      <w:r w:rsidR="00BE2303">
        <w:t xml:space="preserve">, însă aspectul principal invocat de intervenientă vizează caracterul repetitiv al abaterilor pentru care a fost </w:t>
      </w:r>
      <w:proofErr w:type="spellStart"/>
      <w:r w:rsidR="00BE2303">
        <w:t>sancţionată</w:t>
      </w:r>
      <w:proofErr w:type="spellEnd"/>
      <w:r w:rsidR="00BE2303">
        <w:t xml:space="preserve"> </w:t>
      </w:r>
      <w:proofErr w:type="spellStart"/>
      <w:r w:rsidR="00BE2303">
        <w:t>contravenţional</w:t>
      </w:r>
      <w:proofErr w:type="spellEnd"/>
      <w:r w:rsidR="00BE2303">
        <w:t xml:space="preserve"> apelanta </w:t>
      </w:r>
      <w:r w:rsidR="00CD5BE6">
        <w:t>Y</w:t>
      </w:r>
      <w:r w:rsidR="00BE2303">
        <w:t xml:space="preserve"> </w:t>
      </w:r>
      <w:proofErr w:type="spellStart"/>
      <w:r w:rsidR="00BE2303">
        <w:t>şi</w:t>
      </w:r>
      <w:proofErr w:type="spellEnd"/>
      <w:r w:rsidR="00BE2303">
        <w:t xml:space="preserve"> faptul că în cauza de </w:t>
      </w:r>
      <w:proofErr w:type="spellStart"/>
      <w:r w:rsidR="00BE2303">
        <w:t>faţă</w:t>
      </w:r>
      <w:proofErr w:type="spellEnd"/>
      <w:r w:rsidR="00BE2303">
        <w:t xml:space="preserve"> reindividualizarea </w:t>
      </w:r>
      <w:proofErr w:type="spellStart"/>
      <w:r w:rsidR="00BE2303">
        <w:t>sancţiunii</w:t>
      </w:r>
      <w:proofErr w:type="spellEnd"/>
      <w:r w:rsidR="00BE2303">
        <w:t xml:space="preserve"> în forma solicitată de apelantă (înlocuirea </w:t>
      </w:r>
      <w:proofErr w:type="spellStart"/>
      <w:r w:rsidR="00BE2303">
        <w:t>sancţiunii</w:t>
      </w:r>
      <w:proofErr w:type="spellEnd"/>
      <w:r w:rsidR="00BE2303">
        <w:t xml:space="preserve"> amenzii </w:t>
      </w:r>
      <w:proofErr w:type="spellStart"/>
      <w:r w:rsidR="00BE2303">
        <w:t>contravenţionale</w:t>
      </w:r>
      <w:proofErr w:type="spellEnd"/>
      <w:r w:rsidR="00BE2303">
        <w:t xml:space="preserve"> cu </w:t>
      </w:r>
      <w:proofErr w:type="spellStart"/>
      <w:r w:rsidR="00BE2303">
        <w:t>sancţiunea</w:t>
      </w:r>
      <w:proofErr w:type="spellEnd"/>
      <w:r w:rsidR="00BE2303">
        <w:t xml:space="preserve"> avertismentului ) nu este justificată.</w:t>
      </w:r>
    </w:p>
    <w:p w:rsidR="00BE2303" w:rsidRDefault="00BE2303" w:rsidP="009F4288">
      <w:pPr>
        <w:ind w:firstLine="709"/>
        <w:jc w:val="both"/>
      </w:pPr>
      <w:r>
        <w:t xml:space="preserve">Prin încheierea </w:t>
      </w:r>
      <w:proofErr w:type="spellStart"/>
      <w:r>
        <w:t>recurată</w:t>
      </w:r>
      <w:proofErr w:type="spellEnd"/>
      <w:r>
        <w:t xml:space="preserve"> în </w:t>
      </w:r>
      <w:proofErr w:type="spellStart"/>
      <w:r>
        <w:t>condiţiile</w:t>
      </w:r>
      <w:proofErr w:type="spellEnd"/>
      <w:r>
        <w:t xml:space="preserve"> art.</w:t>
      </w:r>
      <w:r w:rsidR="00CD5BE6">
        <w:t xml:space="preserve"> </w:t>
      </w:r>
      <w:r>
        <w:t>64 alin.</w:t>
      </w:r>
      <w:r w:rsidR="00CD5BE6">
        <w:t xml:space="preserve"> </w:t>
      </w:r>
      <w:r>
        <w:t xml:space="preserve">4 </w:t>
      </w:r>
      <w:proofErr w:type="spellStart"/>
      <w:r>
        <w:t>C.pr.civ</w:t>
      </w:r>
      <w:proofErr w:type="spellEnd"/>
      <w:r>
        <w:t xml:space="preserve">. tribunalul a </w:t>
      </w:r>
      <w:proofErr w:type="spellStart"/>
      <w:r>
        <w:t>reţinut</w:t>
      </w:r>
      <w:proofErr w:type="spellEnd"/>
      <w:r>
        <w:t xml:space="preserve"> fără temei legal caracterul inadmisibil în principiu al cererii de </w:t>
      </w:r>
      <w:proofErr w:type="spellStart"/>
      <w:r>
        <w:t>intervenţie</w:t>
      </w:r>
      <w:proofErr w:type="spellEnd"/>
      <w:r>
        <w:t xml:space="preserve">, pe baza unui </w:t>
      </w:r>
      <w:proofErr w:type="spellStart"/>
      <w:r>
        <w:t>raţionament</w:t>
      </w:r>
      <w:proofErr w:type="spellEnd"/>
      <w:r>
        <w:t xml:space="preserve"> juridic străin de natura juridică a cererii de </w:t>
      </w:r>
      <w:proofErr w:type="spellStart"/>
      <w:r>
        <w:t>intervenţie</w:t>
      </w:r>
      <w:proofErr w:type="spellEnd"/>
      <w:r>
        <w:t xml:space="preserve"> accesorie, cea de sprijin a </w:t>
      </w:r>
      <w:proofErr w:type="spellStart"/>
      <w:r>
        <w:t>poziţiei</w:t>
      </w:r>
      <w:proofErr w:type="spellEnd"/>
      <w:r>
        <w:t xml:space="preserve"> procesuale a </w:t>
      </w:r>
      <w:proofErr w:type="spellStart"/>
      <w:r>
        <w:t>părţii</w:t>
      </w:r>
      <w:proofErr w:type="spellEnd"/>
      <w:r>
        <w:t xml:space="preserve"> în favoarea căreia se intervine în proces, inclusiv din perspectiva caracterului de noutate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relevanţă</w:t>
      </w:r>
      <w:proofErr w:type="spellEnd"/>
      <w:r>
        <w:t xml:space="preserve"> a</w:t>
      </w:r>
      <w:r w:rsidR="00BB2B3D">
        <w:t>l</w:t>
      </w:r>
      <w:r>
        <w:t xml:space="preserve"> apărărilor formulate.</w:t>
      </w:r>
    </w:p>
    <w:p w:rsidR="00BE2303" w:rsidRDefault="00BE2303" w:rsidP="009F4288">
      <w:pPr>
        <w:ind w:firstLine="709"/>
        <w:jc w:val="both"/>
      </w:pPr>
      <w:r>
        <w:t xml:space="preserve">De </w:t>
      </w:r>
      <w:proofErr w:type="spellStart"/>
      <w:r>
        <w:t>plano</w:t>
      </w:r>
      <w:proofErr w:type="spellEnd"/>
      <w:r>
        <w:t>, da</w:t>
      </w:r>
      <w:r w:rsidR="00CA6D95">
        <w:t xml:space="preserve">t fiind natura litigiului </w:t>
      </w:r>
      <w:proofErr w:type="spellStart"/>
      <w:r w:rsidR="00CA6D95">
        <w:t>şi</w:t>
      </w:r>
      <w:proofErr w:type="spellEnd"/>
      <w:r w:rsidR="00CA6D95">
        <w:t xml:space="preserve"> caracterul</w:t>
      </w:r>
      <w:r>
        <w:t xml:space="preserve"> personal al răspunderii </w:t>
      </w:r>
      <w:proofErr w:type="spellStart"/>
      <w:r>
        <w:t>contravenţionale</w:t>
      </w:r>
      <w:proofErr w:type="spellEnd"/>
      <w:r>
        <w:t xml:space="preserve">, nu se poate stabili caracterul inadmisibil al unei cereri de </w:t>
      </w:r>
      <w:proofErr w:type="spellStart"/>
      <w:r>
        <w:t>intervenţie</w:t>
      </w:r>
      <w:proofErr w:type="spellEnd"/>
      <w:r>
        <w:t xml:space="preserve"> accesorie.</w:t>
      </w:r>
      <w:r w:rsidR="00CA6D95">
        <w:t xml:space="preserve"> În concret, analiza motivelor invocate de intervenientă în cererea de </w:t>
      </w:r>
      <w:proofErr w:type="spellStart"/>
      <w:r w:rsidR="00CA6D95">
        <w:t>intervenţie</w:t>
      </w:r>
      <w:proofErr w:type="spellEnd"/>
      <w:r w:rsidR="00CA6D95">
        <w:t xml:space="preserve"> accesorie </w:t>
      </w:r>
      <w:proofErr w:type="spellStart"/>
      <w:r w:rsidR="00CA6D95">
        <w:t>şi</w:t>
      </w:r>
      <w:proofErr w:type="spellEnd"/>
      <w:r w:rsidR="00CA6D95">
        <w:t xml:space="preserve"> limitele în care aceasta este formulată, vizând caracterul repetitiv al abaterilor </w:t>
      </w:r>
      <w:proofErr w:type="spellStart"/>
      <w:r w:rsidR="00CA6D95">
        <w:t>reţinute</w:t>
      </w:r>
      <w:proofErr w:type="spellEnd"/>
      <w:r w:rsidR="00CA6D95">
        <w:t xml:space="preserve"> în sarcina </w:t>
      </w:r>
      <w:proofErr w:type="spellStart"/>
      <w:r w:rsidR="00CA6D95">
        <w:t>preşedintei</w:t>
      </w:r>
      <w:proofErr w:type="spellEnd"/>
      <w:r w:rsidR="00CA6D95">
        <w:t xml:space="preserve"> </w:t>
      </w:r>
      <w:proofErr w:type="spellStart"/>
      <w:r w:rsidR="00CA6D95">
        <w:t>asociaţiei</w:t>
      </w:r>
      <w:proofErr w:type="spellEnd"/>
      <w:r w:rsidR="00CA6D95">
        <w:t xml:space="preserve"> de proprietari </w:t>
      </w:r>
      <w:proofErr w:type="spellStart"/>
      <w:r w:rsidR="00CA6D95">
        <w:t>şi</w:t>
      </w:r>
      <w:proofErr w:type="spellEnd"/>
      <w:r w:rsidR="00CA6D95">
        <w:t xml:space="preserve"> neîndeplinirea </w:t>
      </w:r>
      <w:proofErr w:type="spellStart"/>
      <w:r w:rsidR="00CA6D95">
        <w:t>condiţiilor</w:t>
      </w:r>
      <w:proofErr w:type="spellEnd"/>
      <w:r w:rsidR="00CA6D95">
        <w:t xml:space="preserve"> legale privind reindividualizarea </w:t>
      </w:r>
      <w:proofErr w:type="spellStart"/>
      <w:r w:rsidR="00CA6D95">
        <w:t>sancţiunii</w:t>
      </w:r>
      <w:proofErr w:type="spellEnd"/>
      <w:r w:rsidR="00CA6D95">
        <w:t xml:space="preserve"> </w:t>
      </w:r>
      <w:proofErr w:type="spellStart"/>
      <w:r w:rsidR="00CA6D95">
        <w:t>contravenţionale</w:t>
      </w:r>
      <w:proofErr w:type="spellEnd"/>
      <w:r w:rsidR="00CA6D95">
        <w:t xml:space="preserve"> aplicate prin procesul verbal de </w:t>
      </w:r>
      <w:proofErr w:type="spellStart"/>
      <w:r w:rsidR="00CA6D95">
        <w:t>contravenţie</w:t>
      </w:r>
      <w:proofErr w:type="spellEnd"/>
      <w:r w:rsidR="00CA6D95">
        <w:t xml:space="preserve"> nr</w:t>
      </w:r>
      <w:r w:rsidR="00CD5BE6">
        <w:t>…</w:t>
      </w:r>
      <w:r w:rsidR="00277952">
        <w:t xml:space="preserve">, arată </w:t>
      </w:r>
      <w:proofErr w:type="spellStart"/>
      <w:r w:rsidR="00277952">
        <w:t>existenţa</w:t>
      </w:r>
      <w:proofErr w:type="spellEnd"/>
      <w:r w:rsidR="00277952">
        <w:t xml:space="preserve"> unui interes legitim al intervenientei de a interveni în proces în sprijinul </w:t>
      </w:r>
      <w:proofErr w:type="spellStart"/>
      <w:r w:rsidR="00277952">
        <w:t>poziţiei</w:t>
      </w:r>
      <w:proofErr w:type="spellEnd"/>
      <w:r w:rsidR="00277952">
        <w:t xml:space="preserve"> procesuale a organului constatator.</w:t>
      </w:r>
    </w:p>
    <w:p w:rsidR="00277952" w:rsidRDefault="00277952" w:rsidP="009F4288">
      <w:pPr>
        <w:ind w:firstLine="709"/>
        <w:jc w:val="both"/>
      </w:pPr>
      <w:r>
        <w:t xml:space="preserve">În mod </w:t>
      </w:r>
      <w:proofErr w:type="spellStart"/>
      <w:r>
        <w:t>greşit</w:t>
      </w:r>
      <w:proofErr w:type="spellEnd"/>
      <w:r>
        <w:t xml:space="preserve"> tribunalul a apreciat </w:t>
      </w:r>
      <w:proofErr w:type="spellStart"/>
      <w:r>
        <w:t>şi</w:t>
      </w:r>
      <w:proofErr w:type="spellEnd"/>
      <w:r>
        <w:t xml:space="preserve"> natura interesului procesual al intervenientei, raportându-l la un beneficiu material sau la suportarea de către intervenientă a amenzii </w:t>
      </w:r>
      <w:proofErr w:type="spellStart"/>
      <w:r>
        <w:t>contravenţionale</w:t>
      </w:r>
      <w:proofErr w:type="spellEnd"/>
      <w:r>
        <w:t xml:space="preserve"> aplicate contravenientei, în </w:t>
      </w:r>
      <w:proofErr w:type="spellStart"/>
      <w:r>
        <w:t>condiţiile</w:t>
      </w:r>
      <w:proofErr w:type="spellEnd"/>
      <w:r>
        <w:t xml:space="preserve"> în care analiza </w:t>
      </w:r>
      <w:proofErr w:type="spellStart"/>
      <w:r>
        <w:t>condiţiei</w:t>
      </w:r>
      <w:proofErr w:type="spellEnd"/>
      <w:r>
        <w:t xml:space="preserve"> interesului, ca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condiţie</w:t>
      </w:r>
      <w:proofErr w:type="spellEnd"/>
      <w:r>
        <w:t xml:space="preserve"> necesară oricărei cereri formulate în </w:t>
      </w:r>
      <w:proofErr w:type="spellStart"/>
      <w:r>
        <w:t>justiţie</w:t>
      </w:r>
      <w:proofErr w:type="spellEnd"/>
      <w:r>
        <w:t>, trebuia raportată la natura cererii formulate.</w:t>
      </w:r>
    </w:p>
    <w:p w:rsidR="00277952" w:rsidRDefault="00277952" w:rsidP="009F4288">
      <w:pPr>
        <w:ind w:firstLine="709"/>
        <w:jc w:val="both"/>
      </w:pPr>
      <w:r>
        <w:t xml:space="preserve">Ori, cererea de </w:t>
      </w:r>
      <w:proofErr w:type="spellStart"/>
      <w:r>
        <w:t>intervenţie</w:t>
      </w:r>
      <w:proofErr w:type="spellEnd"/>
      <w:r>
        <w:t xml:space="preserve"> accesorie are caracterul unei apărări </w:t>
      </w:r>
      <w:proofErr w:type="spellStart"/>
      <w:r>
        <w:t>faţă</w:t>
      </w:r>
      <w:proofErr w:type="spellEnd"/>
      <w:r>
        <w:t xml:space="preserve"> de </w:t>
      </w:r>
      <w:proofErr w:type="spellStart"/>
      <w:r>
        <w:t>poziţia</w:t>
      </w:r>
      <w:proofErr w:type="spellEnd"/>
      <w:r>
        <w:t xml:space="preserve"> procesuală a unei </w:t>
      </w:r>
      <w:proofErr w:type="spellStart"/>
      <w:r>
        <w:t>părţi</w:t>
      </w:r>
      <w:proofErr w:type="spellEnd"/>
      <w:r>
        <w:t xml:space="preserve"> principale, analiza </w:t>
      </w:r>
      <w:proofErr w:type="spellStart"/>
      <w:r>
        <w:t>condiţiilor</w:t>
      </w:r>
      <w:proofErr w:type="spellEnd"/>
      <w:r>
        <w:t xml:space="preserve"> interesului procesual (art.33 </w:t>
      </w:r>
      <w:proofErr w:type="spellStart"/>
      <w:r>
        <w:t>C.pr.civ</w:t>
      </w:r>
      <w:proofErr w:type="spellEnd"/>
      <w:r>
        <w:t xml:space="preserve">. ipoteza </w:t>
      </w:r>
      <w:proofErr w:type="spellStart"/>
      <w:r>
        <w:t>iniţială</w:t>
      </w:r>
      <w:proofErr w:type="spellEnd"/>
      <w:r>
        <w:t xml:space="preserve">) circumscriindu-se acestei naturi juridice, intervenienta neurmărind </w:t>
      </w:r>
      <w:proofErr w:type="spellStart"/>
      <w:r>
        <w:t>obţinerea</w:t>
      </w:r>
      <w:proofErr w:type="spellEnd"/>
      <w:r>
        <w:t xml:space="preserve"> unui beneficiu propriu, distinct de al </w:t>
      </w:r>
      <w:proofErr w:type="spellStart"/>
      <w:r>
        <w:t>părţii</w:t>
      </w:r>
      <w:proofErr w:type="spellEnd"/>
      <w:r>
        <w:t xml:space="preserve"> pentru care intervine. Cererea sa de </w:t>
      </w:r>
      <w:proofErr w:type="spellStart"/>
      <w:r>
        <w:t>intervenţie</w:t>
      </w:r>
      <w:proofErr w:type="spellEnd"/>
      <w:r>
        <w:t xml:space="preserve"> prezintă un interes legitim, născut, actual, determinat </w:t>
      </w:r>
      <w:proofErr w:type="spellStart"/>
      <w:r>
        <w:t>şi</w:t>
      </w:r>
      <w:proofErr w:type="spellEnd"/>
      <w:r>
        <w:t xml:space="preserve"> personal, având în vedere că scopul cererii de </w:t>
      </w:r>
      <w:proofErr w:type="spellStart"/>
      <w:r>
        <w:t>intervenţie</w:t>
      </w:r>
      <w:proofErr w:type="spellEnd"/>
      <w:r>
        <w:t xml:space="preserve"> vizează </w:t>
      </w:r>
      <w:r w:rsidR="004E0E30">
        <w:t xml:space="preserve">legalitatea </w:t>
      </w:r>
      <w:proofErr w:type="spellStart"/>
      <w:r w:rsidR="004E0E30">
        <w:t>sancţiunii</w:t>
      </w:r>
      <w:proofErr w:type="spellEnd"/>
      <w:r w:rsidR="004E0E30">
        <w:t xml:space="preserve"> aplicate prin procesul verbal constatator al </w:t>
      </w:r>
      <w:proofErr w:type="spellStart"/>
      <w:r w:rsidR="004E0E30">
        <w:t>contravenţiei</w:t>
      </w:r>
      <w:proofErr w:type="spellEnd"/>
      <w:r w:rsidR="004E0E30">
        <w:t>,</w:t>
      </w:r>
      <w:r>
        <w:t xml:space="preserve"> prin raportare la </w:t>
      </w:r>
      <w:proofErr w:type="spellStart"/>
      <w:r>
        <w:t>existenţa</w:t>
      </w:r>
      <w:proofErr w:type="spellEnd"/>
      <w:r>
        <w:t xml:space="preserve"> un</w:t>
      </w:r>
      <w:r w:rsidR="004E0E30">
        <w:t xml:space="preserve">or antecedente </w:t>
      </w:r>
      <w:proofErr w:type="spellStart"/>
      <w:r w:rsidR="004E0E30">
        <w:t>contravenţionale</w:t>
      </w:r>
      <w:proofErr w:type="spellEnd"/>
      <w:r w:rsidR="004E0E30">
        <w:t>. C</w:t>
      </w:r>
      <w:r>
        <w:t xml:space="preserve">alitatea de membru al </w:t>
      </w:r>
      <w:proofErr w:type="spellStart"/>
      <w:r>
        <w:t>asociaţiei</w:t>
      </w:r>
      <w:proofErr w:type="spellEnd"/>
      <w:r>
        <w:t xml:space="preserve"> de propri</w:t>
      </w:r>
      <w:r w:rsidR="004E0E30">
        <w:t>etari conduse de contravenientă dă posibilitatea intervenientei</w:t>
      </w:r>
      <w:r>
        <w:t xml:space="preserve"> de a prezenta pe calea cererii de </w:t>
      </w:r>
      <w:proofErr w:type="spellStart"/>
      <w:r>
        <w:t>intervenţie</w:t>
      </w:r>
      <w:proofErr w:type="spellEnd"/>
      <w:r>
        <w:t xml:space="preserve"> accesorie aspecte</w:t>
      </w:r>
      <w:r w:rsidR="004E0E30">
        <w:t>/apărări</w:t>
      </w:r>
      <w:r>
        <w:t xml:space="preserve"> noi de natură a </w:t>
      </w:r>
      <w:r w:rsidR="004E0E30">
        <w:t xml:space="preserve">asigura legala </w:t>
      </w:r>
      <w:proofErr w:type="spellStart"/>
      <w:r w:rsidR="004E0E30">
        <w:t>soluţionare</w:t>
      </w:r>
      <w:proofErr w:type="spellEnd"/>
      <w:r w:rsidR="004E0E30">
        <w:t xml:space="preserve"> a cererii</w:t>
      </w:r>
      <w:r>
        <w:t xml:space="preserve"> de reindividualizarea a </w:t>
      </w:r>
      <w:proofErr w:type="spellStart"/>
      <w:r>
        <w:t>sancţiunii</w:t>
      </w:r>
      <w:proofErr w:type="spellEnd"/>
      <w:r>
        <w:t xml:space="preserve"> </w:t>
      </w:r>
      <w:proofErr w:type="spellStart"/>
      <w:r>
        <w:t>contravenţionale</w:t>
      </w:r>
      <w:proofErr w:type="spellEnd"/>
      <w:r>
        <w:t xml:space="preserve"> formulate de contravenientă ca </w:t>
      </w:r>
      <w:proofErr w:type="spellStart"/>
      <w:r>
        <w:t>şi</w:t>
      </w:r>
      <w:proofErr w:type="spellEnd"/>
      <w:r>
        <w:t xml:space="preserve"> motiv de apel, în </w:t>
      </w:r>
      <w:proofErr w:type="spellStart"/>
      <w:r>
        <w:t>condiţiile</w:t>
      </w:r>
      <w:proofErr w:type="spellEnd"/>
      <w:r>
        <w:t xml:space="preserve"> art.21 din OG 2/2001.</w:t>
      </w:r>
    </w:p>
    <w:p w:rsidR="00EF5EB4" w:rsidRDefault="004E0E30" w:rsidP="009F4288">
      <w:pPr>
        <w:ind w:firstLine="709"/>
        <w:jc w:val="both"/>
      </w:pPr>
      <w:r>
        <w:t xml:space="preserve">Pe cale de </w:t>
      </w:r>
      <w:proofErr w:type="spellStart"/>
      <w:r>
        <w:t>consecinţă</w:t>
      </w:r>
      <w:proofErr w:type="spellEnd"/>
      <w:r>
        <w:t xml:space="preserve">, văzând că tribunalul a apreciat </w:t>
      </w:r>
      <w:proofErr w:type="spellStart"/>
      <w:r>
        <w:t>greşit</w:t>
      </w:r>
      <w:proofErr w:type="spellEnd"/>
      <w:r>
        <w:t xml:space="preserve"> caracterul admisibil al cererii de </w:t>
      </w:r>
      <w:proofErr w:type="spellStart"/>
      <w:r>
        <w:t>intervenţie</w:t>
      </w:r>
      <w:proofErr w:type="spellEnd"/>
      <w:r>
        <w:t xml:space="preserve"> accesorie formulată de intervenienta </w:t>
      </w:r>
      <w:r w:rsidR="00CD5BE6">
        <w:t>X</w:t>
      </w:r>
      <w:r>
        <w:t xml:space="preserve">, prin evaluarea </w:t>
      </w:r>
      <w:proofErr w:type="spellStart"/>
      <w:r>
        <w:t>greşită</w:t>
      </w:r>
      <w:proofErr w:type="spellEnd"/>
      <w:r>
        <w:t xml:space="preserve"> a interesului procesual al intervenientei, contrar naturii juridice a cererii formulate (cea de apărare</w:t>
      </w:r>
      <w:r w:rsidR="00F358D0">
        <w:t xml:space="preserve">, potrivit art.61 alin.3 </w:t>
      </w:r>
      <w:proofErr w:type="spellStart"/>
      <w:r w:rsidR="00F358D0">
        <w:t>C.pr.civ</w:t>
      </w:r>
      <w:proofErr w:type="spellEnd"/>
      <w:r w:rsidR="00F358D0">
        <w:t>.</w:t>
      </w:r>
      <w:r>
        <w:t xml:space="preserve">), se va admite recursul cu </w:t>
      </w:r>
      <w:proofErr w:type="spellStart"/>
      <w:r>
        <w:t>consecinţa</w:t>
      </w:r>
      <w:proofErr w:type="spellEnd"/>
      <w:r>
        <w:t xml:space="preserve"> casării încheierii </w:t>
      </w:r>
      <w:proofErr w:type="spellStart"/>
      <w:r>
        <w:t>recurate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stabilirii caracterului admisibil al cererii de </w:t>
      </w:r>
      <w:proofErr w:type="spellStart"/>
      <w:r>
        <w:t>intervenţie</w:t>
      </w:r>
      <w:proofErr w:type="spellEnd"/>
      <w:r>
        <w:t xml:space="preserve"> accesorie.</w:t>
      </w:r>
    </w:p>
    <w:p w:rsidR="00554EC2" w:rsidRPr="00E279A4" w:rsidRDefault="00554EC2" w:rsidP="00554EC2">
      <w:pPr>
        <w:jc w:val="center"/>
      </w:pPr>
      <w:r w:rsidRPr="00E279A4">
        <w:t>Pentru aceste motive,</w:t>
      </w:r>
      <w:r w:rsidRPr="00E279A4">
        <w:br/>
        <w:t>În numele legii,</w:t>
      </w:r>
    </w:p>
    <w:p w:rsidR="00554EC2" w:rsidRDefault="00554EC2" w:rsidP="00554EC2">
      <w:pPr>
        <w:jc w:val="center"/>
      </w:pPr>
      <w:r w:rsidRPr="00E279A4">
        <w:t>Decide</w:t>
      </w:r>
      <w:r>
        <w:t>:</w:t>
      </w:r>
    </w:p>
    <w:p w:rsidR="00554EC2" w:rsidRDefault="00554EC2" w:rsidP="00554EC2">
      <w:pPr>
        <w:ind w:firstLine="709"/>
        <w:jc w:val="both"/>
        <w:rPr>
          <w:b/>
        </w:rPr>
      </w:pPr>
    </w:p>
    <w:p w:rsidR="00554EC2" w:rsidRDefault="00554EC2" w:rsidP="00554EC2">
      <w:pPr>
        <w:ind w:firstLine="709"/>
        <w:jc w:val="both"/>
        <w:rPr>
          <w:b/>
        </w:rPr>
      </w:pPr>
    </w:p>
    <w:p w:rsidR="00554EC2" w:rsidRPr="00554EC2" w:rsidRDefault="00554EC2" w:rsidP="00554EC2">
      <w:pPr>
        <w:ind w:firstLine="709"/>
        <w:jc w:val="both"/>
      </w:pPr>
      <w:r w:rsidRPr="00554EC2">
        <w:t xml:space="preserve">Admite recursul declarat de recurenta </w:t>
      </w:r>
      <w:r w:rsidR="00CD5BE6">
        <w:t>X</w:t>
      </w:r>
      <w:r w:rsidRPr="00554EC2">
        <w:t xml:space="preserve"> împotriva încheierii de </w:t>
      </w:r>
      <w:proofErr w:type="spellStart"/>
      <w:r w:rsidRPr="00554EC2">
        <w:t>şedinţă</w:t>
      </w:r>
      <w:proofErr w:type="spellEnd"/>
      <w:r w:rsidRPr="00554EC2">
        <w:t xml:space="preserve"> din data de </w:t>
      </w:r>
      <w:r w:rsidR="00CD5BE6">
        <w:t>…</w:t>
      </w:r>
      <w:r w:rsidRPr="00554EC2">
        <w:t>, pe care o casează.</w:t>
      </w:r>
    </w:p>
    <w:p w:rsidR="00554EC2" w:rsidRPr="00554EC2" w:rsidRDefault="00554EC2" w:rsidP="00554EC2">
      <w:pPr>
        <w:ind w:firstLine="709"/>
        <w:jc w:val="both"/>
      </w:pPr>
      <w:r w:rsidRPr="00554EC2">
        <w:t>Constată admi</w:t>
      </w:r>
      <w:r w:rsidR="004E0E30">
        <w:t xml:space="preserve">sibilă cererea de </w:t>
      </w:r>
      <w:proofErr w:type="spellStart"/>
      <w:r w:rsidR="004E0E30">
        <w:t>intervenţie</w:t>
      </w:r>
      <w:proofErr w:type="spellEnd"/>
      <w:r w:rsidR="004E0E30">
        <w:t xml:space="preserve"> </w:t>
      </w:r>
      <w:r w:rsidRPr="00554EC2">
        <w:t xml:space="preserve">accesorie formulată de intervenienta </w:t>
      </w:r>
      <w:r w:rsidR="00CD5BE6">
        <w:t>X</w:t>
      </w:r>
      <w:r w:rsidRPr="00554EC2">
        <w:t xml:space="preserve"> în sprijinul </w:t>
      </w:r>
      <w:proofErr w:type="spellStart"/>
      <w:r w:rsidRPr="00554EC2">
        <w:t>poziţii</w:t>
      </w:r>
      <w:proofErr w:type="spellEnd"/>
      <w:r w:rsidRPr="00554EC2">
        <w:t xml:space="preserve"> procesuale a organului constatator.</w:t>
      </w:r>
    </w:p>
    <w:p w:rsidR="00554EC2" w:rsidRPr="00554EC2" w:rsidRDefault="00554EC2" w:rsidP="00554EC2">
      <w:pPr>
        <w:ind w:firstLine="709"/>
        <w:jc w:val="both"/>
      </w:pPr>
      <w:r w:rsidRPr="00554EC2">
        <w:t>Definitivă.</w:t>
      </w:r>
    </w:p>
    <w:p w:rsidR="00554EC2" w:rsidRPr="00554EC2" w:rsidRDefault="00554EC2" w:rsidP="00554EC2">
      <w:pPr>
        <w:ind w:firstLine="709"/>
        <w:jc w:val="both"/>
      </w:pPr>
      <w:proofErr w:type="spellStart"/>
      <w:r w:rsidRPr="00554EC2">
        <w:t>Pronunţată</w:t>
      </w:r>
      <w:proofErr w:type="spellEnd"/>
      <w:r w:rsidRPr="00554EC2">
        <w:t xml:space="preserve"> în </w:t>
      </w:r>
      <w:proofErr w:type="spellStart"/>
      <w:r w:rsidRPr="00554EC2">
        <w:t>şedinţă</w:t>
      </w:r>
      <w:proofErr w:type="spellEnd"/>
      <w:r w:rsidRPr="00554EC2">
        <w:t xml:space="preserve"> publică azi, </w:t>
      </w:r>
      <w:r w:rsidR="00CD5BE6">
        <w:t>..</w:t>
      </w:r>
      <w:r w:rsidRPr="00554EC2">
        <w:t>.</w:t>
      </w:r>
    </w:p>
    <w:p w:rsidR="00554EC2" w:rsidRPr="00466029" w:rsidRDefault="00554EC2" w:rsidP="00554EC2">
      <w:pPr>
        <w:jc w:val="center"/>
      </w:pPr>
    </w:p>
    <w:p w:rsidR="00554EC2" w:rsidRPr="008D425B" w:rsidRDefault="00554EC2" w:rsidP="00554EC2">
      <w:pPr>
        <w:jc w:val="center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6"/>
        <w:gridCol w:w="3022"/>
        <w:gridCol w:w="3023"/>
      </w:tblGrid>
      <w:tr w:rsidR="00554EC2" w:rsidRPr="00AB5B86" w:rsidTr="00554EC2">
        <w:trPr>
          <w:trHeight w:val="1193"/>
        </w:trPr>
        <w:tc>
          <w:tcPr>
            <w:tcW w:w="3095" w:type="dxa"/>
            <w:shd w:val="clear" w:color="auto" w:fill="auto"/>
          </w:tcPr>
          <w:p w:rsidR="00554EC2" w:rsidRPr="00AB5B86" w:rsidRDefault="00554EC2" w:rsidP="00554EC2">
            <w:pPr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AB5B86">
              <w:rPr>
                <w:rFonts w:eastAsia="Calibri"/>
                <w:sz w:val="22"/>
                <w:szCs w:val="22"/>
              </w:rPr>
              <w:t>Preşedinte</w:t>
            </w:r>
            <w:proofErr w:type="spellEnd"/>
            <w:r w:rsidRPr="00AB5B86">
              <w:rPr>
                <w:rFonts w:eastAsia="Calibri"/>
                <w:sz w:val="22"/>
                <w:szCs w:val="22"/>
              </w:rPr>
              <w:t>,</w:t>
            </w:r>
          </w:p>
          <w:p w:rsidR="00554EC2" w:rsidRPr="00AB5B86" w:rsidRDefault="00CD5BE6" w:rsidP="00554EC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...</w:t>
            </w:r>
          </w:p>
        </w:tc>
        <w:tc>
          <w:tcPr>
            <w:tcW w:w="3095" w:type="dxa"/>
            <w:shd w:val="clear" w:color="auto" w:fill="auto"/>
          </w:tcPr>
          <w:p w:rsidR="00554EC2" w:rsidRPr="00AB5B86" w:rsidRDefault="00554EC2" w:rsidP="00554EC2">
            <w:pPr>
              <w:jc w:val="center"/>
              <w:rPr>
                <w:rFonts w:eastAsia="Calibri"/>
                <w:sz w:val="22"/>
                <w:szCs w:val="22"/>
              </w:rPr>
            </w:pPr>
            <w:r w:rsidRPr="00AB5B86">
              <w:rPr>
                <w:rFonts w:eastAsia="Calibri"/>
                <w:sz w:val="22"/>
                <w:szCs w:val="22"/>
              </w:rPr>
              <w:t>Judecător,</w:t>
            </w:r>
          </w:p>
          <w:p w:rsidR="00554EC2" w:rsidRPr="00AB5B86" w:rsidRDefault="00CD5BE6" w:rsidP="00554EC2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COD 1015</w:t>
            </w:r>
            <w:r w:rsidR="00554EC2" w:rsidRPr="00AB5B86">
              <w:rPr>
                <w:sz w:val="22"/>
                <w:szCs w:val="22"/>
              </w:rPr>
              <w:t xml:space="preserve"> </w:t>
            </w:r>
          </w:p>
          <w:p w:rsidR="00554EC2" w:rsidRPr="00AB5B86" w:rsidRDefault="00554EC2" w:rsidP="00554EC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096" w:type="dxa"/>
            <w:shd w:val="clear" w:color="auto" w:fill="auto"/>
          </w:tcPr>
          <w:p w:rsidR="00554EC2" w:rsidRPr="00AB5B86" w:rsidRDefault="00554EC2" w:rsidP="00554EC2">
            <w:pPr>
              <w:jc w:val="center"/>
              <w:rPr>
                <w:rFonts w:eastAsia="Calibri"/>
                <w:sz w:val="22"/>
                <w:szCs w:val="22"/>
              </w:rPr>
            </w:pPr>
            <w:r w:rsidRPr="00AB5B86">
              <w:rPr>
                <w:rFonts w:eastAsia="Calibri"/>
                <w:sz w:val="22"/>
                <w:szCs w:val="22"/>
              </w:rPr>
              <w:t>Judecător,</w:t>
            </w:r>
          </w:p>
          <w:p w:rsidR="00554EC2" w:rsidRPr="00AB5B86" w:rsidRDefault="00CD5BE6" w:rsidP="00554EC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...</w:t>
            </w:r>
          </w:p>
          <w:p w:rsidR="00554EC2" w:rsidRPr="00AB5B86" w:rsidRDefault="00554EC2" w:rsidP="00554EC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554EC2" w:rsidRPr="00AB5B86" w:rsidRDefault="00554EC2" w:rsidP="00554EC2">
      <w:pPr>
        <w:jc w:val="center"/>
        <w:rPr>
          <w:sz w:val="22"/>
          <w:szCs w:val="22"/>
        </w:rPr>
      </w:pPr>
    </w:p>
    <w:p w:rsidR="00554EC2" w:rsidRPr="00AB5B86" w:rsidRDefault="00554EC2" w:rsidP="00554EC2">
      <w:pPr>
        <w:jc w:val="center"/>
        <w:rPr>
          <w:sz w:val="22"/>
          <w:szCs w:val="22"/>
        </w:rPr>
      </w:pPr>
    </w:p>
    <w:p w:rsidR="00554EC2" w:rsidRPr="00AB5B86" w:rsidRDefault="00554EC2" w:rsidP="00554EC2">
      <w:pPr>
        <w:jc w:val="center"/>
        <w:rPr>
          <w:sz w:val="22"/>
          <w:szCs w:val="22"/>
        </w:rPr>
      </w:pPr>
      <w:r w:rsidRPr="00AB5B86">
        <w:rPr>
          <w:sz w:val="22"/>
          <w:szCs w:val="22"/>
        </w:rPr>
        <w:t>Grefier,</w:t>
      </w:r>
    </w:p>
    <w:p w:rsidR="00554EC2" w:rsidRPr="00AB5B86" w:rsidRDefault="00554EC2" w:rsidP="00554EC2">
      <w:pPr>
        <w:jc w:val="center"/>
        <w:rPr>
          <w:sz w:val="22"/>
          <w:szCs w:val="22"/>
        </w:rPr>
      </w:pPr>
      <w:r w:rsidRPr="00AB5B86">
        <w:rPr>
          <w:sz w:val="22"/>
          <w:szCs w:val="22"/>
        </w:rPr>
        <w:t xml:space="preserve"> </w:t>
      </w:r>
      <w:r w:rsidR="00CD5BE6">
        <w:rPr>
          <w:sz w:val="22"/>
          <w:szCs w:val="22"/>
        </w:rPr>
        <w:t>...</w:t>
      </w:r>
    </w:p>
    <w:p w:rsidR="00554EC2" w:rsidRDefault="00554EC2" w:rsidP="00554EC2">
      <w:pPr>
        <w:jc w:val="center"/>
        <w:rPr>
          <w:sz w:val="22"/>
          <w:szCs w:val="22"/>
        </w:rPr>
      </w:pPr>
    </w:p>
    <w:p w:rsidR="00554EC2" w:rsidRDefault="00554EC2" w:rsidP="00710486">
      <w:pPr>
        <w:rPr>
          <w:sz w:val="22"/>
          <w:szCs w:val="22"/>
        </w:rPr>
      </w:pPr>
    </w:p>
    <w:p w:rsidR="00B21918" w:rsidRDefault="00B21918" w:rsidP="00710486">
      <w:pPr>
        <w:rPr>
          <w:sz w:val="22"/>
          <w:szCs w:val="22"/>
        </w:rPr>
      </w:pPr>
    </w:p>
    <w:p w:rsidR="00B21918" w:rsidRDefault="00B21918" w:rsidP="00710486">
      <w:pPr>
        <w:rPr>
          <w:sz w:val="22"/>
          <w:szCs w:val="22"/>
        </w:rPr>
      </w:pPr>
    </w:p>
    <w:p w:rsidR="00090D1C" w:rsidRPr="003E7F15" w:rsidRDefault="00090D1C">
      <w:pPr>
        <w:jc w:val="both"/>
      </w:pPr>
      <w:bookmarkStart w:id="0" w:name="_GoBack"/>
      <w:bookmarkEnd w:id="0"/>
    </w:p>
    <w:sectPr w:rsidR="00090D1C" w:rsidRPr="003E7F15" w:rsidSect="00554EC2">
      <w:footerReference w:type="default" r:id="rId7"/>
      <w:pgSz w:w="11906" w:h="16838"/>
      <w:pgMar w:top="1134" w:right="1134" w:bottom="1134" w:left="1701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485" w:rsidRDefault="00400485" w:rsidP="00554EC2">
      <w:r>
        <w:separator/>
      </w:r>
    </w:p>
  </w:endnote>
  <w:endnote w:type="continuationSeparator" w:id="0">
    <w:p w:rsidR="00400485" w:rsidRDefault="00400485" w:rsidP="00554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E30" w:rsidRDefault="004E0E30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CD5BE6">
      <w:rPr>
        <w:noProof/>
      </w:rPr>
      <w:t>3</w:t>
    </w:r>
    <w:r>
      <w:fldChar w:fldCharType="end"/>
    </w:r>
  </w:p>
  <w:p w:rsidR="004E0E30" w:rsidRDefault="004E0E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485" w:rsidRDefault="00400485" w:rsidP="00554EC2">
      <w:r>
        <w:separator/>
      </w:r>
    </w:p>
  </w:footnote>
  <w:footnote w:type="continuationSeparator" w:id="0">
    <w:p w:rsidR="00400485" w:rsidRDefault="00400485" w:rsidP="00554E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url" w:val="http://10.26.48.53:80/ecris_cdms/document_upload.aspx?id_document=4500000000740944&amp;id_departament=15&amp;id_sesiune=535738&amp;id_user=174&amp;id_institutie=45&amp;actiune=modifica"/>
  </w:docVars>
  <w:rsids>
    <w:rsidRoot w:val="00090D1C"/>
    <w:rsid w:val="000654FD"/>
    <w:rsid w:val="00074F1D"/>
    <w:rsid w:val="00084103"/>
    <w:rsid w:val="00090D1C"/>
    <w:rsid w:val="000D5645"/>
    <w:rsid w:val="00190DF5"/>
    <w:rsid w:val="00193580"/>
    <w:rsid w:val="00230098"/>
    <w:rsid w:val="00236F8B"/>
    <w:rsid w:val="00277952"/>
    <w:rsid w:val="00310770"/>
    <w:rsid w:val="003676FC"/>
    <w:rsid w:val="003A5C5C"/>
    <w:rsid w:val="003E7F15"/>
    <w:rsid w:val="00400485"/>
    <w:rsid w:val="00434264"/>
    <w:rsid w:val="004362D5"/>
    <w:rsid w:val="00444EB7"/>
    <w:rsid w:val="00483536"/>
    <w:rsid w:val="004E0E30"/>
    <w:rsid w:val="00554EC2"/>
    <w:rsid w:val="00570502"/>
    <w:rsid w:val="005E0080"/>
    <w:rsid w:val="00710486"/>
    <w:rsid w:val="007844B0"/>
    <w:rsid w:val="008D6F98"/>
    <w:rsid w:val="00902C7A"/>
    <w:rsid w:val="00956884"/>
    <w:rsid w:val="00982CB8"/>
    <w:rsid w:val="009847E9"/>
    <w:rsid w:val="009876B0"/>
    <w:rsid w:val="009B7961"/>
    <w:rsid w:val="009F4288"/>
    <w:rsid w:val="00A56F73"/>
    <w:rsid w:val="00A608DF"/>
    <w:rsid w:val="00A74B82"/>
    <w:rsid w:val="00A861B2"/>
    <w:rsid w:val="00AF594A"/>
    <w:rsid w:val="00B21918"/>
    <w:rsid w:val="00BB2B3D"/>
    <w:rsid w:val="00BC4A1A"/>
    <w:rsid w:val="00BC5260"/>
    <w:rsid w:val="00BE2303"/>
    <w:rsid w:val="00BF0E6F"/>
    <w:rsid w:val="00CA6D95"/>
    <w:rsid w:val="00CD5BE6"/>
    <w:rsid w:val="00D241CE"/>
    <w:rsid w:val="00D8707C"/>
    <w:rsid w:val="00EF5EB4"/>
    <w:rsid w:val="00F035C2"/>
    <w:rsid w:val="00F13107"/>
    <w:rsid w:val="00F358D0"/>
    <w:rsid w:val="00F9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03C9E5-F1FD-405D-8D8F-5498CA877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554EC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54EC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54EC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54E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1031</Words>
  <Characters>5985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7002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creator>valy</dc:creator>
  <cp:lastModifiedBy>Stefania, MARTIN</cp:lastModifiedBy>
  <cp:revision>3</cp:revision>
  <dcterms:created xsi:type="dcterms:W3CDTF">2021-10-19T11:45:00Z</dcterms:created>
  <dcterms:modified xsi:type="dcterms:W3CDTF">2021-10-19T12:07:00Z</dcterms:modified>
</cp:coreProperties>
</file>