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4FD" w:rsidRPr="003212B1" w:rsidRDefault="003212B1" w:rsidP="003212B1">
      <w:pPr>
        <w:jc w:val="right"/>
        <w:rPr>
          <w:b/>
        </w:rPr>
      </w:pPr>
      <w:r w:rsidRPr="003212B1">
        <w:rPr>
          <w:b/>
        </w:rPr>
        <w:t>HOT. 17</w:t>
      </w:r>
    </w:p>
    <w:p w:rsidR="00877BBF" w:rsidRDefault="00877BBF"/>
    <w:p w:rsidR="00090D1C" w:rsidRDefault="00090D1C" w:rsidP="00877BBF">
      <w:pPr>
        <w:ind w:firstLine="708"/>
      </w:pPr>
      <w:r w:rsidRPr="003E7F15">
        <w:t xml:space="preserve">Dosar nr. </w:t>
      </w:r>
      <w:r w:rsidR="003212B1">
        <w:t>...</w:t>
      </w:r>
    </w:p>
    <w:p w:rsidR="00877BBF" w:rsidRPr="003E7F15" w:rsidRDefault="00877BBF" w:rsidP="00877BBF">
      <w:pPr>
        <w:ind w:firstLine="708"/>
      </w:pPr>
    </w:p>
    <w:p w:rsidR="00090D1C" w:rsidRPr="003E7F15" w:rsidRDefault="00090D1C" w:rsidP="00877BBF">
      <w:pPr>
        <w:jc w:val="center"/>
      </w:pPr>
      <w:r w:rsidRPr="003E7F15">
        <w:t>R O M Â N I A</w:t>
      </w:r>
    </w:p>
    <w:p w:rsidR="00090D1C" w:rsidRPr="003E7F15" w:rsidRDefault="00526C21">
      <w:pPr>
        <w:jc w:val="center"/>
      </w:pPr>
      <w:r>
        <w:t xml:space="preserve">CURTEA DE APEL </w:t>
      </w:r>
      <w:r w:rsidR="003212B1">
        <w:t>...</w:t>
      </w:r>
    </w:p>
    <w:p w:rsidR="00090D1C" w:rsidRPr="003E7F15" w:rsidRDefault="00526C21">
      <w:pPr>
        <w:jc w:val="center"/>
        <w:rPr>
          <w:szCs w:val="15"/>
          <w:lang w:val="en-US"/>
        </w:rPr>
      </w:pPr>
      <w:r>
        <w:t xml:space="preserve">SECŢIA </w:t>
      </w:r>
      <w:r w:rsidR="003212B1">
        <w:t>...</w:t>
      </w:r>
    </w:p>
    <w:p w:rsidR="00090D1C" w:rsidRDefault="00090D1C"/>
    <w:p w:rsidR="00877BBF" w:rsidRPr="003E7F15" w:rsidRDefault="00877BBF"/>
    <w:p w:rsidR="00090D1C" w:rsidRDefault="00877BBF">
      <w:pPr>
        <w:jc w:val="center"/>
      </w:pPr>
      <w:r>
        <w:t>Decizia n</w:t>
      </w:r>
      <w:r w:rsidR="00090D1C" w:rsidRPr="003E7F15">
        <w:t xml:space="preserve">r. </w:t>
      </w:r>
      <w:r w:rsidR="003212B1">
        <w:t>..</w:t>
      </w:r>
    </w:p>
    <w:p w:rsidR="00877BBF" w:rsidRDefault="00877BBF">
      <w:pPr>
        <w:jc w:val="center"/>
      </w:pPr>
    </w:p>
    <w:p w:rsidR="00877BBF" w:rsidRPr="003E7F15" w:rsidRDefault="00877BBF">
      <w:pPr>
        <w:jc w:val="center"/>
      </w:pPr>
    </w:p>
    <w:p w:rsidR="00877BBF" w:rsidRDefault="00877BBF" w:rsidP="00877BBF">
      <w:pPr>
        <w:jc w:val="center"/>
      </w:pPr>
      <w:proofErr w:type="spellStart"/>
      <w:r>
        <w:t>Şedinţa</w:t>
      </w:r>
      <w:proofErr w:type="spellEnd"/>
      <w:r>
        <w:t> </w:t>
      </w:r>
      <w:r>
        <w:fldChar w:fldCharType="begin">
          <w:ffData>
            <w:name w:val="tip_sedinta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publică</w:t>
      </w:r>
      <w:r>
        <w:fldChar w:fldCharType="end"/>
      </w:r>
      <w:r>
        <w:t xml:space="preserve"> din data de </w:t>
      </w:r>
      <w:r w:rsidR="003212B1">
        <w:t>..</w:t>
      </w:r>
    </w:p>
    <w:p w:rsidR="00877BBF" w:rsidRDefault="00877BBF" w:rsidP="00877BBF">
      <w:pPr>
        <w:jc w:val="center"/>
      </w:pPr>
      <w:r>
        <w:t xml:space="preserve"> </w:t>
      </w:r>
    </w:p>
    <w:p w:rsidR="00877BBF" w:rsidRDefault="00877BBF" w:rsidP="00877BBF">
      <w:pPr>
        <w:jc w:val="center"/>
      </w:pPr>
      <w:r>
        <w:t>Completul compus din:</w:t>
      </w:r>
    </w:p>
    <w:p w:rsidR="00877BBF" w:rsidRDefault="00877BBF" w:rsidP="00877BBF">
      <w:pPr>
        <w:jc w:val="center"/>
      </w:pPr>
      <w:proofErr w:type="spellStart"/>
      <w:r>
        <w:t>Preşedinte</w:t>
      </w:r>
      <w:proofErr w:type="spellEnd"/>
      <w:r>
        <w:t xml:space="preserve">: </w:t>
      </w:r>
      <w:r w:rsidR="003212B1">
        <w:t>COD 1015</w:t>
      </w:r>
      <w:r>
        <w:t xml:space="preserve">  </w:t>
      </w:r>
    </w:p>
    <w:p w:rsidR="00877BBF" w:rsidRDefault="00877BBF" w:rsidP="00877BBF">
      <w:pPr>
        <w:jc w:val="center"/>
        <w:rPr>
          <w:sz w:val="28"/>
        </w:rPr>
      </w:pPr>
      <w:r>
        <w:t xml:space="preserve">Judecător: </w:t>
      </w:r>
      <w:r w:rsidR="003212B1">
        <w:rPr>
          <w:szCs w:val="22"/>
        </w:rPr>
        <w:t>...</w:t>
      </w:r>
      <w:r>
        <w:rPr>
          <w:szCs w:val="22"/>
        </w:rPr>
        <w:t xml:space="preserve"> </w:t>
      </w:r>
    </w:p>
    <w:p w:rsidR="00877BBF" w:rsidRDefault="00877BBF" w:rsidP="00877BBF">
      <w:pPr>
        <w:jc w:val="center"/>
      </w:pPr>
      <w:r>
        <w:t xml:space="preserve">Judecător: </w:t>
      </w:r>
      <w:r w:rsidR="003212B1">
        <w:t>...</w:t>
      </w:r>
      <w:r>
        <w:t xml:space="preserve">  </w:t>
      </w:r>
    </w:p>
    <w:p w:rsidR="00877BBF" w:rsidRDefault="00877BBF" w:rsidP="00877BBF">
      <w:pPr>
        <w:jc w:val="center"/>
      </w:pPr>
      <w:r>
        <w:t xml:space="preserve">Grefier: </w:t>
      </w:r>
      <w:r w:rsidR="003212B1">
        <w:t>...</w:t>
      </w:r>
      <w:r>
        <w:t xml:space="preserve"> </w:t>
      </w:r>
    </w:p>
    <w:p w:rsidR="00877BBF" w:rsidRDefault="00877BBF" w:rsidP="00877BBF">
      <w:pPr>
        <w:jc w:val="center"/>
      </w:pPr>
    </w:p>
    <w:p w:rsidR="00877BBF" w:rsidRDefault="00877BBF" w:rsidP="00877BBF">
      <w:pPr>
        <w:ind w:firstLine="709"/>
        <w:jc w:val="both"/>
      </w:pPr>
      <w:r>
        <w:t xml:space="preserve">Pe rol se află </w:t>
      </w:r>
      <w:proofErr w:type="spellStart"/>
      <w:r>
        <w:t>soluţionarea</w:t>
      </w:r>
      <w:proofErr w:type="spellEnd"/>
      <w:r>
        <w:t xml:space="preserve"> recursului promovat de pârâta </w:t>
      </w:r>
      <w:proofErr w:type="spellStart"/>
      <w:r>
        <w:t>Administraţia</w:t>
      </w:r>
      <w:proofErr w:type="spellEnd"/>
      <w:r>
        <w:t xml:space="preserve"> </w:t>
      </w:r>
      <w:proofErr w:type="spellStart"/>
      <w:r>
        <w:t>Judeţeană</w:t>
      </w:r>
      <w:proofErr w:type="spellEnd"/>
      <w:r>
        <w:t xml:space="preserve"> a </w:t>
      </w:r>
      <w:proofErr w:type="spellStart"/>
      <w:r>
        <w:t>Finanţelor</w:t>
      </w:r>
      <w:proofErr w:type="spellEnd"/>
      <w:r>
        <w:t xml:space="preserve"> Publice </w:t>
      </w:r>
      <w:r w:rsidR="003212B1">
        <w:t>...</w:t>
      </w:r>
      <w:r>
        <w:t xml:space="preserve"> împotriva </w:t>
      </w:r>
      <w:proofErr w:type="spellStart"/>
      <w:r>
        <w:t>sentinţei</w:t>
      </w:r>
      <w:proofErr w:type="spellEnd"/>
      <w:r>
        <w:t xml:space="preserve"> nr. </w:t>
      </w:r>
      <w:r w:rsidR="003212B1">
        <w:t>S1</w:t>
      </w:r>
      <w:r>
        <w:t xml:space="preserve"> </w:t>
      </w:r>
      <w:proofErr w:type="spellStart"/>
      <w:r>
        <w:t>pronunţate</w:t>
      </w:r>
      <w:proofErr w:type="spellEnd"/>
      <w:r>
        <w:t xml:space="preserve"> de Tribunalul </w:t>
      </w:r>
      <w:r w:rsidR="003212B1">
        <w:t>...</w:t>
      </w:r>
      <w:r>
        <w:t xml:space="preserve">, intimat fiind </w:t>
      </w:r>
      <w:r w:rsidR="003212B1">
        <w:t>X</w:t>
      </w:r>
      <w:r>
        <w:t>.</w:t>
      </w:r>
    </w:p>
    <w:p w:rsidR="00877BBF" w:rsidRDefault="00877BBF" w:rsidP="00877BBF">
      <w:pPr>
        <w:ind w:firstLine="709"/>
        <w:jc w:val="both"/>
      </w:pPr>
      <w:r>
        <w:t xml:space="preserve">La apelul nominal făcut în </w:t>
      </w:r>
      <w:proofErr w:type="spellStart"/>
      <w:r>
        <w:t>şedinţă</w:t>
      </w:r>
      <w:proofErr w:type="spellEnd"/>
      <w:r>
        <w:t xml:space="preserve"> publică, se constată lipsa </w:t>
      </w:r>
      <w:proofErr w:type="spellStart"/>
      <w:r>
        <w:t>părţilor</w:t>
      </w:r>
      <w:proofErr w:type="spellEnd"/>
      <w:r>
        <w:t>.</w:t>
      </w:r>
    </w:p>
    <w:p w:rsidR="00877BBF" w:rsidRDefault="00877BBF" w:rsidP="00877BBF">
      <w:pPr>
        <w:ind w:firstLine="709"/>
        <w:jc w:val="both"/>
      </w:pPr>
      <w:r>
        <w:t>Procedura de citare este legal îndeplinită.</w:t>
      </w:r>
    </w:p>
    <w:p w:rsidR="00877BBF" w:rsidRDefault="00877BBF" w:rsidP="00877BBF">
      <w:pPr>
        <w:ind w:firstLine="709"/>
        <w:jc w:val="both"/>
      </w:pPr>
      <w:r>
        <w:t xml:space="preserve">S-a făcut referatul cauzei de către grefierul de </w:t>
      </w:r>
      <w:proofErr w:type="spellStart"/>
      <w:r>
        <w:t>şedinţă</w:t>
      </w:r>
      <w:proofErr w:type="spellEnd"/>
      <w:r>
        <w:t xml:space="preserve">, din care reiese că recursul se află la primul termen de judecată, precum </w:t>
      </w:r>
      <w:proofErr w:type="spellStart"/>
      <w:r>
        <w:t>şi</w:t>
      </w:r>
      <w:proofErr w:type="spellEnd"/>
      <w:r>
        <w:t xml:space="preserve"> faptul că intimatul a depus la dosarul cauzei un înscris intitulat „întâmpinare </w:t>
      </w:r>
      <w:proofErr w:type="spellStart"/>
      <w:r>
        <w:t>şi</w:t>
      </w:r>
      <w:proofErr w:type="spellEnd"/>
      <w:r>
        <w:t xml:space="preserve"> concluzii scrise”, </w:t>
      </w:r>
      <w:proofErr w:type="spellStart"/>
      <w:r>
        <w:t>însoţit</w:t>
      </w:r>
      <w:proofErr w:type="spellEnd"/>
      <w:r>
        <w:t xml:space="preserve"> de dovada achitării onorariului de avocat.</w:t>
      </w:r>
    </w:p>
    <w:p w:rsidR="00877BBF" w:rsidRDefault="00877BBF" w:rsidP="00877BBF">
      <w:pPr>
        <w:ind w:firstLine="708"/>
        <w:jc w:val="both"/>
      </w:pPr>
      <w:r>
        <w:t xml:space="preserve">Prin cererea de recurs </w:t>
      </w:r>
      <w:proofErr w:type="spellStart"/>
      <w:r>
        <w:t>şi</w:t>
      </w:r>
      <w:proofErr w:type="spellEnd"/>
      <w:r>
        <w:t xml:space="preserve"> prin întâmpinare, </w:t>
      </w:r>
      <w:proofErr w:type="spellStart"/>
      <w:r>
        <w:t>părţile</w:t>
      </w:r>
      <w:proofErr w:type="spellEnd"/>
      <w:r>
        <w:t xml:space="preserve"> au solicitat judecarea cauzei în lipsă.</w:t>
      </w:r>
    </w:p>
    <w:p w:rsidR="00877BBF" w:rsidRDefault="00877BBF" w:rsidP="00877BBF">
      <w:pPr>
        <w:ind w:firstLine="708"/>
        <w:jc w:val="both"/>
      </w:pPr>
      <w:r>
        <w:t xml:space="preserve">Constatând lipsa </w:t>
      </w:r>
      <w:proofErr w:type="spellStart"/>
      <w:r>
        <w:t>părţilor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având în vedere faptul că s-a solicitat judecarea cauzei în lipsa acestora, </w:t>
      </w:r>
      <w:proofErr w:type="spellStart"/>
      <w:r>
        <w:t>instanţa</w:t>
      </w:r>
      <w:proofErr w:type="spellEnd"/>
      <w:r>
        <w:t xml:space="preserve"> constată finalizată cercetarea judecătorească </w:t>
      </w:r>
      <w:proofErr w:type="spellStart"/>
      <w:r>
        <w:t>şi</w:t>
      </w:r>
      <w:proofErr w:type="spellEnd"/>
      <w:r>
        <w:t xml:space="preserve"> rămâne în </w:t>
      </w:r>
      <w:proofErr w:type="spellStart"/>
      <w:r>
        <w:t>pronunţare</w:t>
      </w:r>
      <w:proofErr w:type="spellEnd"/>
      <w:r>
        <w:t xml:space="preserve"> asupra recursului promovat împotriva </w:t>
      </w:r>
      <w:proofErr w:type="spellStart"/>
      <w:r>
        <w:t>sentinţei</w:t>
      </w:r>
      <w:proofErr w:type="spellEnd"/>
      <w:r>
        <w:t xml:space="preserve"> nr. </w:t>
      </w:r>
      <w:r w:rsidR="003212B1">
        <w:t>S1</w:t>
      </w:r>
      <w:r>
        <w:t xml:space="preserve"> a Tribunalului </w:t>
      </w:r>
      <w:r w:rsidR="003212B1">
        <w:t>...</w:t>
      </w:r>
      <w:r>
        <w:t>.</w:t>
      </w:r>
    </w:p>
    <w:p w:rsidR="00877BBF" w:rsidRDefault="00877BBF" w:rsidP="00877BBF">
      <w:pPr>
        <w:jc w:val="both"/>
        <w:rPr>
          <w:i/>
          <w:sz w:val="20"/>
          <w:szCs w:val="20"/>
        </w:rPr>
      </w:pPr>
    </w:p>
    <w:p w:rsidR="00877BBF" w:rsidRDefault="00877BBF" w:rsidP="00877BBF">
      <w:pPr>
        <w:jc w:val="center"/>
      </w:pPr>
      <w:r>
        <w:t>Curtea de Apel,</w:t>
      </w:r>
    </w:p>
    <w:p w:rsidR="00877BBF" w:rsidRDefault="00877BBF" w:rsidP="00877BBF">
      <w:pPr>
        <w:jc w:val="both"/>
      </w:pPr>
    </w:p>
    <w:p w:rsidR="00877BBF" w:rsidRDefault="00877BBF" w:rsidP="00877BBF"/>
    <w:p w:rsidR="00877BBF" w:rsidRDefault="00877BBF" w:rsidP="00877BBF">
      <w:pPr>
        <w:ind w:firstLine="708"/>
        <w:jc w:val="both"/>
      </w:pPr>
      <w:r>
        <w:t xml:space="preserve">Deliberând asupra recursului în </w:t>
      </w:r>
      <w:r w:rsidR="003212B1">
        <w:rPr>
          <w:i/>
        </w:rPr>
        <w:t>...</w:t>
      </w:r>
      <w:r>
        <w:t xml:space="preserve"> de </w:t>
      </w:r>
      <w:proofErr w:type="spellStart"/>
      <w:r>
        <w:t>faţă</w:t>
      </w:r>
      <w:proofErr w:type="spellEnd"/>
      <w:r>
        <w:t>, constată următoarele:</w:t>
      </w:r>
    </w:p>
    <w:p w:rsidR="00877BBF" w:rsidRDefault="00877BBF" w:rsidP="00877BBF">
      <w:pPr>
        <w:ind w:firstLine="708"/>
        <w:jc w:val="both"/>
      </w:pPr>
      <w:r>
        <w:t xml:space="preserve">Prin cererea de chemare în judecată înregistrată pe rolul Tribunalului </w:t>
      </w:r>
      <w:r w:rsidR="003212B1">
        <w:t>...</w:t>
      </w:r>
      <w:r>
        <w:t xml:space="preserve"> sub nr. </w:t>
      </w:r>
      <w:r w:rsidR="003212B1">
        <w:t>...</w:t>
      </w:r>
      <w:r>
        <w:t xml:space="preserve">, reclamantul </w:t>
      </w:r>
      <w:r w:rsidR="003212B1">
        <w:t>X</w:t>
      </w:r>
      <w:r>
        <w:t xml:space="preserve"> a solicitat, în contradictoriu cu pârâta </w:t>
      </w:r>
      <w:proofErr w:type="spellStart"/>
      <w:r>
        <w:rPr>
          <w:lang w:eastAsia="en-US"/>
        </w:rPr>
        <w:t>Administraţia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Judeţeană</w:t>
      </w:r>
      <w:proofErr w:type="spellEnd"/>
      <w:r>
        <w:rPr>
          <w:lang w:eastAsia="en-US"/>
        </w:rPr>
        <w:t xml:space="preserve"> a </w:t>
      </w:r>
      <w:proofErr w:type="spellStart"/>
      <w:r>
        <w:rPr>
          <w:lang w:eastAsia="en-US"/>
        </w:rPr>
        <w:t>Finanţelor</w:t>
      </w:r>
      <w:proofErr w:type="spellEnd"/>
      <w:r>
        <w:rPr>
          <w:lang w:eastAsia="en-US"/>
        </w:rPr>
        <w:t xml:space="preserve"> Publice </w:t>
      </w:r>
      <w:r w:rsidR="003212B1">
        <w:rPr>
          <w:lang w:eastAsia="en-US"/>
        </w:rPr>
        <w:t>...</w:t>
      </w:r>
      <w:r>
        <w:rPr>
          <w:lang w:eastAsia="en-US"/>
        </w:rPr>
        <w:t xml:space="preserve">, </w:t>
      </w:r>
      <w:r>
        <w:t xml:space="preserve">anularea </w:t>
      </w:r>
      <w:r w:rsidRPr="00F50014">
        <w:t xml:space="preserve">Deciziei de impunere a taxei nr. </w:t>
      </w:r>
      <w:r w:rsidR="003212B1">
        <w:t>...</w:t>
      </w:r>
      <w:r>
        <w:t xml:space="preserve"> emisă de către pârâtă </w:t>
      </w:r>
      <w:proofErr w:type="spellStart"/>
      <w:r>
        <w:t>ş</w:t>
      </w:r>
      <w:r w:rsidRPr="00F50014">
        <w:t>i</w:t>
      </w:r>
      <w:proofErr w:type="spellEnd"/>
      <w:r>
        <w:t xml:space="preserve"> restituirea sumei de 994 lei achitată cu titlu de timbru de mediu, împreună cu dobânda fiscală aferentă, sumă ce va fi actualizata la data </w:t>
      </w:r>
      <w:proofErr w:type="spellStart"/>
      <w:r>
        <w:t>plăţii</w:t>
      </w:r>
      <w:proofErr w:type="spellEnd"/>
      <w:r>
        <w:t xml:space="preserve"> efective</w:t>
      </w:r>
      <w:r w:rsidR="007B32DB">
        <w:t>, precum</w:t>
      </w:r>
      <w:r>
        <w:t xml:space="preserve"> </w:t>
      </w:r>
      <w:proofErr w:type="spellStart"/>
      <w:r>
        <w:t>şi</w:t>
      </w:r>
      <w:proofErr w:type="spellEnd"/>
      <w:r w:rsidR="007B32DB">
        <w:t xml:space="preserve"> obligarea pârâtei la</w:t>
      </w:r>
      <w:r>
        <w:t xml:space="preserve"> plata cheltuielilor de judecată efectuate.</w:t>
      </w:r>
    </w:p>
    <w:p w:rsidR="00877BBF" w:rsidRDefault="00877BBF" w:rsidP="00877BBF">
      <w:pPr>
        <w:ind w:firstLine="720"/>
        <w:jc w:val="both"/>
      </w:pPr>
    </w:p>
    <w:p w:rsidR="00877BBF" w:rsidRPr="005F1E0F" w:rsidRDefault="00877BBF" w:rsidP="00877BBF">
      <w:pPr>
        <w:ind w:firstLine="708"/>
        <w:jc w:val="both"/>
      </w:pPr>
      <w:r>
        <w:t xml:space="preserve">Prin </w:t>
      </w:r>
      <w:proofErr w:type="spellStart"/>
      <w:r>
        <w:t>sentinţa</w:t>
      </w:r>
      <w:proofErr w:type="spellEnd"/>
      <w:r>
        <w:t xml:space="preserve"> nr. </w:t>
      </w:r>
      <w:r w:rsidR="003212B1">
        <w:t>S1</w:t>
      </w:r>
      <w:r>
        <w:t xml:space="preserve">, </w:t>
      </w:r>
      <w:r w:rsidR="009F4825">
        <w:t xml:space="preserve">rectificată prin încheierea de îndreptare a erorii materiale din data de </w:t>
      </w:r>
      <w:r w:rsidR="003212B1">
        <w:t>…</w:t>
      </w:r>
      <w:r w:rsidR="009F4825">
        <w:t xml:space="preserve">, </w:t>
      </w:r>
      <w:r>
        <w:t xml:space="preserve">Tribunalul </w:t>
      </w:r>
      <w:r w:rsidR="003212B1">
        <w:t>...</w:t>
      </w:r>
      <w:r>
        <w:t xml:space="preserve"> a admis </w:t>
      </w:r>
      <w:proofErr w:type="spellStart"/>
      <w:r>
        <w:t>acţ</w:t>
      </w:r>
      <w:r w:rsidRPr="005F1E0F">
        <w:t>iunea</w:t>
      </w:r>
      <w:proofErr w:type="spellEnd"/>
      <w:r w:rsidRPr="005F1E0F">
        <w:t xml:space="preserve"> astfel cum a fost </w:t>
      </w:r>
      <w:r>
        <w:t xml:space="preserve">formulată </w:t>
      </w:r>
      <w:proofErr w:type="spellStart"/>
      <w:r>
        <w:t>şi</w:t>
      </w:r>
      <w:proofErr w:type="spellEnd"/>
      <w:r>
        <w:t xml:space="preserve"> precizată</w:t>
      </w:r>
      <w:r w:rsidRPr="005F1E0F">
        <w:t xml:space="preserve"> de</w:t>
      </w:r>
      <w:r>
        <w:t xml:space="preserve"> reclamantul </w:t>
      </w:r>
      <w:r w:rsidR="003212B1">
        <w:t>X</w:t>
      </w:r>
      <w:r>
        <w:t>, î</w:t>
      </w:r>
      <w:r w:rsidRPr="005F1E0F">
        <w:t xml:space="preserve">n contradictoriu cu </w:t>
      </w:r>
      <w:proofErr w:type="spellStart"/>
      <w:r>
        <w:t>Administraţia</w:t>
      </w:r>
      <w:proofErr w:type="spellEnd"/>
      <w:r>
        <w:t xml:space="preserve"> </w:t>
      </w:r>
      <w:proofErr w:type="spellStart"/>
      <w:r>
        <w:t>Judeţeană</w:t>
      </w:r>
      <w:proofErr w:type="spellEnd"/>
      <w:r>
        <w:t xml:space="preserve"> a </w:t>
      </w:r>
      <w:proofErr w:type="spellStart"/>
      <w:r>
        <w:t>Finanţelor</w:t>
      </w:r>
      <w:proofErr w:type="spellEnd"/>
      <w:r>
        <w:t xml:space="preserve"> Publice </w:t>
      </w:r>
      <w:r w:rsidR="003212B1">
        <w:t>...</w:t>
      </w:r>
      <w:r>
        <w:t xml:space="preserve"> reprezentată de </w:t>
      </w:r>
      <w:proofErr w:type="spellStart"/>
      <w:r>
        <w:t>Direcţia</w:t>
      </w:r>
      <w:proofErr w:type="spellEnd"/>
      <w:r>
        <w:t xml:space="preserve"> Generală Regională a</w:t>
      </w:r>
      <w:r w:rsidRPr="005F1E0F">
        <w:t xml:space="preserve"> </w:t>
      </w:r>
      <w:proofErr w:type="spellStart"/>
      <w:r w:rsidRPr="005F1E0F">
        <w:t>Finanţelor</w:t>
      </w:r>
      <w:proofErr w:type="spellEnd"/>
      <w:r w:rsidRPr="005F1E0F">
        <w:t xml:space="preserve"> Publice </w:t>
      </w:r>
      <w:r w:rsidR="003212B1">
        <w:t>...</w:t>
      </w:r>
      <w:r w:rsidRPr="005F1E0F">
        <w:t xml:space="preserve"> </w:t>
      </w:r>
      <w:proofErr w:type="spellStart"/>
      <w:r>
        <w:t>şi</w:t>
      </w:r>
      <w:proofErr w:type="spellEnd"/>
      <w:r>
        <w:t>,</w:t>
      </w:r>
      <w:r w:rsidR="009F4825">
        <w:t xml:space="preserve"> </w:t>
      </w:r>
      <w:r>
        <w:t xml:space="preserve">în </w:t>
      </w:r>
      <w:proofErr w:type="spellStart"/>
      <w:r>
        <w:t>consecinţă</w:t>
      </w:r>
      <w:proofErr w:type="spellEnd"/>
      <w:r>
        <w:t>, a dispus anularea Deciziei de impunere a taxei nr.</w:t>
      </w:r>
      <w:r w:rsidR="003212B1">
        <w:t>...</w:t>
      </w:r>
      <w:r>
        <w:t xml:space="preserve"> emisă de pârâta </w:t>
      </w:r>
      <w:proofErr w:type="spellStart"/>
      <w:r>
        <w:t>Admi</w:t>
      </w:r>
      <w:r w:rsidR="007B32DB">
        <w:t>nistraţia</w:t>
      </w:r>
      <w:proofErr w:type="spellEnd"/>
      <w:r w:rsidR="007B32DB">
        <w:t xml:space="preserve"> </w:t>
      </w:r>
      <w:proofErr w:type="spellStart"/>
      <w:r w:rsidR="007B32DB">
        <w:t>Judeţeană</w:t>
      </w:r>
      <w:proofErr w:type="spellEnd"/>
      <w:r>
        <w:t xml:space="preserve"> a </w:t>
      </w:r>
      <w:proofErr w:type="spellStart"/>
      <w:r>
        <w:t>Finanţelor</w:t>
      </w:r>
      <w:proofErr w:type="spellEnd"/>
      <w:r>
        <w:t xml:space="preserve"> Publice </w:t>
      </w:r>
      <w:r w:rsidR="003212B1">
        <w:t>...</w:t>
      </w:r>
      <w:r>
        <w:t>, pe care a obligat-o să</w:t>
      </w:r>
      <w:r w:rsidRPr="005F1E0F">
        <w:t xml:space="preserve"> restituie reclamant</w:t>
      </w:r>
      <w:r>
        <w:t>ului</w:t>
      </w:r>
      <w:r w:rsidRPr="005F1E0F">
        <w:t xml:space="preserve"> suma de </w:t>
      </w:r>
      <w:r>
        <w:t>994,00 lei</w:t>
      </w:r>
      <w:r w:rsidRPr="005F1E0F">
        <w:t xml:space="preserve"> reprezentând </w:t>
      </w:r>
      <w:r>
        <w:t>timbru de mediu</w:t>
      </w:r>
      <w:r w:rsidRPr="005F1E0F">
        <w:t xml:space="preserve"> achitat la data de </w:t>
      </w:r>
      <w:r>
        <w:t>14</w:t>
      </w:r>
      <w:r w:rsidRPr="005F1E0F">
        <w:t>.0</w:t>
      </w:r>
      <w:r>
        <w:t>9</w:t>
      </w:r>
      <w:r w:rsidRPr="005F1E0F">
        <w:t>.201</w:t>
      </w:r>
      <w:r>
        <w:t>5</w:t>
      </w:r>
      <w:r w:rsidRPr="005F1E0F">
        <w:t xml:space="preserve"> pentru înmatricularea autovehiculului marca </w:t>
      </w:r>
      <w:r w:rsidR="009F4825">
        <w:t xml:space="preserve">Mercedes Benz, </w:t>
      </w:r>
      <w:r w:rsidR="007B32DB">
        <w:t xml:space="preserve">având </w:t>
      </w:r>
      <w:r w:rsidR="009F4825">
        <w:t>n</w:t>
      </w:r>
      <w:r w:rsidR="007B32DB">
        <w:t>umă</w:t>
      </w:r>
      <w:r w:rsidR="009F4825">
        <w:t>r de identificare W</w:t>
      </w:r>
      <w:r w:rsidR="003212B1">
        <w:t>..</w:t>
      </w:r>
      <w:r>
        <w:t>,</w:t>
      </w:r>
      <w:r w:rsidRPr="005F1E0F">
        <w:t xml:space="preserve"> </w:t>
      </w:r>
      <w:r w:rsidR="009F4825">
        <w:t xml:space="preserve">împreună </w:t>
      </w:r>
      <w:r w:rsidRPr="005F1E0F">
        <w:t>cu plata do</w:t>
      </w:r>
      <w:r w:rsidR="009F4825">
        <w:t xml:space="preserve">bânzii fiscale de la data achitării taxei </w:t>
      </w:r>
      <w:proofErr w:type="spellStart"/>
      <w:r w:rsidR="009F4825">
        <w:t>şi</w:t>
      </w:r>
      <w:proofErr w:type="spellEnd"/>
      <w:r w:rsidR="009F4825">
        <w:t xml:space="preserve"> până</w:t>
      </w:r>
      <w:r w:rsidRPr="005F1E0F">
        <w:t xml:space="preserve"> la restituirea efecti</w:t>
      </w:r>
      <w:r w:rsidR="009F4825">
        <w:t>vă</w:t>
      </w:r>
      <w:r w:rsidRPr="005F1E0F">
        <w:t xml:space="preserve"> a sumei</w:t>
      </w:r>
      <w:r w:rsidR="009F4825">
        <w:t xml:space="preserve">, sumă actualizată la data </w:t>
      </w:r>
      <w:proofErr w:type="spellStart"/>
      <w:r w:rsidR="009F4825">
        <w:t>plă</w:t>
      </w:r>
      <w:r>
        <w:t>ţii</w:t>
      </w:r>
      <w:proofErr w:type="spellEnd"/>
      <w:r>
        <w:t xml:space="preserve"> efective cu indicele de </w:t>
      </w:r>
      <w:proofErr w:type="spellStart"/>
      <w:r>
        <w:t>inflaţie</w:t>
      </w:r>
      <w:proofErr w:type="spellEnd"/>
      <w:r w:rsidRPr="005F1E0F">
        <w:t>.</w:t>
      </w:r>
    </w:p>
    <w:p w:rsidR="00877BBF" w:rsidRPr="005F1E0F" w:rsidRDefault="00877BBF" w:rsidP="00877BBF">
      <w:pPr>
        <w:jc w:val="both"/>
      </w:pPr>
      <w:r w:rsidRPr="005F1E0F">
        <w:lastRenderedPageBreak/>
        <w:tab/>
      </w:r>
      <w:r w:rsidR="009F4825">
        <w:t xml:space="preserve">Prin </w:t>
      </w:r>
      <w:proofErr w:type="spellStart"/>
      <w:r w:rsidR="009F4825">
        <w:t>aceeaşi</w:t>
      </w:r>
      <w:proofErr w:type="spellEnd"/>
      <w:r w:rsidR="009F4825">
        <w:t xml:space="preserve"> hotărâre judecătorească, pârâta a fost obligată la plat</w:t>
      </w:r>
      <w:r w:rsidRPr="005F1E0F">
        <w:t xml:space="preserve">a sumei de </w:t>
      </w:r>
      <w:r>
        <w:t xml:space="preserve">394 </w:t>
      </w:r>
      <w:r w:rsidR="009F4825">
        <w:t>lei</w:t>
      </w:r>
      <w:r w:rsidR="007B32DB">
        <w:t>, cu titlu de</w:t>
      </w:r>
      <w:r w:rsidR="009F4825">
        <w:t xml:space="preserve"> cheltuieli de judecată reprezentând taxă</w:t>
      </w:r>
      <w:r w:rsidRPr="005F1E0F">
        <w:t xml:space="preserve"> de timbru</w:t>
      </w:r>
      <w:r w:rsidR="009F4825">
        <w:t xml:space="preserve"> </w:t>
      </w:r>
      <w:proofErr w:type="spellStart"/>
      <w:r w:rsidR="009F4825">
        <w:t>ş</w:t>
      </w:r>
      <w:r>
        <w:t>i</w:t>
      </w:r>
      <w:proofErr w:type="spellEnd"/>
      <w:r>
        <w:t xml:space="preserve"> onorariu avocat</w:t>
      </w:r>
      <w:r w:rsidRPr="005F1E0F">
        <w:t>.</w:t>
      </w:r>
    </w:p>
    <w:p w:rsidR="00877BBF" w:rsidRDefault="00877BBF" w:rsidP="00877BBF">
      <w:pPr>
        <w:ind w:firstLine="708"/>
        <w:jc w:val="both"/>
      </w:pPr>
    </w:p>
    <w:p w:rsidR="00877BBF" w:rsidRDefault="00877BBF" w:rsidP="00877BBF">
      <w:pPr>
        <w:ind w:firstLine="709"/>
        <w:jc w:val="both"/>
      </w:pPr>
      <w:r>
        <w:t xml:space="preserve">Împotriva acestei sentințe a promovat recurs </w:t>
      </w:r>
      <w:proofErr w:type="spellStart"/>
      <w:r>
        <w:t>Administraţia</w:t>
      </w:r>
      <w:proofErr w:type="spellEnd"/>
      <w:r>
        <w:t xml:space="preserve"> </w:t>
      </w:r>
      <w:proofErr w:type="spellStart"/>
      <w:r>
        <w:t>Judeţeană</w:t>
      </w:r>
      <w:proofErr w:type="spellEnd"/>
      <w:r>
        <w:t xml:space="preserve"> a </w:t>
      </w:r>
      <w:proofErr w:type="spellStart"/>
      <w:r>
        <w:t>Finanţelor</w:t>
      </w:r>
      <w:proofErr w:type="spellEnd"/>
      <w:r>
        <w:t xml:space="preserve"> Publice </w:t>
      </w:r>
      <w:r w:rsidR="003212B1">
        <w:t>...</w:t>
      </w:r>
      <w:r>
        <w:t xml:space="preserve">, invocând motivul de casare prevăzut de </w:t>
      </w:r>
      <w:proofErr w:type="spellStart"/>
      <w:r>
        <w:t>dispoziţiile</w:t>
      </w:r>
      <w:proofErr w:type="spellEnd"/>
      <w:r>
        <w:t xml:space="preserve"> art. 488 alin. (1) pct. 8 din Codul de procedură civilă.</w:t>
      </w:r>
    </w:p>
    <w:p w:rsidR="00877BBF" w:rsidRDefault="00877BBF" w:rsidP="00877BBF">
      <w:pPr>
        <w:ind w:firstLine="709"/>
        <w:jc w:val="both"/>
      </w:pPr>
      <w:r>
        <w:t xml:space="preserve">În motivarea căii de atac, </w:t>
      </w:r>
      <w:proofErr w:type="spellStart"/>
      <w:r>
        <w:t>instituţia</w:t>
      </w:r>
      <w:proofErr w:type="spellEnd"/>
      <w:r>
        <w:t xml:space="preserve"> recurentă a apreciat că, raportat la prevederile Ordonanței de urgență a Guvernului nr. 52/2017, care reglementează procedura de restituire pe cale administrativă a sumelor reprezentând taxa specială pentru autoturisme </w:t>
      </w:r>
      <w:proofErr w:type="spellStart"/>
      <w:r>
        <w:t>şi</w:t>
      </w:r>
      <w:proofErr w:type="spellEnd"/>
      <w:r>
        <w:t xml:space="preserve"> autovehicule, taxa pe poluare pentru autovehicule, taxa pentru emisiile poluante provenite de la autovehicule </w:t>
      </w:r>
      <w:proofErr w:type="spellStart"/>
      <w:r>
        <w:t>şi</w:t>
      </w:r>
      <w:proofErr w:type="spellEnd"/>
      <w:r>
        <w:t xml:space="preserve"> timbrul de mediu pentru autovehicule, se impune ca </w:t>
      </w:r>
      <w:proofErr w:type="spellStart"/>
      <w:r>
        <w:t>instanţa</w:t>
      </w:r>
      <w:proofErr w:type="spellEnd"/>
      <w:r>
        <w:t xml:space="preserve"> să </w:t>
      </w:r>
      <w:proofErr w:type="spellStart"/>
      <w:r>
        <w:t>reţină</w:t>
      </w:r>
      <w:proofErr w:type="spellEnd"/>
      <w:r>
        <w:t xml:space="preserve"> ca rămasă fără obiect cererea reclamantului, care ar </w:t>
      </w:r>
      <w:proofErr w:type="spellStart"/>
      <w:r>
        <w:t>obţine</w:t>
      </w:r>
      <w:proofErr w:type="spellEnd"/>
      <w:r>
        <w:t xml:space="preserve"> </w:t>
      </w:r>
      <w:proofErr w:type="spellStart"/>
      <w:r>
        <w:t>aceleaşi</w:t>
      </w:r>
      <w:proofErr w:type="spellEnd"/>
      <w:r>
        <w:t xml:space="preserve"> beneficii oferite de actul normativ anterior – </w:t>
      </w:r>
      <w:proofErr w:type="spellStart"/>
      <w:r>
        <w:t>menţionat</w:t>
      </w:r>
      <w:proofErr w:type="spellEnd"/>
      <w:r>
        <w:t xml:space="preserve"> dacă s-ar adresa organului fiscal, evitând plata cheltuielilor de judecată.</w:t>
      </w:r>
    </w:p>
    <w:p w:rsidR="00877BBF" w:rsidRDefault="00877BBF" w:rsidP="00877BBF">
      <w:pPr>
        <w:ind w:firstLine="709"/>
        <w:jc w:val="both"/>
      </w:pPr>
      <w:r>
        <w:t>Recurenta a apreciat că existența unei proceduri legale de restituire a taxei achitate este de natură a conduce la casarea sentinței atacate.</w:t>
      </w:r>
    </w:p>
    <w:p w:rsidR="00877BBF" w:rsidRDefault="00877BBF" w:rsidP="00877BBF">
      <w:pPr>
        <w:ind w:firstLine="709"/>
        <w:jc w:val="both"/>
      </w:pPr>
      <w:r>
        <w:t xml:space="preserve">Referitor la plata cheltuielilor de judecată, a </w:t>
      </w:r>
      <w:proofErr w:type="spellStart"/>
      <w:r>
        <w:t>susţinut</w:t>
      </w:r>
      <w:proofErr w:type="spellEnd"/>
      <w:r>
        <w:t xml:space="preserve"> că nu le datorează, deoarece nu se află în culpă procesuală, actele contestate fiind temeinic </w:t>
      </w:r>
      <w:proofErr w:type="spellStart"/>
      <w:r>
        <w:t>şi</w:t>
      </w:r>
      <w:proofErr w:type="spellEnd"/>
      <w:r>
        <w:t xml:space="preserve"> legal întocmite.</w:t>
      </w:r>
    </w:p>
    <w:p w:rsidR="00877BBF" w:rsidRDefault="00877BBF" w:rsidP="00877BBF">
      <w:pPr>
        <w:ind w:firstLine="709"/>
        <w:jc w:val="both"/>
      </w:pPr>
      <w:r>
        <w:t xml:space="preserve">Totodată, recurenta a solicitat reducerea onorariul de avocat, conform prevederilor art. 451 alin. (2) din Codul de procedură civilă, </w:t>
      </w:r>
      <w:proofErr w:type="spellStart"/>
      <w:r>
        <w:t>ţinând</w:t>
      </w:r>
      <w:proofErr w:type="spellEnd"/>
      <w:r>
        <w:t xml:space="preserve"> cont de faptul că la stabilirea cuantumului cheltuielilor de judecată cuvenite se impune a se </w:t>
      </w:r>
      <w:proofErr w:type="spellStart"/>
      <w:r>
        <w:t>ţine</w:t>
      </w:r>
      <w:proofErr w:type="spellEnd"/>
      <w:r>
        <w:t xml:space="preserve"> seama de gradul de complexitate al </w:t>
      </w:r>
      <w:proofErr w:type="spellStart"/>
      <w:r>
        <w:t>speţei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efortul concret al avocatului reclamantului.</w:t>
      </w:r>
    </w:p>
    <w:p w:rsidR="00877BBF" w:rsidRDefault="00877BBF" w:rsidP="00877BBF">
      <w:pPr>
        <w:ind w:firstLine="709"/>
        <w:jc w:val="both"/>
      </w:pPr>
      <w:r>
        <w:t xml:space="preserve">În acest sens, a făcut trimitere la Decizia </w:t>
      </w:r>
      <w:proofErr w:type="spellStart"/>
      <w:r>
        <w:t>Curţii</w:t>
      </w:r>
      <w:proofErr w:type="spellEnd"/>
      <w:r>
        <w:t xml:space="preserve"> </w:t>
      </w:r>
      <w:proofErr w:type="spellStart"/>
      <w:r>
        <w:t>Constituţionale</w:t>
      </w:r>
      <w:proofErr w:type="spellEnd"/>
      <w:r>
        <w:t xml:space="preserve"> nr. 401/14.07.2005, prin care aceasta a </w:t>
      </w:r>
      <w:proofErr w:type="spellStart"/>
      <w:r>
        <w:t>reţinut</w:t>
      </w:r>
      <w:proofErr w:type="spellEnd"/>
      <w:r>
        <w:t xml:space="preserve"> că prerogativa </w:t>
      </w:r>
      <w:proofErr w:type="spellStart"/>
      <w:r>
        <w:t>instanţei</w:t>
      </w:r>
      <w:proofErr w:type="spellEnd"/>
      <w:r>
        <w:t xml:space="preserve"> de a cenzura, cu prilejul stabilirii cheltuielilor de judecată, cuantumul onorariului </w:t>
      </w:r>
      <w:proofErr w:type="spellStart"/>
      <w:r>
        <w:t>avocaţial</w:t>
      </w:r>
      <w:proofErr w:type="spellEnd"/>
      <w:r>
        <w:t xml:space="preserve"> convenit, prin prisma </w:t>
      </w:r>
      <w:proofErr w:type="spellStart"/>
      <w:r>
        <w:t>proporţionalităţii</w:t>
      </w:r>
      <w:proofErr w:type="spellEnd"/>
      <w:r>
        <w:t xml:space="preserve"> sale cu amplitudinea </w:t>
      </w:r>
      <w:proofErr w:type="spellStart"/>
      <w:r>
        <w:t>şi</w:t>
      </w:r>
      <w:proofErr w:type="spellEnd"/>
      <w:r>
        <w:t xml:space="preserve"> complexitatea </w:t>
      </w:r>
      <w:proofErr w:type="spellStart"/>
      <w:r>
        <w:t>activităţii</w:t>
      </w:r>
      <w:proofErr w:type="spellEnd"/>
      <w:r>
        <w:t xml:space="preserve"> deduse, este cu atât mai necesară cu cât respectivul onorariu, convertit în cheltuieli de judecată, urmează a fi suportat de partea potrivnică, dacă a căzut în </w:t>
      </w:r>
      <w:proofErr w:type="spellStart"/>
      <w:r>
        <w:t>pretenţii</w:t>
      </w:r>
      <w:proofErr w:type="spellEnd"/>
      <w:r>
        <w:t>.</w:t>
      </w:r>
    </w:p>
    <w:p w:rsidR="00877BBF" w:rsidRDefault="00877BBF" w:rsidP="00877BBF">
      <w:pPr>
        <w:ind w:firstLine="709"/>
        <w:jc w:val="both"/>
      </w:pPr>
      <w:r>
        <w:t xml:space="preserve">De asemenea, Curtea Europeană a Drepturilor Omului, învestită fiind cu </w:t>
      </w:r>
      <w:proofErr w:type="spellStart"/>
      <w:r>
        <w:t>soluţionarea</w:t>
      </w:r>
      <w:proofErr w:type="spellEnd"/>
      <w:r>
        <w:t xml:space="preserve"> </w:t>
      </w:r>
      <w:proofErr w:type="spellStart"/>
      <w:r>
        <w:t>pretenţiilor</w:t>
      </w:r>
      <w:proofErr w:type="spellEnd"/>
      <w:r>
        <w:t xml:space="preserve"> la rambursarea cheltuielilor de judecată, în care sunt cuprinse </w:t>
      </w:r>
      <w:proofErr w:type="spellStart"/>
      <w:r>
        <w:t>şi</w:t>
      </w:r>
      <w:proofErr w:type="spellEnd"/>
      <w:r>
        <w:t xml:space="preserve"> onorariile </w:t>
      </w:r>
      <w:proofErr w:type="spellStart"/>
      <w:r>
        <w:t>avocaţiale</w:t>
      </w:r>
      <w:proofErr w:type="spellEnd"/>
      <w:r>
        <w:t xml:space="preserve">, a statuat că acestea urmează a fi recuperate numai în măsura în care constituie cheltuieli necesare, care au fost în mod real făcute, în limita unui cuantum rezonabil. </w:t>
      </w:r>
    </w:p>
    <w:p w:rsidR="00877BBF" w:rsidRDefault="00877BBF" w:rsidP="00877BBF">
      <w:pPr>
        <w:ind w:firstLine="709"/>
        <w:jc w:val="both"/>
      </w:pPr>
      <w:r>
        <w:t xml:space="preserve">Prin nota de concluzii scrise formulată, intimatul a solicitat respingerea recursului </w:t>
      </w:r>
      <w:proofErr w:type="spellStart"/>
      <w:r>
        <w:t>şi</w:t>
      </w:r>
      <w:proofErr w:type="spellEnd"/>
      <w:r>
        <w:t xml:space="preserve"> acordarea cheltuielilor de judecată efectuate în recurs.</w:t>
      </w:r>
    </w:p>
    <w:p w:rsidR="00877BBF" w:rsidRDefault="00877BBF" w:rsidP="00877BBF">
      <w:pPr>
        <w:jc w:val="both"/>
      </w:pPr>
    </w:p>
    <w:p w:rsidR="00877BBF" w:rsidRDefault="00877BBF" w:rsidP="00877BBF">
      <w:pPr>
        <w:ind w:firstLine="709"/>
        <w:jc w:val="both"/>
      </w:pPr>
      <w:r>
        <w:t>Analizând prezentul recurs prin prisma motivelor de nelegalitate invocate, Curtea de Apel reține următoarele:</w:t>
      </w:r>
    </w:p>
    <w:p w:rsidR="00877BBF" w:rsidRDefault="00877BBF" w:rsidP="00877BBF">
      <w:pPr>
        <w:ind w:firstLine="709"/>
        <w:jc w:val="both"/>
      </w:pPr>
      <w:r>
        <w:t xml:space="preserve">Prin cererea de recurs nu se contestă faptul că organul fiscal are obligația de a restitui sumele de bani pe care le-a perceput cu încălcarea dreptului Uniunii Europene și a jurisprudenței Curții de Justiție a Uniunii Europene, ci se critică împrejurarea că instanța de </w:t>
      </w:r>
      <w:r w:rsidR="003212B1">
        <w:t>...</w:t>
      </w:r>
      <w:r>
        <w:t xml:space="preserve"> nu a sancționat </w:t>
      </w:r>
      <w:proofErr w:type="spellStart"/>
      <w:r>
        <w:t>neurmarea</w:t>
      </w:r>
      <w:proofErr w:type="spellEnd"/>
      <w:r>
        <w:t xml:space="preserve"> de către reclamant a procedurii de restituire reglementate de Ordonanța de urgență a Guvernului nr. 52/2017.</w:t>
      </w:r>
    </w:p>
    <w:p w:rsidR="00877BBF" w:rsidRDefault="00877BBF" w:rsidP="00877BBF">
      <w:pPr>
        <w:ind w:firstLine="709"/>
        <w:jc w:val="both"/>
      </w:pPr>
      <w:r>
        <w:t xml:space="preserve">Instanța de recurs reține faptul că demersul judiciar al reclamantului a fost determinat de refuzul organului fiscal de a-i restitui timbrul de mediu, refuz manifestat prin raportare la prevederile legale aflate în vigoare anterior adoptării Ordonanței de urgență a Guvernului nr. 52/2017. Dispozițiile ordonanței de urgență la care s-a făcut referire în cererea de recurs nu sunt incidente în prezenta cauză deoarece au intrat în vigoare ulterior datei la care reclamantul a sesizat instanța de </w:t>
      </w:r>
      <w:r w:rsidR="003212B1">
        <w:t>...</w:t>
      </w:r>
      <w:r>
        <w:t xml:space="preserve"> </w:t>
      </w:r>
      <w:proofErr w:type="spellStart"/>
      <w:r>
        <w:t>şi</w:t>
      </w:r>
      <w:proofErr w:type="spellEnd"/>
      <w:r>
        <w:t xml:space="preserve">, îndeosebi, ulterior manifestării refuzului recurentei de restituire a taxei. Or, legalitatea </w:t>
      </w:r>
      <w:proofErr w:type="spellStart"/>
      <w:r>
        <w:t>şi</w:t>
      </w:r>
      <w:proofErr w:type="spellEnd"/>
      <w:r>
        <w:t xml:space="preserve"> temeinicia unui act administrativ tipic sau asimilat nu poate fi raportată decât la prevederile legale în vigoare la momentul emiterii acestuia. </w:t>
      </w:r>
    </w:p>
    <w:p w:rsidR="00877BBF" w:rsidRDefault="00877BBF" w:rsidP="00877BBF">
      <w:pPr>
        <w:ind w:firstLine="709"/>
        <w:jc w:val="both"/>
      </w:pPr>
      <w:r>
        <w:t xml:space="preserve">Curtea de Apel mai reține, raportat la situația reclamantului, că procedura instituită prin actul normativ menționat nu este de natură a asigura protecția efectivă a drepturilor conferite acestuia de dreptul Uniunii Europene </w:t>
      </w:r>
      <w:proofErr w:type="spellStart"/>
      <w:r>
        <w:t>şi</w:t>
      </w:r>
      <w:proofErr w:type="spellEnd"/>
      <w:r>
        <w:t xml:space="preserve">, îndeosebi, dreptul la un proces echitabil din perspectiva </w:t>
      </w:r>
      <w:proofErr w:type="spellStart"/>
      <w:r>
        <w:lastRenderedPageBreak/>
        <w:t>securităţii</w:t>
      </w:r>
      <w:proofErr w:type="spellEnd"/>
      <w:r>
        <w:t xml:space="preserve"> raporturilor juridice întrucât ceea ce </w:t>
      </w:r>
      <w:proofErr w:type="spellStart"/>
      <w:r>
        <w:t>urmăreşte</w:t>
      </w:r>
      <w:proofErr w:type="spellEnd"/>
      <w:r>
        <w:t xml:space="preserve"> recurenta este respingerea cererii de chemare în judecată, ca inadmisibilă, în baza unei prevederi legale care nu era în vigoare la data sesizării </w:t>
      </w:r>
      <w:proofErr w:type="spellStart"/>
      <w:r>
        <w:t>instanţei</w:t>
      </w:r>
      <w:proofErr w:type="spellEnd"/>
      <w:r>
        <w:t xml:space="preserve">, cu </w:t>
      </w:r>
      <w:proofErr w:type="spellStart"/>
      <w:r>
        <w:t>consecinţa</w:t>
      </w:r>
      <w:proofErr w:type="spellEnd"/>
      <w:r>
        <w:t xml:space="preserve"> previzibilă a obligării </w:t>
      </w:r>
      <w:proofErr w:type="spellStart"/>
      <w:r>
        <w:t>părţii</w:t>
      </w:r>
      <w:proofErr w:type="spellEnd"/>
      <w:r>
        <w:t xml:space="preserve"> la urmarea unui nou proces administrativ fiscal, conform acestei noi reglementări.</w:t>
      </w:r>
    </w:p>
    <w:p w:rsidR="00877BBF" w:rsidRDefault="00877BBF" w:rsidP="00877BBF">
      <w:pPr>
        <w:ind w:firstLine="709"/>
        <w:jc w:val="both"/>
      </w:pPr>
      <w:r>
        <w:t xml:space="preserve">Curtea de Apel reține că neretroactivitatea legii reprezintă o </w:t>
      </w:r>
      <w:proofErr w:type="spellStart"/>
      <w:r>
        <w:t>garanţie</w:t>
      </w:r>
      <w:proofErr w:type="spellEnd"/>
      <w:r>
        <w:t xml:space="preserve"> a respectării </w:t>
      </w:r>
      <w:proofErr w:type="spellStart"/>
      <w:r>
        <w:t>securităţii</w:t>
      </w:r>
      <w:proofErr w:type="spellEnd"/>
      <w:r>
        <w:t xml:space="preserve"> juridice și că nerespectarea </w:t>
      </w:r>
      <w:proofErr w:type="spellStart"/>
      <w:r>
        <w:t>situaţiilor</w:t>
      </w:r>
      <w:proofErr w:type="spellEnd"/>
      <w:r>
        <w:t xml:space="preserve"> juridice născute sub legea veche ar crea un climat de insecuritate </w:t>
      </w:r>
      <w:proofErr w:type="spellStart"/>
      <w:r>
        <w:t>şi</w:t>
      </w:r>
      <w:proofErr w:type="spellEnd"/>
      <w:r>
        <w:t xml:space="preserve"> instabilitate a circuitului civil. Cu titlu de exemplu, Curtea de Apel </w:t>
      </w:r>
      <w:proofErr w:type="spellStart"/>
      <w:r>
        <w:t>aminteşte</w:t>
      </w:r>
      <w:proofErr w:type="spellEnd"/>
      <w:r>
        <w:t xml:space="preserve"> că în cauza </w:t>
      </w:r>
      <w:proofErr w:type="spellStart"/>
      <w:r>
        <w:t>Zielinski</w:t>
      </w:r>
      <w:proofErr w:type="spellEnd"/>
      <w:r>
        <w:t xml:space="preserve">, </w:t>
      </w:r>
      <w:proofErr w:type="spellStart"/>
      <w:r>
        <w:t>Pradal</w:t>
      </w:r>
      <w:proofErr w:type="spellEnd"/>
      <w:r>
        <w:t xml:space="preserve"> </w:t>
      </w:r>
      <w:proofErr w:type="spellStart"/>
      <w:r>
        <w:t>ş.a</w:t>
      </w:r>
      <w:proofErr w:type="spellEnd"/>
      <w:r>
        <w:t xml:space="preserve">. c. </w:t>
      </w:r>
      <w:proofErr w:type="spellStart"/>
      <w:r>
        <w:t>Franţei</w:t>
      </w:r>
      <w:proofErr w:type="spellEnd"/>
      <w:r>
        <w:t xml:space="preserve"> Curtea Europeană a Drepturilor Omului a constat încălcarea art. 6 din Convenția europeană a drepturilor omului, având în vedere că promulgarea unei norme interpretative, cu efect retroactiv, de la data </w:t>
      </w:r>
      <w:proofErr w:type="spellStart"/>
      <w:r>
        <w:t>naşterii</w:t>
      </w:r>
      <w:proofErr w:type="spellEnd"/>
      <w:r>
        <w:t xml:space="preserve"> dreptului subiectiv în </w:t>
      </w:r>
      <w:proofErr w:type="spellStart"/>
      <w:r>
        <w:t>discuţie</w:t>
      </w:r>
      <w:proofErr w:type="spellEnd"/>
      <w:r>
        <w:t xml:space="preserve">, a </w:t>
      </w:r>
      <w:proofErr w:type="spellStart"/>
      <w:r>
        <w:t>influenţat</w:t>
      </w:r>
      <w:proofErr w:type="spellEnd"/>
      <w:r>
        <w:t xml:space="preserve"> în mod decisiv procedurile judiciare care se aflau în curs la data adoptării legii interpretative. Curtea a </w:t>
      </w:r>
      <w:proofErr w:type="spellStart"/>
      <w:r>
        <w:t>sancţionat</w:t>
      </w:r>
      <w:proofErr w:type="spellEnd"/>
      <w:r>
        <w:t xml:space="preserve">, de fapt, </w:t>
      </w:r>
      <w:proofErr w:type="spellStart"/>
      <w:r>
        <w:t>intervenţia</w:t>
      </w:r>
      <w:proofErr w:type="spellEnd"/>
      <w:r>
        <w:t xml:space="preserve"> puterii legislative în </w:t>
      </w:r>
      <w:proofErr w:type="spellStart"/>
      <w:r>
        <w:t>desfăşurarea</w:t>
      </w:r>
      <w:proofErr w:type="spellEnd"/>
      <w:r>
        <w:t xml:space="preserve"> actului de </w:t>
      </w:r>
      <w:proofErr w:type="spellStart"/>
      <w:r>
        <w:t>justiţie</w:t>
      </w:r>
      <w:proofErr w:type="spellEnd"/>
      <w:r>
        <w:t xml:space="preserve"> cu </w:t>
      </w:r>
      <w:proofErr w:type="spellStart"/>
      <w:r>
        <w:t>consecinţa</w:t>
      </w:r>
      <w:proofErr w:type="spellEnd"/>
      <w:r>
        <w:t xml:space="preserve"> </w:t>
      </w:r>
      <w:proofErr w:type="spellStart"/>
      <w:r>
        <w:t>influenţării</w:t>
      </w:r>
      <w:proofErr w:type="spellEnd"/>
      <w:r>
        <w:t xml:space="preserve"> </w:t>
      </w:r>
      <w:proofErr w:type="spellStart"/>
      <w:r>
        <w:t>soluţiei</w:t>
      </w:r>
      <w:proofErr w:type="spellEnd"/>
      <w:r>
        <w:t xml:space="preserve"> litigiului în favoarea pârâtului, respectiv a </w:t>
      </w:r>
      <w:proofErr w:type="spellStart"/>
      <w:r>
        <w:t>autorităţii</w:t>
      </w:r>
      <w:proofErr w:type="spellEnd"/>
      <w:r>
        <w:t xml:space="preserve"> de stat. </w:t>
      </w:r>
    </w:p>
    <w:p w:rsidR="00877BBF" w:rsidRDefault="00877BBF" w:rsidP="00877BBF">
      <w:pPr>
        <w:ind w:firstLine="709"/>
        <w:jc w:val="both"/>
      </w:pPr>
      <w:proofErr w:type="spellStart"/>
      <w:r>
        <w:t>Reţinând</w:t>
      </w:r>
      <w:proofErr w:type="spellEnd"/>
      <w:r>
        <w:t xml:space="preserve"> incompatibilitatea timbrului de mediu aplicat reclamantului cu prevederile art. 110 din Tratatul privind </w:t>
      </w:r>
      <w:proofErr w:type="spellStart"/>
      <w:r>
        <w:t>Funcţionarea</w:t>
      </w:r>
      <w:proofErr w:type="spellEnd"/>
      <w:r>
        <w:t xml:space="preserve"> Uniunii Europene, incompatibilitate necontestată în recurs, Curtea de Apel consideră că este judicioasă soluția de admitere a cererii de restituire a sumei achitate cu acest titlu, în vederea reparării prejudiciului cauzat prin încălcarea normelor de drept comunitar. Prezenta </w:t>
      </w:r>
      <w:proofErr w:type="spellStart"/>
      <w:r>
        <w:t>soluţie</w:t>
      </w:r>
      <w:proofErr w:type="spellEnd"/>
      <w:r>
        <w:t xml:space="preserve"> se impune pentru </w:t>
      </w:r>
      <w:proofErr w:type="spellStart"/>
      <w:r>
        <w:t>sancţionarea</w:t>
      </w:r>
      <w:proofErr w:type="spellEnd"/>
      <w:r>
        <w:t xml:space="preserve"> comportamentului recurentei chiar de la momentul refuzului de restituire, manifestare de </w:t>
      </w:r>
      <w:proofErr w:type="spellStart"/>
      <w:r>
        <w:t>voinţă</w:t>
      </w:r>
      <w:proofErr w:type="spellEnd"/>
      <w:r>
        <w:t xml:space="preserve"> concordantă cu prevederile </w:t>
      </w:r>
      <w:proofErr w:type="spellStart"/>
      <w:r>
        <w:t>naţionale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practica administrativă de la acel moment.</w:t>
      </w:r>
    </w:p>
    <w:p w:rsidR="00877BBF" w:rsidRDefault="00877BBF" w:rsidP="00877BBF">
      <w:pPr>
        <w:ind w:firstLine="709"/>
        <w:jc w:val="both"/>
      </w:pPr>
      <w:r>
        <w:t xml:space="preserve">Cu privire la acordarea dobânzilor, Curtea de Apel constată că apărările recurentei sunt neîntemeiate, având în vedere că la 18.04.2013, Curtea de Justiție a Uniunii Europene a </w:t>
      </w:r>
      <w:proofErr w:type="spellStart"/>
      <w:r>
        <w:t>pronunţat</w:t>
      </w:r>
      <w:proofErr w:type="spellEnd"/>
      <w:r>
        <w:t xml:space="preserve"> hotărârea în cauza C-565/11, Mariana Irimie împotriva </w:t>
      </w:r>
      <w:proofErr w:type="spellStart"/>
      <w:r>
        <w:t>Administraţiei</w:t>
      </w:r>
      <w:proofErr w:type="spellEnd"/>
      <w:r>
        <w:t xml:space="preserve"> </w:t>
      </w:r>
      <w:proofErr w:type="spellStart"/>
      <w:r>
        <w:t>Finanţelor</w:t>
      </w:r>
      <w:proofErr w:type="spellEnd"/>
      <w:r>
        <w:t xml:space="preserve"> Publice Sibiu, în care s-a stabilit că „dreptul Uniunii se opune unui regim </w:t>
      </w:r>
      <w:proofErr w:type="spellStart"/>
      <w:r>
        <w:t>naţional</w:t>
      </w:r>
      <w:proofErr w:type="spellEnd"/>
      <w:r>
        <w:t xml:space="preserve"> care limitează dobânzile acordate cu ocazia restituirii unei taxe percepute cu încălcarea dreptului Uniunii la cele care curg din ziua care urmează datei formulării cererii”.</w:t>
      </w:r>
    </w:p>
    <w:p w:rsidR="00877BBF" w:rsidRDefault="00877BBF" w:rsidP="00877BBF">
      <w:pPr>
        <w:ind w:firstLine="709"/>
        <w:jc w:val="both"/>
      </w:pPr>
      <w:r>
        <w:t xml:space="preserve">Pe cale de </w:t>
      </w:r>
      <w:proofErr w:type="spellStart"/>
      <w:r>
        <w:t>consecinţă</w:t>
      </w:r>
      <w:proofErr w:type="spellEnd"/>
      <w:r>
        <w:t xml:space="preserve">, Curtea de Apel va </w:t>
      </w:r>
      <w:proofErr w:type="spellStart"/>
      <w:r>
        <w:t>reţine</w:t>
      </w:r>
      <w:proofErr w:type="spellEnd"/>
      <w:r>
        <w:t xml:space="preserve"> că în mod corect prima instanță a apreciat că pe lângă dreptul la restituirea sumelor achitate cu titlu de timbru de mediu, se </w:t>
      </w:r>
      <w:proofErr w:type="spellStart"/>
      <w:r>
        <w:t>recunoaşte</w:t>
      </w:r>
      <w:proofErr w:type="spellEnd"/>
      <w:r>
        <w:t xml:space="preserve"> în patrimoniul reclamantului inclusiv un drept de acordare a dobânzii fiscale, care va fi calculată de la data de data </w:t>
      </w:r>
      <w:proofErr w:type="spellStart"/>
      <w:r>
        <w:t>plăţii</w:t>
      </w:r>
      <w:proofErr w:type="spellEnd"/>
      <w:r>
        <w:t xml:space="preserve"> taxei, până la efectiva restituire.</w:t>
      </w:r>
    </w:p>
    <w:p w:rsidR="00877BBF" w:rsidRDefault="00877BBF" w:rsidP="00877BBF">
      <w:pPr>
        <w:ind w:firstLine="709"/>
        <w:jc w:val="both"/>
      </w:pPr>
      <w:r>
        <w:t>În ceea ce privește modalitatea de soluționare a capătului de cerere având ca obiect acordarea cheltuielilor de judecată, Curtea de Apel reține că prima instanță a făcut o corectă aplicare a prevederilor art. 451 din Codul de procedură civilă, în sensul că admiterea pretențiilor principale ale reclamantului – intimat atrage și culpa procesuală a autorității recurente pârâte, cu consecința firească a acoperirii prejudiciului produs prin introducerea acțiunii.</w:t>
      </w:r>
    </w:p>
    <w:p w:rsidR="00877BBF" w:rsidRDefault="00877BBF" w:rsidP="00877BBF">
      <w:pPr>
        <w:ind w:firstLine="709"/>
        <w:jc w:val="both"/>
      </w:pPr>
      <w:r>
        <w:t xml:space="preserve">Drept urmare, în temeiul </w:t>
      </w:r>
      <w:proofErr w:type="spellStart"/>
      <w:r>
        <w:t>dispoziţiilor</w:t>
      </w:r>
      <w:proofErr w:type="spellEnd"/>
      <w:r>
        <w:t xml:space="preserve"> art. 496 din Codul de procedură civilă, Curtea de Apel va respinge recursul declarat de către pârâtă, care rămâne singura răspunzătoare de </w:t>
      </w:r>
      <w:proofErr w:type="spellStart"/>
      <w:r>
        <w:t>consecinţele</w:t>
      </w:r>
      <w:proofErr w:type="spellEnd"/>
      <w:r>
        <w:t xml:space="preserve"> ce au decurs din faptul perceperii unei taxe de natură fiscală care a fost găsită a fi contrară dreptului comunitar de către Curtea de </w:t>
      </w:r>
      <w:proofErr w:type="spellStart"/>
      <w:r>
        <w:t>Justiţie</w:t>
      </w:r>
      <w:proofErr w:type="spellEnd"/>
      <w:r>
        <w:t xml:space="preserve"> a Uniunii Europene prin hotărâri cărora organele Ministerului </w:t>
      </w:r>
      <w:proofErr w:type="spellStart"/>
      <w:r>
        <w:t>Finanţelor</w:t>
      </w:r>
      <w:proofErr w:type="spellEnd"/>
      <w:r>
        <w:t xml:space="preserve"> Publice nu le-au dat imediat </w:t>
      </w:r>
      <w:proofErr w:type="spellStart"/>
      <w:r>
        <w:t>eficienţa</w:t>
      </w:r>
      <w:proofErr w:type="spellEnd"/>
      <w:r>
        <w:t xml:space="preserve"> cuvenită, </w:t>
      </w:r>
      <w:proofErr w:type="spellStart"/>
      <w:r>
        <w:t>permiţând</w:t>
      </w:r>
      <w:proofErr w:type="spellEnd"/>
      <w:r>
        <w:t xml:space="preserve"> </w:t>
      </w:r>
      <w:proofErr w:type="spellStart"/>
      <w:r>
        <w:t>declanşarea</w:t>
      </w:r>
      <w:proofErr w:type="spellEnd"/>
      <w:r>
        <w:t xml:space="preserve"> prezentului litigiu.</w:t>
      </w:r>
    </w:p>
    <w:p w:rsidR="00877BBF" w:rsidRDefault="00877BBF" w:rsidP="00877BBF">
      <w:pPr>
        <w:ind w:firstLine="709"/>
        <w:jc w:val="both"/>
      </w:pPr>
      <w:r>
        <w:rPr>
          <w:lang w:eastAsia="en-US"/>
        </w:rPr>
        <w:t xml:space="preserve">Având în vedere dispozițiile art. 453 din Codul de procedură civilă, Curtea de Apel va obliga recurenta să plătească intimatului – reclamant suma de </w:t>
      </w:r>
      <w:r w:rsidR="009F4825">
        <w:rPr>
          <w:lang w:eastAsia="en-US"/>
        </w:rPr>
        <w:t>2</w:t>
      </w:r>
      <w:r w:rsidR="009F4825">
        <w:t>50</w:t>
      </w:r>
      <w:r>
        <w:t xml:space="preserve"> lei, cu titlu de cheltuieli de judecată.</w:t>
      </w:r>
    </w:p>
    <w:p w:rsidR="00877BBF" w:rsidRDefault="00877BBF" w:rsidP="00877BBF">
      <w:pPr>
        <w:jc w:val="both"/>
      </w:pPr>
    </w:p>
    <w:p w:rsidR="00877BBF" w:rsidRDefault="00877BBF" w:rsidP="00877BBF">
      <w:pPr>
        <w:ind w:firstLine="708"/>
        <w:jc w:val="center"/>
      </w:pPr>
      <w:r>
        <w:t>Pentru aceste motive,</w:t>
      </w:r>
    </w:p>
    <w:p w:rsidR="00877BBF" w:rsidRDefault="00877BBF" w:rsidP="00877BBF">
      <w:pPr>
        <w:ind w:firstLine="708"/>
        <w:jc w:val="center"/>
      </w:pPr>
      <w:r>
        <w:t>În numele legii,</w:t>
      </w:r>
    </w:p>
    <w:p w:rsidR="00877BBF" w:rsidRDefault="00877BBF" w:rsidP="00877BBF">
      <w:pPr>
        <w:ind w:firstLine="708"/>
        <w:jc w:val="center"/>
      </w:pPr>
      <w:r>
        <w:t>Decide:</w:t>
      </w:r>
    </w:p>
    <w:p w:rsidR="00877BBF" w:rsidRDefault="00877BBF" w:rsidP="00877BBF">
      <w:pPr>
        <w:ind w:firstLine="708"/>
        <w:jc w:val="center"/>
      </w:pPr>
    </w:p>
    <w:p w:rsidR="009F4825" w:rsidRDefault="009F4825" w:rsidP="009F4825">
      <w:pPr>
        <w:ind w:firstLine="708"/>
        <w:jc w:val="both"/>
      </w:pPr>
      <w:r>
        <w:t xml:space="preserve">Respinge, ca neîntemeiat, recursul declarat de </w:t>
      </w:r>
      <w:proofErr w:type="spellStart"/>
      <w:r>
        <w:t>Administraţia</w:t>
      </w:r>
      <w:proofErr w:type="spellEnd"/>
      <w:r>
        <w:t xml:space="preserve"> </w:t>
      </w:r>
      <w:proofErr w:type="spellStart"/>
      <w:r>
        <w:t>Judeţeană</w:t>
      </w:r>
      <w:proofErr w:type="spellEnd"/>
      <w:r>
        <w:t xml:space="preserve"> a </w:t>
      </w:r>
      <w:proofErr w:type="spellStart"/>
      <w:r>
        <w:t>Finanţelor</w:t>
      </w:r>
      <w:proofErr w:type="spellEnd"/>
      <w:r>
        <w:t xml:space="preserve"> Publice </w:t>
      </w:r>
      <w:r w:rsidR="003212B1">
        <w:t>...</w:t>
      </w:r>
      <w:r>
        <w:t xml:space="preserve"> împotriva </w:t>
      </w:r>
      <w:proofErr w:type="spellStart"/>
      <w:r>
        <w:t>sentinţei</w:t>
      </w:r>
      <w:proofErr w:type="spellEnd"/>
      <w:r>
        <w:t xml:space="preserve"> nr. </w:t>
      </w:r>
      <w:r w:rsidR="003212B1">
        <w:t>S1</w:t>
      </w:r>
      <w:r>
        <w:t xml:space="preserve"> a Tribunalului </w:t>
      </w:r>
      <w:r w:rsidR="003212B1">
        <w:t>...</w:t>
      </w:r>
      <w:r>
        <w:t xml:space="preserve">, </w:t>
      </w:r>
      <w:proofErr w:type="spellStart"/>
      <w:r>
        <w:t>sentinţă</w:t>
      </w:r>
      <w:proofErr w:type="spellEnd"/>
      <w:r>
        <w:t xml:space="preserve"> pe care o </w:t>
      </w:r>
      <w:proofErr w:type="spellStart"/>
      <w:r>
        <w:t>menţine</w:t>
      </w:r>
      <w:proofErr w:type="spellEnd"/>
      <w:r>
        <w:t>.</w:t>
      </w:r>
    </w:p>
    <w:p w:rsidR="009F4825" w:rsidRDefault="009F4825" w:rsidP="009F4825">
      <w:pPr>
        <w:ind w:firstLine="708"/>
        <w:jc w:val="both"/>
      </w:pPr>
      <w:r>
        <w:lastRenderedPageBreak/>
        <w:t>Obligă pe recurentă să plătească reclamantului suma de 250 lei, cu titlu de cheltuieli de judecată.</w:t>
      </w:r>
    </w:p>
    <w:p w:rsidR="009F4825" w:rsidRDefault="009F4825" w:rsidP="009F4825">
      <w:pPr>
        <w:ind w:firstLine="708"/>
        <w:jc w:val="both"/>
      </w:pPr>
      <w:r>
        <w:t>Definitivă.</w:t>
      </w:r>
    </w:p>
    <w:p w:rsidR="00877BBF" w:rsidRDefault="009F4825" w:rsidP="009F4825">
      <w:pPr>
        <w:ind w:firstLine="708"/>
        <w:jc w:val="both"/>
      </w:pPr>
      <w:proofErr w:type="spellStart"/>
      <w:r>
        <w:t>Pronunţată</w:t>
      </w:r>
      <w:proofErr w:type="spellEnd"/>
      <w:r>
        <w:t xml:space="preserve"> în </w:t>
      </w:r>
      <w:proofErr w:type="spellStart"/>
      <w:r>
        <w:t>şedinţa</w:t>
      </w:r>
      <w:proofErr w:type="spellEnd"/>
      <w:r>
        <w:t xml:space="preserve"> publică din </w:t>
      </w:r>
      <w:r w:rsidR="003212B1">
        <w:t>..</w:t>
      </w:r>
      <w:r>
        <w:t>.</w:t>
      </w:r>
    </w:p>
    <w:p w:rsidR="009F4825" w:rsidRDefault="009F4825" w:rsidP="009F4825">
      <w:pPr>
        <w:ind w:firstLine="708"/>
        <w:jc w:val="both"/>
      </w:pPr>
    </w:p>
    <w:p w:rsidR="00877BBF" w:rsidRDefault="00877BBF" w:rsidP="00877BBF">
      <w:pPr>
        <w:ind w:firstLine="708"/>
        <w:jc w:val="both"/>
      </w:pPr>
      <w:proofErr w:type="spellStart"/>
      <w:r>
        <w:t>Preşedinte</w:t>
      </w:r>
      <w:proofErr w:type="spellEnd"/>
      <w:r>
        <w:t>,</w:t>
      </w:r>
      <w:r>
        <w:tab/>
      </w:r>
      <w:r>
        <w:tab/>
      </w:r>
      <w:r>
        <w:tab/>
        <w:t xml:space="preserve">            Judecător,</w:t>
      </w:r>
      <w:r>
        <w:tab/>
      </w:r>
      <w:r>
        <w:tab/>
        <w:t xml:space="preserve">                  Judecător,</w:t>
      </w:r>
    </w:p>
    <w:p w:rsidR="00877BBF" w:rsidRDefault="00877BBF" w:rsidP="00877B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3212B1">
        <w:rPr>
          <w:sz w:val="22"/>
          <w:szCs w:val="22"/>
        </w:rPr>
        <w:t xml:space="preserve">   COD 1015</w:t>
      </w:r>
      <w:r>
        <w:rPr>
          <w:sz w:val="22"/>
          <w:szCs w:val="22"/>
        </w:rPr>
        <w:t xml:space="preserve">                   </w:t>
      </w:r>
      <w:r w:rsidR="003212B1">
        <w:rPr>
          <w:sz w:val="22"/>
          <w:szCs w:val="22"/>
        </w:rPr>
        <w:t xml:space="preserve">                                  ...</w:t>
      </w:r>
      <w:r>
        <w:rPr>
          <w:sz w:val="22"/>
          <w:szCs w:val="22"/>
        </w:rPr>
        <w:t xml:space="preserve">             </w:t>
      </w:r>
      <w:r w:rsidR="003212B1">
        <w:rPr>
          <w:sz w:val="22"/>
          <w:szCs w:val="22"/>
        </w:rPr>
        <w:t xml:space="preserve">                                         </w:t>
      </w:r>
      <w:r>
        <w:rPr>
          <w:sz w:val="22"/>
          <w:szCs w:val="22"/>
        </w:rPr>
        <w:t xml:space="preserve"> </w:t>
      </w:r>
      <w:r w:rsidR="003212B1">
        <w:rPr>
          <w:sz w:val="22"/>
          <w:szCs w:val="22"/>
        </w:rPr>
        <w:t>...</w:t>
      </w:r>
      <w:r>
        <w:rPr>
          <w:sz w:val="22"/>
          <w:szCs w:val="22"/>
        </w:rPr>
        <w:t xml:space="preserve"> </w:t>
      </w:r>
    </w:p>
    <w:p w:rsidR="00877BBF" w:rsidRDefault="00877BBF" w:rsidP="00877BBF">
      <w:pPr>
        <w:jc w:val="both"/>
        <w:rPr>
          <w:sz w:val="22"/>
          <w:szCs w:val="22"/>
        </w:rPr>
      </w:pPr>
    </w:p>
    <w:p w:rsidR="00877BBF" w:rsidRDefault="00877BBF" w:rsidP="00877BBF">
      <w:pPr>
        <w:jc w:val="both"/>
        <w:rPr>
          <w:sz w:val="22"/>
          <w:szCs w:val="22"/>
        </w:rPr>
      </w:pPr>
    </w:p>
    <w:p w:rsidR="00877BBF" w:rsidRDefault="00877BBF" w:rsidP="00877BBF">
      <w:pPr>
        <w:jc w:val="both"/>
        <w:rPr>
          <w:sz w:val="22"/>
          <w:szCs w:val="22"/>
        </w:rPr>
      </w:pPr>
    </w:p>
    <w:p w:rsidR="00877BBF" w:rsidRDefault="00877BBF" w:rsidP="00877BBF">
      <w:r>
        <w:t xml:space="preserve">                                                                          Grefier,</w:t>
      </w:r>
    </w:p>
    <w:p w:rsidR="00877BBF" w:rsidRDefault="00877BBF" w:rsidP="00877BB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</w:t>
      </w:r>
      <w:r w:rsidR="003212B1">
        <w:rPr>
          <w:sz w:val="22"/>
          <w:szCs w:val="22"/>
        </w:rPr>
        <w:t>...</w:t>
      </w:r>
      <w:r>
        <w:rPr>
          <w:sz w:val="22"/>
          <w:szCs w:val="22"/>
        </w:rPr>
        <w:t xml:space="preserve"> </w:t>
      </w:r>
    </w:p>
    <w:p w:rsidR="00877BBF" w:rsidRDefault="00877BBF" w:rsidP="00877BBF">
      <w:pPr>
        <w:jc w:val="center"/>
        <w:rPr>
          <w:sz w:val="22"/>
          <w:szCs w:val="22"/>
        </w:rPr>
      </w:pPr>
    </w:p>
    <w:p w:rsidR="00877BBF" w:rsidRDefault="00877BBF" w:rsidP="00877BBF">
      <w:pPr>
        <w:jc w:val="center"/>
        <w:rPr>
          <w:sz w:val="22"/>
          <w:szCs w:val="22"/>
        </w:rPr>
      </w:pPr>
    </w:p>
    <w:p w:rsidR="00877BBF" w:rsidRDefault="00877BBF" w:rsidP="00877BBF">
      <w:pPr>
        <w:jc w:val="center"/>
        <w:rPr>
          <w:sz w:val="22"/>
          <w:szCs w:val="22"/>
        </w:rPr>
      </w:pPr>
    </w:p>
    <w:p w:rsidR="00877BBF" w:rsidRDefault="00877BBF" w:rsidP="00877BBF">
      <w:pPr>
        <w:jc w:val="center"/>
        <w:rPr>
          <w:sz w:val="22"/>
          <w:szCs w:val="22"/>
        </w:rPr>
      </w:pPr>
      <w:bookmarkStart w:id="0" w:name="_GoBack"/>
      <w:bookmarkEnd w:id="0"/>
    </w:p>
    <w:sectPr w:rsidR="00877BBF" w:rsidSect="009F4825">
      <w:footerReference w:type="default" r:id="rId7"/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A0A" w:rsidRDefault="00C10A0A" w:rsidP="00877BBF">
      <w:r>
        <w:separator/>
      </w:r>
    </w:p>
  </w:endnote>
  <w:endnote w:type="continuationSeparator" w:id="0">
    <w:p w:rsidR="00C10A0A" w:rsidRDefault="00C10A0A" w:rsidP="0087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825" w:rsidRDefault="009F4825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3212B1">
      <w:rPr>
        <w:noProof/>
      </w:rPr>
      <w:t>4</w:t>
    </w:r>
    <w:r>
      <w:fldChar w:fldCharType="end"/>
    </w:r>
  </w:p>
  <w:p w:rsidR="009F4825" w:rsidRDefault="009F4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A0A" w:rsidRDefault="00C10A0A" w:rsidP="00877BBF">
      <w:r>
        <w:separator/>
      </w:r>
    </w:p>
  </w:footnote>
  <w:footnote w:type="continuationSeparator" w:id="0">
    <w:p w:rsidR="00C10A0A" w:rsidRDefault="00C10A0A" w:rsidP="00877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26.48.53:80/ecris_cdms/document_upload.aspx?id_document=4500000000714474&amp;id_departament=15&amp;id_sesiune=535738&amp;id_user=174&amp;id_institutie=45&amp;actiune=modifica"/>
  </w:docVars>
  <w:rsids>
    <w:rsidRoot w:val="00090D1C"/>
    <w:rsid w:val="000654FD"/>
    <w:rsid w:val="00074F1D"/>
    <w:rsid w:val="00084103"/>
    <w:rsid w:val="00090D1C"/>
    <w:rsid w:val="00190DF5"/>
    <w:rsid w:val="00230098"/>
    <w:rsid w:val="00236F8B"/>
    <w:rsid w:val="00310770"/>
    <w:rsid w:val="003212B1"/>
    <w:rsid w:val="003676FC"/>
    <w:rsid w:val="003E7F15"/>
    <w:rsid w:val="00434264"/>
    <w:rsid w:val="004362D5"/>
    <w:rsid w:val="00444EB7"/>
    <w:rsid w:val="00483536"/>
    <w:rsid w:val="00526C21"/>
    <w:rsid w:val="005E0080"/>
    <w:rsid w:val="007B32DB"/>
    <w:rsid w:val="00820C7E"/>
    <w:rsid w:val="00877BBF"/>
    <w:rsid w:val="008D6F98"/>
    <w:rsid w:val="00902C7A"/>
    <w:rsid w:val="00982CB8"/>
    <w:rsid w:val="009847E9"/>
    <w:rsid w:val="009876B0"/>
    <w:rsid w:val="009A0D5A"/>
    <w:rsid w:val="009B7961"/>
    <w:rsid w:val="009F4825"/>
    <w:rsid w:val="00A56F73"/>
    <w:rsid w:val="00A74B82"/>
    <w:rsid w:val="00B27664"/>
    <w:rsid w:val="00BC4A1A"/>
    <w:rsid w:val="00BC5260"/>
    <w:rsid w:val="00BF0E6F"/>
    <w:rsid w:val="00C10A0A"/>
    <w:rsid w:val="00D02EFB"/>
    <w:rsid w:val="00D649A1"/>
    <w:rsid w:val="00F0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B94BD4-DEC4-4DBC-A711-6FE01C40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877BB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77BB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77BB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77B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1677</Words>
  <Characters>9732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11387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Stefania, MARTIN</cp:lastModifiedBy>
  <cp:revision>3</cp:revision>
  <dcterms:created xsi:type="dcterms:W3CDTF">2021-10-19T10:51:00Z</dcterms:created>
  <dcterms:modified xsi:type="dcterms:W3CDTF">2021-10-19T11:05:00Z</dcterms:modified>
</cp:coreProperties>
</file>