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C1C" w:rsidRDefault="00F43C1C" w:rsidP="00345603">
      <w:r>
        <w:t>COD 1023-HOT.13</w:t>
      </w:r>
    </w:p>
    <w:p w:rsidR="00345603" w:rsidRDefault="00345603" w:rsidP="00345603">
      <w:r w:rsidRPr="00890845">
        <w:t>Dosar nr</w:t>
      </w:r>
      <w:r w:rsidR="00F43C1C">
        <w:t>...</w:t>
      </w:r>
    </w:p>
    <w:p w:rsidR="00F43C1C" w:rsidRPr="00890845" w:rsidRDefault="00F43C1C" w:rsidP="00345603"/>
    <w:p w:rsidR="00345603" w:rsidRPr="00890845" w:rsidRDefault="00345603" w:rsidP="00345603">
      <w:pPr>
        <w:jc w:val="center"/>
      </w:pPr>
      <w:r w:rsidRPr="00890845">
        <w:t>R O M Â N I A</w:t>
      </w:r>
    </w:p>
    <w:p w:rsidR="00345603" w:rsidRPr="00890845" w:rsidRDefault="00345603" w:rsidP="00345603">
      <w:pPr>
        <w:jc w:val="center"/>
      </w:pPr>
      <w:r w:rsidRPr="00890845">
        <w:t xml:space="preserve">CURTEA DE APEL </w:t>
      </w:r>
      <w:r w:rsidR="00F43C1C">
        <w:t>.....</w:t>
      </w:r>
    </w:p>
    <w:p w:rsidR="00F43C1C" w:rsidRDefault="002C004C" w:rsidP="00345603">
      <w:pPr>
        <w:jc w:val="center"/>
      </w:pPr>
      <w:r>
        <w:t xml:space="preserve">SECTIA </w:t>
      </w:r>
      <w:r w:rsidR="00F43C1C">
        <w:t>...</w:t>
      </w:r>
    </w:p>
    <w:p w:rsidR="00345603" w:rsidRDefault="005C2AE6" w:rsidP="00345603">
      <w:pPr>
        <w:jc w:val="center"/>
      </w:pPr>
      <w:r w:rsidRPr="00890845"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="00345603" w:rsidRPr="00890845">
        <w:instrText xml:space="preserve"> FORMTEXT </w:instrText>
      </w:r>
      <w:r w:rsidRPr="00890845">
        <w:fldChar w:fldCharType="separate"/>
      </w:r>
      <w:r w:rsidR="00345603" w:rsidRPr="00890845">
        <w:t>DECIZIE</w:t>
      </w:r>
      <w:r w:rsidRPr="00890845">
        <w:fldChar w:fldCharType="end"/>
      </w:r>
      <w:bookmarkEnd w:id="0"/>
      <w:r w:rsidR="00345603" w:rsidRPr="00890845">
        <w:t xml:space="preserve"> Nr. </w:t>
      </w:r>
      <w:r w:rsidR="005A6AB2">
        <w:t>...</w:t>
      </w:r>
    </w:p>
    <w:p w:rsidR="005A6AB2" w:rsidRPr="00890845" w:rsidRDefault="005A6AB2" w:rsidP="00345603">
      <w:pPr>
        <w:jc w:val="center"/>
      </w:pPr>
    </w:p>
    <w:p w:rsidR="005A6AB2" w:rsidRDefault="00345603" w:rsidP="00345603">
      <w:pPr>
        <w:jc w:val="center"/>
      </w:pPr>
      <w:r w:rsidRPr="00890845">
        <w:t>Şedinţa </w:t>
      </w:r>
      <w:r w:rsidR="005C2AE6" w:rsidRPr="00890845"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890845">
        <w:instrText xml:space="preserve"> FORMTEXT </w:instrText>
      </w:r>
      <w:r w:rsidR="005C2AE6" w:rsidRPr="00890845">
        <w:fldChar w:fldCharType="separate"/>
      </w:r>
      <w:r w:rsidRPr="00890845">
        <w:t>publică</w:t>
      </w:r>
      <w:r w:rsidR="005C2AE6" w:rsidRPr="00890845">
        <w:fldChar w:fldCharType="end"/>
      </w:r>
      <w:bookmarkEnd w:id="1"/>
      <w:r w:rsidRPr="00890845">
        <w:t xml:space="preserve"> de la </w:t>
      </w:r>
      <w:r w:rsidR="005A6AB2">
        <w:t>..</w:t>
      </w:r>
    </w:p>
    <w:p w:rsidR="00345603" w:rsidRPr="00890845" w:rsidRDefault="00345603" w:rsidP="00345603">
      <w:pPr>
        <w:jc w:val="center"/>
      </w:pPr>
      <w:r w:rsidRPr="00890845">
        <w:t>Completul compus din:</w:t>
      </w:r>
    </w:p>
    <w:p w:rsidR="005A6AB2" w:rsidRDefault="00345603" w:rsidP="00345603">
      <w:pPr>
        <w:jc w:val="center"/>
      </w:pPr>
      <w:r w:rsidRPr="00890845">
        <w:t xml:space="preserve">PREŞEDINTE </w:t>
      </w:r>
      <w:r w:rsidR="005A6AB2">
        <w:t>COD 1023</w:t>
      </w:r>
    </w:p>
    <w:p w:rsidR="00345603" w:rsidRDefault="00345603" w:rsidP="00345603">
      <w:pPr>
        <w:jc w:val="center"/>
      </w:pPr>
      <w:r w:rsidRPr="00890845">
        <w:t xml:space="preserve">Judecător </w:t>
      </w:r>
      <w:r w:rsidR="005A6AB2">
        <w:t>..</w:t>
      </w:r>
    </w:p>
    <w:p w:rsidR="005A6AB2" w:rsidRPr="00890845" w:rsidRDefault="005A6AB2" w:rsidP="00345603">
      <w:pPr>
        <w:jc w:val="center"/>
      </w:pPr>
    </w:p>
    <w:p w:rsidR="00345603" w:rsidRPr="00890845" w:rsidRDefault="00345603" w:rsidP="00345603">
      <w:pPr>
        <w:jc w:val="center"/>
      </w:pPr>
      <w:r w:rsidRPr="00890845">
        <w:t xml:space="preserve">Grefier </w:t>
      </w:r>
      <w:r w:rsidR="005A6AB2">
        <w:t>...</w:t>
      </w:r>
    </w:p>
    <w:p w:rsidR="00345603" w:rsidRPr="00890845" w:rsidRDefault="00345603" w:rsidP="00345603">
      <w:pPr>
        <w:jc w:val="center"/>
      </w:pPr>
    </w:p>
    <w:p w:rsidR="00345603" w:rsidRPr="00890845" w:rsidRDefault="00345603" w:rsidP="00345603">
      <w:pPr>
        <w:ind w:firstLine="708"/>
        <w:jc w:val="both"/>
      </w:pPr>
      <w:r w:rsidRPr="00890845">
        <w:t xml:space="preserve">Pe rol se află judecarea apelului formulat de apelant reclamant </w:t>
      </w:r>
      <w:r w:rsidR="0035240F">
        <w:t>A</w:t>
      </w:r>
      <w:r w:rsidR="005A6AB2">
        <w:t>.</w:t>
      </w:r>
      <w:r w:rsidRPr="00890845">
        <w:t xml:space="preserve">împotriva sc. </w:t>
      </w:r>
      <w:r w:rsidR="005A6AB2">
        <w:t>....</w:t>
      </w:r>
      <w:r w:rsidRPr="00890845">
        <w:t xml:space="preserve">pronunţată de Tribunalul </w:t>
      </w:r>
      <w:r w:rsidR="005A6AB2">
        <w:t>....</w:t>
      </w:r>
      <w:r w:rsidRPr="00890845">
        <w:t xml:space="preserve"> </w:t>
      </w:r>
      <w:proofErr w:type="spellStart"/>
      <w:r w:rsidRPr="00890845">
        <w:t>secţia</w:t>
      </w:r>
      <w:proofErr w:type="spellEnd"/>
      <w:r w:rsidRPr="00890845">
        <w:t xml:space="preserve"> </w:t>
      </w:r>
      <w:r w:rsidR="002C004C">
        <w:t>….</w:t>
      </w:r>
      <w:r w:rsidR="005A6AB2">
        <w:t>....</w:t>
      </w:r>
      <w:r w:rsidRPr="00890845">
        <w:t>.</w:t>
      </w:r>
    </w:p>
    <w:p w:rsidR="00345603" w:rsidRPr="00890845" w:rsidRDefault="00345603" w:rsidP="00345603">
      <w:pPr>
        <w:ind w:firstLine="708"/>
        <w:jc w:val="both"/>
      </w:pPr>
      <w:r w:rsidRPr="00890845">
        <w:t xml:space="preserve">La apelul nominal făcut în şedinţa </w:t>
      </w:r>
      <w:r w:rsidR="005C2AE6" w:rsidRPr="00890845">
        <w:fldChar w:fldCharType="begin">
          <w:ffData>
            <w:name w:val="tip_sedinta_copie_1"/>
            <w:enabled/>
            <w:calcOnExit w:val="0"/>
            <w:textInput/>
          </w:ffData>
        </w:fldChar>
      </w:r>
      <w:bookmarkStart w:id="2" w:name="tip_sedinta_copie_1"/>
      <w:r w:rsidRPr="00890845">
        <w:instrText xml:space="preserve"> FORMTEXT </w:instrText>
      </w:r>
      <w:r w:rsidR="005C2AE6" w:rsidRPr="00890845">
        <w:fldChar w:fldCharType="separate"/>
      </w:r>
      <w:r w:rsidRPr="00890845">
        <w:t>publică</w:t>
      </w:r>
      <w:r w:rsidR="005C2AE6" w:rsidRPr="00890845">
        <w:fldChar w:fldCharType="end"/>
      </w:r>
      <w:bookmarkEnd w:id="2"/>
      <w:r w:rsidRPr="00890845">
        <w:t xml:space="preserve"> s-a constatat lipsa părţilor.</w:t>
      </w:r>
    </w:p>
    <w:p w:rsidR="00345603" w:rsidRPr="00890845" w:rsidRDefault="00345603" w:rsidP="00345603">
      <w:pPr>
        <w:jc w:val="both"/>
      </w:pPr>
      <w:r w:rsidRPr="00890845">
        <w:t xml:space="preserve">Procedura </w:t>
      </w:r>
      <w:r w:rsidR="005C2AE6" w:rsidRPr="00890845">
        <w:fldChar w:fldCharType="begin">
          <w:ffData>
            <w:name w:val="tip_procedura"/>
            <w:enabled/>
            <w:calcOnExit w:val="0"/>
            <w:textInput/>
          </w:ffData>
        </w:fldChar>
      </w:r>
      <w:bookmarkStart w:id="3" w:name="tip_procedura"/>
      <w:r w:rsidRPr="00890845">
        <w:instrText xml:space="preserve"> FORMTEXT </w:instrText>
      </w:r>
      <w:r w:rsidR="005C2AE6" w:rsidRPr="00890845">
        <w:fldChar w:fldCharType="separate"/>
      </w:r>
      <w:r w:rsidRPr="00890845">
        <w:t>legal</w:t>
      </w:r>
      <w:r w:rsidR="005C2AE6" w:rsidRPr="00890845">
        <w:fldChar w:fldCharType="end"/>
      </w:r>
      <w:bookmarkEnd w:id="3"/>
      <w:r w:rsidRPr="00890845">
        <w:t xml:space="preserve"> îndeplinită.</w:t>
      </w:r>
    </w:p>
    <w:p w:rsidR="00345603" w:rsidRPr="00890845" w:rsidRDefault="00345603" w:rsidP="00345603">
      <w:pPr>
        <w:ind w:firstLine="708"/>
        <w:jc w:val="both"/>
      </w:pPr>
      <w:r w:rsidRPr="00890845">
        <w:t xml:space="preserve">S-a făcut </w:t>
      </w:r>
      <w:r w:rsidR="005C2AE6" w:rsidRPr="00890845">
        <w:fldChar w:fldCharType="begin">
          <w:ffData>
            <w:name w:val="tip_doc_despre_cauza"/>
            <w:enabled/>
            <w:calcOnExit w:val="0"/>
            <w:textInput/>
          </w:ffData>
        </w:fldChar>
      </w:r>
      <w:bookmarkStart w:id="4" w:name="tip_doc_despre_cauza"/>
      <w:r w:rsidRPr="00890845">
        <w:instrText xml:space="preserve"> FORMTEXT </w:instrText>
      </w:r>
      <w:r w:rsidR="005C2AE6" w:rsidRPr="00890845">
        <w:fldChar w:fldCharType="separate"/>
      </w:r>
      <w:r w:rsidRPr="00890845">
        <w:t>referatul</w:t>
      </w:r>
      <w:r w:rsidR="005C2AE6" w:rsidRPr="00890845">
        <w:fldChar w:fldCharType="end"/>
      </w:r>
      <w:bookmarkEnd w:id="4"/>
      <w:r w:rsidRPr="00890845">
        <w:t xml:space="preserve"> cauzei de către </w:t>
      </w:r>
      <w:r w:rsidR="005C2AE6" w:rsidRPr="00890845">
        <w:fldChar w:fldCharType="begin">
          <w:ffData>
            <w:name w:val="functia_celui_care_f"/>
            <w:enabled/>
            <w:calcOnExit w:val="0"/>
            <w:textInput/>
          </w:ffData>
        </w:fldChar>
      </w:r>
      <w:bookmarkStart w:id="5" w:name="functia_celui_care_f"/>
      <w:r w:rsidRPr="00890845">
        <w:instrText xml:space="preserve"> FORMTEXT </w:instrText>
      </w:r>
      <w:r w:rsidR="005C2AE6" w:rsidRPr="00890845">
        <w:fldChar w:fldCharType="separate"/>
      </w:r>
      <w:r w:rsidRPr="00890845">
        <w:t>grefier</w:t>
      </w:r>
      <w:r w:rsidR="005C2AE6" w:rsidRPr="00890845">
        <w:fldChar w:fldCharType="end"/>
      </w:r>
      <w:bookmarkEnd w:id="5"/>
      <w:r w:rsidR="00487DF1">
        <w:t xml:space="preserve"> </w:t>
      </w:r>
      <w:r w:rsidR="005C2AE6" w:rsidRPr="00890845">
        <w:fldChar w:fldCharType="begin">
          <w:ffData>
            <w:name w:val="combo_invedereaza"/>
            <w:enabled/>
            <w:calcOnExit w:val="0"/>
            <w:textInput/>
          </w:ffData>
        </w:fldChar>
      </w:r>
      <w:bookmarkStart w:id="6" w:name="combo_invedereaza"/>
      <w:r w:rsidRPr="00890845">
        <w:instrText xml:space="preserve"> FORMTEXT </w:instrText>
      </w:r>
      <w:r w:rsidR="005C2AE6" w:rsidRPr="00890845">
        <w:fldChar w:fldCharType="separate"/>
      </w:r>
      <w:r w:rsidRPr="00890845">
        <w:t>care învederează</w:t>
      </w:r>
      <w:r w:rsidR="005C2AE6" w:rsidRPr="00890845">
        <w:fldChar w:fldCharType="end"/>
      </w:r>
      <w:bookmarkEnd w:id="6"/>
      <w:r w:rsidRPr="00890845">
        <w:t xml:space="preserve"> că procedura prealabilă a fost parcursă şi că a fost solicitată judecarea cauzei în lipsa părţilor.</w:t>
      </w:r>
    </w:p>
    <w:p w:rsidR="00345603" w:rsidRPr="00890845" w:rsidRDefault="00345603" w:rsidP="00345603">
      <w:pPr>
        <w:ind w:firstLine="708"/>
        <w:jc w:val="both"/>
      </w:pPr>
      <w:r w:rsidRPr="00890845">
        <w:t>Faţă de actele aflate la dosar şi de cererea de judecare în lipsa părţilor, instanţa lasă cauza în pronunţare.</w:t>
      </w:r>
    </w:p>
    <w:p w:rsidR="00345603" w:rsidRPr="00890845" w:rsidRDefault="005C2AE6" w:rsidP="00345603">
      <w:pPr>
        <w:jc w:val="both"/>
      </w:pPr>
      <w:r w:rsidRPr="00890845">
        <w:fldChar w:fldCharType="begin">
          <w:ffData>
            <w:name w:val="ce_se_invedereaza"/>
            <w:enabled/>
            <w:calcOnExit w:val="0"/>
            <w:textInput/>
          </w:ffData>
        </w:fldChar>
      </w:r>
      <w:bookmarkStart w:id="7" w:name="ce_se_invedereaza"/>
      <w:r w:rsidR="00345603" w:rsidRPr="00890845">
        <w:instrText xml:space="preserve"> FORMTEXT </w:instrText>
      </w:r>
      <w:r w:rsidRPr="00890845">
        <w:fldChar w:fldCharType="separate"/>
      </w:r>
      <w:r w:rsidR="00345603" w:rsidRPr="00890845">
        <w:rPr>
          <w:noProof/>
        </w:rPr>
        <w:t> </w:t>
      </w:r>
      <w:r w:rsidR="00345603" w:rsidRPr="00890845">
        <w:rPr>
          <w:noProof/>
        </w:rPr>
        <w:t> </w:t>
      </w:r>
      <w:r w:rsidR="00345603" w:rsidRPr="00890845">
        <w:rPr>
          <w:noProof/>
        </w:rPr>
        <w:t> </w:t>
      </w:r>
      <w:r w:rsidR="00345603" w:rsidRPr="00890845">
        <w:rPr>
          <w:noProof/>
        </w:rPr>
        <w:t> </w:t>
      </w:r>
      <w:r w:rsidR="00345603" w:rsidRPr="00890845">
        <w:rPr>
          <w:noProof/>
        </w:rPr>
        <w:t> </w:t>
      </w:r>
      <w:r w:rsidRPr="00890845">
        <w:fldChar w:fldCharType="end"/>
      </w:r>
      <w:bookmarkEnd w:id="7"/>
    </w:p>
    <w:p w:rsidR="00345603" w:rsidRPr="00890845" w:rsidRDefault="00345603" w:rsidP="00345603">
      <w:pPr>
        <w:jc w:val="center"/>
      </w:pPr>
      <w:r w:rsidRPr="00890845">
        <w:t>Curtea de Apel</w:t>
      </w:r>
    </w:p>
    <w:p w:rsidR="00345603" w:rsidRPr="00890845" w:rsidRDefault="00345603" w:rsidP="00345603">
      <w:pPr>
        <w:jc w:val="center"/>
      </w:pPr>
      <w:r w:rsidRPr="00890845">
        <w:t>Asupra apelului de faţă:</w:t>
      </w:r>
    </w:p>
    <w:p w:rsidR="00345603" w:rsidRPr="00890845" w:rsidRDefault="00345603" w:rsidP="00345603">
      <w:pPr>
        <w:jc w:val="center"/>
      </w:pPr>
    </w:p>
    <w:p w:rsidR="00345603" w:rsidRPr="00890845" w:rsidRDefault="00345603" w:rsidP="00345603">
      <w:pPr>
        <w:ind w:firstLine="708"/>
        <w:jc w:val="both"/>
      </w:pPr>
      <w:r w:rsidRPr="00890845">
        <w:rPr>
          <w:i/>
        </w:rPr>
        <w:t xml:space="preserve">Prin sc. </w:t>
      </w:r>
      <w:r w:rsidR="004B4815">
        <w:rPr>
          <w:i/>
        </w:rPr>
        <w:t>.....</w:t>
      </w:r>
      <w:r w:rsidRPr="00890845">
        <w:rPr>
          <w:i/>
        </w:rPr>
        <w:t xml:space="preserve">pronunţată de Tribunalul </w:t>
      </w:r>
      <w:r w:rsidR="005A6AB2">
        <w:rPr>
          <w:i/>
        </w:rPr>
        <w:t>....</w:t>
      </w:r>
      <w:r w:rsidR="002C004C">
        <w:rPr>
          <w:i/>
        </w:rPr>
        <w:t xml:space="preserve"> Secţia </w:t>
      </w:r>
      <w:r w:rsidR="004B4815">
        <w:rPr>
          <w:i/>
        </w:rPr>
        <w:t>.........,</w:t>
      </w:r>
      <w:r w:rsidRPr="00890845">
        <w:rPr>
          <w:i/>
        </w:rPr>
        <w:t xml:space="preserve"> a fost respinsă  ca inadmisibilă acţiunea în contencios administrativ</w:t>
      </w:r>
      <w:r w:rsidRPr="00890845">
        <w:t xml:space="preserve"> formulată de reclamantul </w:t>
      </w:r>
      <w:r w:rsidR="008B79C2">
        <w:t>A</w:t>
      </w:r>
      <w:r w:rsidR="005A6AB2">
        <w:t>.</w:t>
      </w:r>
      <w:r w:rsidRPr="00890845">
        <w:t>în contradictoriu cu S</w:t>
      </w:r>
      <w:r w:rsidR="004B4815">
        <w:t>erviciul Fiscal Municipal M.</w:t>
      </w:r>
      <w:r w:rsidRPr="00890845">
        <w:t xml:space="preserve"> prin Administraţia Judeţeană a Finanţelor Publice </w:t>
      </w:r>
      <w:r w:rsidR="005A6AB2">
        <w:t>....</w:t>
      </w:r>
      <w:r w:rsidRPr="00890845">
        <w:t xml:space="preserve"> care s-a  solicitat restituirea sumei de 1134 lei achitată cu titlu de taxă de poluare cu dobânda aferentă de la data achitării şi până la data restituirii.</w:t>
      </w:r>
    </w:p>
    <w:p w:rsidR="00345603" w:rsidRPr="00890845" w:rsidRDefault="00345603" w:rsidP="00345603">
      <w:pPr>
        <w:jc w:val="both"/>
      </w:pPr>
      <w:r w:rsidRPr="00890845">
        <w:tab/>
        <w:t xml:space="preserve">Tribunalul  a motivat soluţia de respingere a acţiunii pe prevederile art. 78 al. 2 Noul cod de procedură civilă, având în vedere că niciuna dintre părţi nu a solicitat introducerea în cauză a Administraţiei Fondului pentru Mediu </w:t>
      </w:r>
      <w:r w:rsidR="004B4815">
        <w:t>B.</w:t>
      </w:r>
    </w:p>
    <w:p w:rsidR="00345603" w:rsidRPr="00890845" w:rsidRDefault="00345603" w:rsidP="00345603">
      <w:pPr>
        <w:jc w:val="both"/>
      </w:pPr>
      <w:r w:rsidRPr="00890845">
        <w:tab/>
      </w:r>
      <w:r w:rsidRPr="00890845">
        <w:rPr>
          <w:i/>
        </w:rPr>
        <w:t xml:space="preserve">Împotriva acestei hotărâri a declarat cale de atac reclamantul </w:t>
      </w:r>
      <w:r w:rsidR="00D866A2">
        <w:rPr>
          <w:i/>
        </w:rPr>
        <w:t>A</w:t>
      </w:r>
      <w:r w:rsidR="005A6AB2">
        <w:rPr>
          <w:i/>
        </w:rPr>
        <w:t>.</w:t>
      </w:r>
      <w:r w:rsidRPr="00890845">
        <w:rPr>
          <w:i/>
        </w:rPr>
        <w:t>solicitând, în principal, casarea şi trimiterea cauzei spre rejudecare iar, în subsidiar, rejudecarea cauzei pe fond, admiterea acţiunii, restituirea taxei cu dobândă şi cheltuieli de judecată</w:t>
      </w:r>
      <w:r w:rsidRPr="00890845">
        <w:t>.</w:t>
      </w:r>
    </w:p>
    <w:p w:rsidR="00345603" w:rsidRPr="00890845" w:rsidRDefault="00345603" w:rsidP="00345603">
      <w:pPr>
        <w:jc w:val="both"/>
      </w:pPr>
      <w:r w:rsidRPr="00890845">
        <w:tab/>
        <w:t>Acesta a apreciat că hotărârea este nelegal şi netemeinică şi a fost dată cu încălcarea sau aplicarea greşită a legii pentru următoarele considerente:</w:t>
      </w:r>
    </w:p>
    <w:p w:rsidR="00345603" w:rsidRPr="00890845" w:rsidRDefault="00345603" w:rsidP="00345603">
      <w:pPr>
        <w:jc w:val="both"/>
      </w:pPr>
      <w:r w:rsidRPr="00890845">
        <w:tab/>
        <w:t xml:space="preserve">Arată că între reclamant şi Administraţia Fondului pentru Mediu </w:t>
      </w:r>
      <w:r w:rsidR="004B4815">
        <w:t>B.</w:t>
      </w:r>
      <w:r w:rsidRPr="00890845">
        <w:t xml:space="preserve"> nu există nici un raport juridic fiscal, care să fi justificat introducerea într-un proces fiscal, de competenţa instanţelor de contencios administrativ, a acestei entităţi publice. În mod greşit s-a apreciat că există litisconsorţiu necesar, acesta nefiind cerut de OUG 50/2008. Apreciază că ANAF este instituţia care are calitate în acest gen de litigii.</w:t>
      </w:r>
    </w:p>
    <w:p w:rsidR="00345603" w:rsidRPr="00890845" w:rsidRDefault="00345603" w:rsidP="00345603">
      <w:pPr>
        <w:jc w:val="both"/>
      </w:pPr>
      <w:r w:rsidRPr="00890845">
        <w:tab/>
        <w:t>În drept, s-au invocat prevederile art. 3 HG 686/2008, art. 7 al. 4 şi 5 HG 686/2008, art. 2 OUG 50/2008.</w:t>
      </w:r>
    </w:p>
    <w:p w:rsidR="00345603" w:rsidRPr="00890845" w:rsidRDefault="00345603" w:rsidP="00345603">
      <w:pPr>
        <w:jc w:val="both"/>
      </w:pPr>
      <w:r w:rsidRPr="00890845">
        <w:tab/>
      </w:r>
      <w:r w:rsidRPr="00890845">
        <w:rPr>
          <w:i/>
        </w:rPr>
        <w:t>Intimatul nu a formulat întâmpinare.</w:t>
      </w:r>
    </w:p>
    <w:p w:rsidR="00345603" w:rsidRPr="00890845" w:rsidRDefault="00345603" w:rsidP="00345603">
      <w:pPr>
        <w:jc w:val="both"/>
      </w:pPr>
      <w:r w:rsidRPr="00890845">
        <w:tab/>
      </w:r>
      <w:r w:rsidRPr="00890845">
        <w:rPr>
          <w:i/>
        </w:rPr>
        <w:t>Prin încheierea din 02.10.2015, instanţa de recurs  a dispus recalificarea cererii din recurs în apel şi transpunerea pe rolul completului de apel contencios</w:t>
      </w:r>
      <w:r w:rsidRPr="00890845">
        <w:t>. S-au avut în vedere dispoziţiile art. 78 al. 5 cod de procedură civilă şi faptul că prima instanţă a menţionat în dispozitivul sentinţei calea de atac corectă, apelul.</w:t>
      </w:r>
    </w:p>
    <w:p w:rsidR="00345603" w:rsidRPr="00890845" w:rsidRDefault="00345603" w:rsidP="00345603">
      <w:pPr>
        <w:jc w:val="both"/>
      </w:pPr>
      <w:r w:rsidRPr="00890845">
        <w:lastRenderedPageBreak/>
        <w:tab/>
      </w:r>
      <w:r w:rsidRPr="00890845">
        <w:rPr>
          <w:i/>
        </w:rPr>
        <w:t>Analizând calea de atac formulată, prin prisma prevederilor art. 78, 456 şi următoarele Noul cod de procedură civilă, Curtea constată nefondat apelul şi îl va respinge pentru următoarele considerente</w:t>
      </w:r>
      <w:r w:rsidRPr="00890845">
        <w:t>:</w:t>
      </w:r>
    </w:p>
    <w:p w:rsidR="00345603" w:rsidRPr="00890845" w:rsidRDefault="00345603" w:rsidP="00345603">
      <w:pPr>
        <w:jc w:val="both"/>
      </w:pPr>
      <w:r w:rsidRPr="00890845">
        <w:tab/>
        <w:t xml:space="preserve">Potrivit art. 16  indice 1 Legea 554/2004 „instanţa de contencios administrativ poate introduce în cauză, </w:t>
      </w:r>
      <w:r w:rsidRPr="00890845">
        <w:rPr>
          <w:i/>
        </w:rPr>
        <w:t>la cerere</w:t>
      </w:r>
      <w:r w:rsidRPr="00890845">
        <w:t xml:space="preserve">, organismele sociale interesate sau, </w:t>
      </w:r>
      <w:r w:rsidRPr="00890845">
        <w:rPr>
          <w:i/>
        </w:rPr>
        <w:t>poate pune în discuţie</w:t>
      </w:r>
      <w:r w:rsidRPr="00890845">
        <w:t>, din oficiu, necesitatea introducerii în cauză a acestora, precum şi a altor subiecte de drept.”</w:t>
      </w:r>
    </w:p>
    <w:p w:rsidR="00345603" w:rsidRPr="00890845" w:rsidRDefault="00345603" w:rsidP="00345603">
      <w:pPr>
        <w:jc w:val="both"/>
      </w:pPr>
      <w:r w:rsidRPr="00890845">
        <w:tab/>
        <w:t>Aceste dispoziţii se coroborează cu normele de procedură, art. 78 al. 2 Noul cod de procedură civilă potrivit cărora: „În materie contencioasă, când raportul juridic dedus judecăţii o impune, judecătorul va pune în discuţia părţilor necesitatea introduceri în cauză a altor persoane. Dacă niciuna dintre părţi nu solicită introducerea în cauză a terţului, iar judecătorul apreciază că pricina nu poate fi soluţionată fără participarea terţului, va respinge cererea fără a se pronunţa în fond.”</w:t>
      </w:r>
    </w:p>
    <w:p w:rsidR="00345603" w:rsidRPr="00890845" w:rsidRDefault="00345603" w:rsidP="00345603">
      <w:pPr>
        <w:ind w:firstLine="708"/>
        <w:jc w:val="both"/>
      </w:pPr>
      <w:r w:rsidRPr="00890845">
        <w:t>Prin introducerea dispoziţiei art. 78 al. 2 cod de procedură civilă, marja de apreciere a instanţei de contencios administrativ în interpretarea principiului disponibilităţii şi în stabilirea cadrului procesual a fost substanţial restrânsă.</w:t>
      </w:r>
    </w:p>
    <w:p w:rsidR="00345603" w:rsidRPr="00890845" w:rsidRDefault="00345603" w:rsidP="00345603">
      <w:pPr>
        <w:jc w:val="both"/>
      </w:pPr>
      <w:r w:rsidRPr="00890845">
        <w:tab/>
        <w:t>Art. 16 indice 1 Legea 554/2004 nu conţine o normă expresă privind introducerea din oficiu a terţilor în proces fiind primordial principiul disponibilităţii părţilor.</w:t>
      </w:r>
    </w:p>
    <w:p w:rsidR="00345603" w:rsidRPr="00890845" w:rsidRDefault="00345603" w:rsidP="00345603">
      <w:pPr>
        <w:jc w:val="both"/>
      </w:pPr>
      <w:r w:rsidRPr="00890845">
        <w:tab/>
        <w:t xml:space="preserve">În cauză, niciuna din părţi nu a solicitat introducerea în proces a Administraţiei Fondului pentru Mediu </w:t>
      </w:r>
      <w:r w:rsidR="004B4815">
        <w:t>B.</w:t>
      </w:r>
      <w:r w:rsidRPr="00890845">
        <w:t>, situaţie în care, în mod corect s-a făcut aplicarea art. 78 al. 2 cod de procedură civilă şi a fost respinsă cererea de chemare în judecată fără cercetarea fondului.</w:t>
      </w:r>
    </w:p>
    <w:p w:rsidR="00345603" w:rsidRPr="00890845" w:rsidRDefault="00345603" w:rsidP="00345603">
      <w:pPr>
        <w:jc w:val="both"/>
      </w:pPr>
      <w:r w:rsidRPr="00890845">
        <w:tab/>
        <w:t xml:space="preserve">În ceea ce priveşte necesitatea introducerii în proces a Administraţiei Fondului pentru Mediu </w:t>
      </w:r>
      <w:r w:rsidR="004B4815">
        <w:t>B.</w:t>
      </w:r>
      <w:r w:rsidRPr="00890845">
        <w:t>, în mod corect instanţa de fond a avut în vedere că prin cererea de chemare în judecată s-a solicitat restituirea taxei de poluare cu dobândă, taxă ce face venit la fondul de mediu, prin urmare, obligaţia de a restitui taxa cu dobândă revine şi Administraţiei Fondului pentru Mediu, ca gestionar al acestui fond.</w:t>
      </w:r>
    </w:p>
    <w:p w:rsidR="00345603" w:rsidRPr="00890845" w:rsidRDefault="00345603" w:rsidP="00345603">
      <w:pPr>
        <w:jc w:val="both"/>
      </w:pPr>
      <w:r w:rsidRPr="00890845">
        <w:tab/>
        <w:t xml:space="preserve">Se mai reţine că, deşi Administraţia Fondului pentru Mediu </w:t>
      </w:r>
      <w:r w:rsidR="004B4815">
        <w:t>B.</w:t>
      </w:r>
      <w:r w:rsidRPr="00890845">
        <w:t xml:space="preserve">  nu a făcut nici un act, iar raportul de drept fiscal s-a stabilit între plătitorul contribuabil şi organul fiscal încasator, în speţă, obiectul cauzei în reprezintă obligarea la restituirea taxei de poluare încasată cu încălcarea dreptului european.</w:t>
      </w:r>
      <w:r w:rsidRPr="00890845">
        <w:tab/>
        <w:t xml:space="preserve">Atunci când acţiunea în contencios administrativ vizează despăgubiri constând în plata unor sume de bani, în proces este obligatoriu a sta şi entitatea care are personalitate juridică şi patrimoniu, pentru ca în cazul obligării la plată să fie posibilă aducerea la îndeplinire a acestei obligaţii. </w:t>
      </w:r>
    </w:p>
    <w:p w:rsidR="00345603" w:rsidRPr="00890845" w:rsidRDefault="00345603" w:rsidP="00345603">
      <w:pPr>
        <w:jc w:val="both"/>
      </w:pPr>
      <w:r w:rsidRPr="00890845">
        <w:tab/>
        <w:t xml:space="preserve">În consecinţă, critica apelantului cu privire la soluţia primei instanţă este nefondată. </w:t>
      </w:r>
    </w:p>
    <w:p w:rsidR="00345603" w:rsidRPr="00890845" w:rsidRDefault="00345603" w:rsidP="00345603"/>
    <w:p w:rsidR="00345603" w:rsidRPr="00890845" w:rsidRDefault="00345603" w:rsidP="00345603">
      <w:pPr>
        <w:jc w:val="center"/>
      </w:pPr>
      <w:r w:rsidRPr="00890845">
        <w:t>PENTRU ACESTE MOTIVE,</w:t>
      </w:r>
      <w:r w:rsidRPr="00890845">
        <w:br/>
        <w:t>ÎN NUMELE LEGII</w:t>
      </w:r>
    </w:p>
    <w:p w:rsidR="00345603" w:rsidRPr="00890845" w:rsidRDefault="00345603" w:rsidP="00345603">
      <w:pPr>
        <w:jc w:val="center"/>
      </w:pPr>
      <w:r w:rsidRPr="00890845">
        <w:t>DECIDE:</w:t>
      </w:r>
    </w:p>
    <w:p w:rsidR="00345603" w:rsidRPr="00890845" w:rsidRDefault="00345603" w:rsidP="00345603">
      <w:pPr>
        <w:jc w:val="center"/>
      </w:pPr>
    </w:p>
    <w:p w:rsidR="00345603" w:rsidRPr="00890845" w:rsidRDefault="00345603" w:rsidP="00345603">
      <w:pPr>
        <w:ind w:firstLine="708"/>
        <w:jc w:val="both"/>
      </w:pPr>
      <w:r w:rsidRPr="00890845">
        <w:t xml:space="preserve">Respinge apelul formulat de apelant reclamant </w:t>
      </w:r>
      <w:r w:rsidR="00D866A2">
        <w:t>A</w:t>
      </w:r>
      <w:r w:rsidR="005A6AB2">
        <w:t>.</w:t>
      </w:r>
      <w:r w:rsidRPr="00890845">
        <w:t xml:space="preserve">împotriva sc. </w:t>
      </w:r>
      <w:r w:rsidR="005A6AB2">
        <w:t>....</w:t>
      </w:r>
      <w:r w:rsidRPr="00890845">
        <w:t xml:space="preserve">pronunţată de Tribunalul </w:t>
      </w:r>
      <w:r w:rsidR="005A6AB2">
        <w:t>....</w:t>
      </w:r>
      <w:r w:rsidRPr="00890845">
        <w:t xml:space="preserve"> secţia</w:t>
      </w:r>
      <w:r w:rsidR="00EA4565">
        <w:t xml:space="preserve"> </w:t>
      </w:r>
      <w:r w:rsidR="004B4815">
        <w:t>....</w:t>
      </w:r>
      <w:r w:rsidRPr="00890845">
        <w:t>.</w:t>
      </w:r>
    </w:p>
    <w:p w:rsidR="00345603" w:rsidRPr="00890845" w:rsidRDefault="00345603" w:rsidP="00345603">
      <w:pPr>
        <w:jc w:val="both"/>
      </w:pPr>
      <w:r w:rsidRPr="00890845">
        <w:tab/>
        <w:t>Definitivă.</w:t>
      </w:r>
    </w:p>
    <w:p w:rsidR="00345603" w:rsidRPr="00890845" w:rsidRDefault="00345603" w:rsidP="00345603">
      <w:pPr>
        <w:jc w:val="both"/>
      </w:pPr>
      <w:r w:rsidRPr="00890845">
        <w:tab/>
        <w:t xml:space="preserve">Pronunţată în şedinţa publică din </w:t>
      </w:r>
      <w:r w:rsidR="002C004C">
        <w:t>……</w:t>
      </w:r>
      <w:bookmarkStart w:id="8" w:name="_GoBack"/>
      <w:bookmarkEnd w:id="8"/>
    </w:p>
    <w:p w:rsidR="00345603" w:rsidRDefault="00345603" w:rsidP="00345603">
      <w:pPr>
        <w:jc w:val="center"/>
      </w:pPr>
    </w:p>
    <w:p w:rsidR="004B4815" w:rsidRDefault="004B4815" w:rsidP="00345603">
      <w:pPr>
        <w:jc w:val="center"/>
      </w:pPr>
    </w:p>
    <w:p w:rsidR="00224459" w:rsidRDefault="004B4815" w:rsidP="00345603">
      <w:pPr>
        <w:jc w:val="center"/>
      </w:pPr>
      <w:r>
        <w:t xml:space="preserve">PRESEDINTE, </w:t>
      </w:r>
      <w:r w:rsidR="005515CF">
        <w:t xml:space="preserve">   </w:t>
      </w:r>
      <w:r w:rsidR="00663901">
        <w:t xml:space="preserve">                    </w:t>
      </w:r>
      <w:r w:rsidR="005515CF">
        <w:t>JUDECATOR,</w:t>
      </w:r>
    </w:p>
    <w:p w:rsidR="00224459" w:rsidRDefault="00663901" w:rsidP="00663901">
      <w:r>
        <w:t xml:space="preserve">                       </w:t>
      </w:r>
      <w:r w:rsidR="00EA4565">
        <w:t xml:space="preserve">                          </w:t>
      </w:r>
      <w:r w:rsidR="00224459">
        <w:t>COD 1023</w:t>
      </w:r>
    </w:p>
    <w:p w:rsidR="004B4815" w:rsidRDefault="004B4815" w:rsidP="00345603">
      <w:pPr>
        <w:jc w:val="center"/>
      </w:pPr>
      <w:r>
        <w:t xml:space="preserve">   GREFIER,</w:t>
      </w:r>
    </w:p>
    <w:p w:rsidR="004B4815" w:rsidRDefault="004B4815" w:rsidP="00345603">
      <w:pPr>
        <w:jc w:val="center"/>
      </w:pPr>
    </w:p>
    <w:p w:rsidR="004B4815" w:rsidRDefault="004B4815" w:rsidP="00345603">
      <w:pPr>
        <w:jc w:val="center"/>
      </w:pPr>
    </w:p>
    <w:p w:rsidR="004B4815" w:rsidRDefault="004B4815" w:rsidP="00345603">
      <w:pPr>
        <w:jc w:val="center"/>
      </w:pPr>
    </w:p>
    <w:p w:rsidR="004B4815" w:rsidRPr="00890845" w:rsidRDefault="004B4815" w:rsidP="00345603">
      <w:pPr>
        <w:jc w:val="center"/>
      </w:pPr>
    </w:p>
    <w:p w:rsidR="00345603" w:rsidRDefault="00345603" w:rsidP="00345603">
      <w:pPr>
        <w:rPr>
          <w:sz w:val="22"/>
          <w:szCs w:val="22"/>
        </w:rPr>
      </w:pPr>
      <w:r w:rsidRPr="00890845">
        <w:rPr>
          <w:sz w:val="22"/>
          <w:szCs w:val="22"/>
        </w:rPr>
        <w:t xml:space="preserve">Red., tehnored. </w:t>
      </w:r>
      <w:r w:rsidR="004B4815">
        <w:rPr>
          <w:sz w:val="22"/>
          <w:szCs w:val="22"/>
        </w:rPr>
        <w:t>...</w:t>
      </w:r>
    </w:p>
    <w:p w:rsidR="004B4815" w:rsidRPr="00890845" w:rsidRDefault="004B4815" w:rsidP="00345603">
      <w:pPr>
        <w:rPr>
          <w:sz w:val="22"/>
          <w:szCs w:val="22"/>
        </w:rPr>
      </w:pPr>
    </w:p>
    <w:p w:rsidR="00345603" w:rsidRPr="00890845" w:rsidRDefault="00345603" w:rsidP="00345603">
      <w:pPr>
        <w:rPr>
          <w:sz w:val="22"/>
          <w:szCs w:val="22"/>
        </w:rPr>
      </w:pPr>
      <w:r w:rsidRPr="00890845">
        <w:rPr>
          <w:sz w:val="22"/>
          <w:szCs w:val="22"/>
        </w:rPr>
        <w:lastRenderedPageBreak/>
        <w:t xml:space="preserve">J. fond </w:t>
      </w:r>
      <w:r w:rsidR="004B4815">
        <w:rPr>
          <w:sz w:val="22"/>
          <w:szCs w:val="22"/>
        </w:rPr>
        <w:t>...</w:t>
      </w:r>
    </w:p>
    <w:p w:rsidR="008A2D6B" w:rsidRDefault="008A2D6B"/>
    <w:sectPr w:rsidR="008A2D6B" w:rsidSect="00890845">
      <w:pgSz w:w="11906" w:h="16838"/>
      <w:pgMar w:top="993" w:right="707" w:bottom="144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45603"/>
    <w:rsid w:val="0009356D"/>
    <w:rsid w:val="00224459"/>
    <w:rsid w:val="00250874"/>
    <w:rsid w:val="002C004C"/>
    <w:rsid w:val="00345603"/>
    <w:rsid w:val="0035240F"/>
    <w:rsid w:val="00487DF1"/>
    <w:rsid w:val="004B4815"/>
    <w:rsid w:val="005515CF"/>
    <w:rsid w:val="00570E4D"/>
    <w:rsid w:val="005A6AB2"/>
    <w:rsid w:val="005C2AE6"/>
    <w:rsid w:val="00663901"/>
    <w:rsid w:val="008A2D6B"/>
    <w:rsid w:val="008B79C2"/>
    <w:rsid w:val="00BA2125"/>
    <w:rsid w:val="00D866A2"/>
    <w:rsid w:val="00DA03FC"/>
    <w:rsid w:val="00E55342"/>
    <w:rsid w:val="00EA4565"/>
    <w:rsid w:val="00EF0DF1"/>
    <w:rsid w:val="00F43C1C"/>
    <w:rsid w:val="00F84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632C4C-06D6-4BA6-B701-A7106AAA7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Călin Ivaşcu</dc:creator>
  <cp:lastModifiedBy>Elena, PETRESCU</cp:lastModifiedBy>
  <cp:revision>18</cp:revision>
  <dcterms:created xsi:type="dcterms:W3CDTF">2021-10-24T19:35:00Z</dcterms:created>
  <dcterms:modified xsi:type="dcterms:W3CDTF">2021-11-08T11:48:00Z</dcterms:modified>
</cp:coreProperties>
</file>