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31CDA" w14:textId="6793A535" w:rsidR="0084667C" w:rsidRDefault="0084667C" w:rsidP="0084667C">
      <w:pPr>
        <w:rPr>
          <w:rFonts w:ascii="Garamond" w:hAnsi="Garamond"/>
        </w:rPr>
      </w:pPr>
      <w:r>
        <w:rPr>
          <w:rFonts w:ascii="Garamond" w:hAnsi="Garamond"/>
        </w:rPr>
        <w:t xml:space="preserve">Dosar nr. </w:t>
      </w:r>
      <w:r w:rsidR="00B45DC7">
        <w:rPr>
          <w:rFonts w:ascii="Garamond" w:hAnsi="Garamond"/>
        </w:rPr>
        <w:t>...</w:t>
      </w:r>
    </w:p>
    <w:p w14:paraId="5796BCF2" w14:textId="77777777" w:rsidR="0084667C" w:rsidRDefault="0084667C" w:rsidP="0084667C">
      <w:pPr>
        <w:jc w:val="center"/>
        <w:rPr>
          <w:rFonts w:ascii="Garamond" w:hAnsi="Garamond"/>
        </w:rPr>
      </w:pPr>
      <w:r>
        <w:rPr>
          <w:rFonts w:ascii="Garamond" w:hAnsi="Garamond"/>
        </w:rPr>
        <w:t>R O M Â N I A</w:t>
      </w:r>
    </w:p>
    <w:p w14:paraId="4CDB8361" w14:textId="77777777" w:rsidR="0084667C" w:rsidRDefault="0084667C" w:rsidP="0084667C">
      <w:pPr>
        <w:jc w:val="center"/>
        <w:rPr>
          <w:rFonts w:ascii="Garamond" w:hAnsi="Garamond"/>
        </w:rPr>
      </w:pPr>
    </w:p>
    <w:p w14:paraId="1C4BF68F" w14:textId="76736368" w:rsidR="0084667C" w:rsidRDefault="0084667C" w:rsidP="0084667C">
      <w:pPr>
        <w:jc w:val="center"/>
        <w:rPr>
          <w:rFonts w:ascii="Garamond" w:hAnsi="Garamond"/>
        </w:rPr>
      </w:pPr>
      <w:r>
        <w:rPr>
          <w:rFonts w:ascii="Garamond" w:hAnsi="Garamond"/>
        </w:rPr>
        <w:t xml:space="preserve">CURTEA DE APEL </w:t>
      </w:r>
      <w:r w:rsidR="00B45DC7">
        <w:rPr>
          <w:rFonts w:ascii="Garamond" w:hAnsi="Garamond"/>
        </w:rPr>
        <w:t>C</w:t>
      </w:r>
    </w:p>
    <w:p w14:paraId="293E8904" w14:textId="3DCF8447" w:rsidR="0084667C" w:rsidRDefault="0084667C" w:rsidP="0084667C">
      <w:pPr>
        <w:jc w:val="center"/>
        <w:rPr>
          <w:rFonts w:ascii="Garamond" w:hAnsi="Garamond"/>
        </w:rPr>
      </w:pPr>
      <w:r>
        <w:rPr>
          <w:rFonts w:ascii="Garamond" w:hAnsi="Garamond"/>
        </w:rPr>
        <w:t xml:space="preserve">SECŢIA </w:t>
      </w:r>
      <w:r w:rsidR="00382514">
        <w:rPr>
          <w:rFonts w:ascii="Garamond" w:hAnsi="Garamond"/>
        </w:rPr>
        <w:t>..................</w:t>
      </w:r>
    </w:p>
    <w:p w14:paraId="5F1B39B7" w14:textId="77777777" w:rsidR="0084667C" w:rsidRPr="00B45DC7" w:rsidRDefault="0084667C" w:rsidP="0084667C">
      <w:pPr>
        <w:jc w:val="center"/>
        <w:rPr>
          <w:rFonts w:ascii="Garamond" w:hAnsi="Garamond"/>
          <w:szCs w:val="15"/>
          <w:lang w:val="pt-PT"/>
        </w:rPr>
      </w:pPr>
    </w:p>
    <w:p w14:paraId="32820476" w14:textId="1B954408" w:rsidR="0084667C" w:rsidRDefault="0084667C" w:rsidP="0084667C">
      <w:pPr>
        <w:jc w:val="center"/>
        <w:rPr>
          <w:rFonts w:ascii="Garamond" w:hAnsi="Garamond"/>
        </w:rPr>
      </w:pPr>
      <w:r>
        <w:rPr>
          <w:rFonts w:ascii="Garamond" w:hAnsi="Garamond"/>
        </w:rPr>
        <w:fldChar w:fldCharType="begin">
          <w:ffData>
            <w:name w:val="tip_incheiere"/>
            <w:enabled/>
            <w:calcOnExit w:val="0"/>
            <w:textInput/>
          </w:ffData>
        </w:fldChar>
      </w:r>
      <w:bookmarkStart w:id="0" w:name="tip_incheiere"/>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DECIZIE</w:t>
      </w:r>
      <w:r>
        <w:rPr>
          <w:rFonts w:ascii="Garamond" w:hAnsi="Garamond"/>
        </w:rPr>
        <w:fldChar w:fldCharType="end"/>
      </w:r>
      <w:bookmarkEnd w:id="0"/>
      <w:r>
        <w:rPr>
          <w:rFonts w:ascii="Garamond" w:hAnsi="Garamond"/>
        </w:rPr>
        <w:t xml:space="preserve"> NR. </w:t>
      </w:r>
      <w:r w:rsidR="00B45DC7">
        <w:rPr>
          <w:rFonts w:ascii="Garamond" w:hAnsi="Garamond"/>
        </w:rPr>
        <w:t>....</w:t>
      </w:r>
    </w:p>
    <w:p w14:paraId="40F1FAAF" w14:textId="5FA0D67E" w:rsidR="0084667C" w:rsidRDefault="0084667C" w:rsidP="0084667C">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1"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
      <w:r>
        <w:rPr>
          <w:rFonts w:ascii="Garamond" w:hAnsi="Garamond"/>
        </w:rPr>
        <w:t xml:space="preserve"> DE LA </w:t>
      </w:r>
      <w:r w:rsidR="00B45DC7">
        <w:rPr>
          <w:rFonts w:ascii="Garamond" w:hAnsi="Garamond"/>
        </w:rPr>
        <w:t>....</w:t>
      </w:r>
      <w:r>
        <w:rPr>
          <w:rFonts w:ascii="Garamond" w:hAnsi="Garamond"/>
        </w:rPr>
        <w:t xml:space="preserve"> </w:t>
      </w:r>
    </w:p>
    <w:p w14:paraId="1E2AE0EC" w14:textId="77777777" w:rsidR="0084667C" w:rsidRDefault="0084667C" w:rsidP="0084667C">
      <w:pPr>
        <w:jc w:val="center"/>
        <w:rPr>
          <w:rFonts w:ascii="Garamond" w:hAnsi="Garamond"/>
        </w:rPr>
      </w:pPr>
      <w:r>
        <w:rPr>
          <w:rFonts w:ascii="Garamond" w:hAnsi="Garamond"/>
        </w:rPr>
        <w:t>COMPLETUL COMPUS DIN:</w:t>
      </w:r>
    </w:p>
    <w:p w14:paraId="6E036CF0" w14:textId="3F0B9CC6" w:rsidR="0084667C" w:rsidRDefault="0084667C" w:rsidP="0084667C">
      <w:pPr>
        <w:jc w:val="center"/>
        <w:rPr>
          <w:rFonts w:ascii="Garamond" w:hAnsi="Garamond"/>
        </w:rPr>
      </w:pPr>
      <w:r>
        <w:rPr>
          <w:rFonts w:ascii="Garamond" w:hAnsi="Garamond"/>
        </w:rPr>
        <w:t>PREŞEDINTE -</w:t>
      </w:r>
      <w:r w:rsidR="00B45DC7">
        <w:rPr>
          <w:rFonts w:ascii="Garamond" w:hAnsi="Garamond"/>
        </w:rPr>
        <w:t>1024</w:t>
      </w:r>
    </w:p>
    <w:p w14:paraId="14771DAA" w14:textId="1CF5CDED" w:rsidR="0084667C" w:rsidRDefault="0084667C" w:rsidP="0084667C">
      <w:pPr>
        <w:jc w:val="center"/>
        <w:rPr>
          <w:rFonts w:ascii="Garamond" w:hAnsi="Garamond"/>
        </w:rPr>
      </w:pPr>
      <w:r>
        <w:rPr>
          <w:rFonts w:ascii="Garamond" w:hAnsi="Garamond"/>
        </w:rPr>
        <w:t xml:space="preserve">JUDECĂTOR- </w:t>
      </w:r>
      <w:r w:rsidR="00B45DC7">
        <w:rPr>
          <w:rFonts w:ascii="Garamond" w:hAnsi="Garamond"/>
        </w:rPr>
        <w:t>J1</w:t>
      </w:r>
    </w:p>
    <w:p w14:paraId="38B9BA95" w14:textId="4C42DAF3" w:rsidR="0084667C" w:rsidRDefault="0084667C" w:rsidP="0084667C">
      <w:pPr>
        <w:jc w:val="center"/>
        <w:rPr>
          <w:rFonts w:ascii="Garamond" w:hAnsi="Garamond"/>
        </w:rPr>
      </w:pPr>
      <w:r>
        <w:rPr>
          <w:rFonts w:ascii="Garamond" w:hAnsi="Garamond"/>
        </w:rPr>
        <w:t>JUDECĂTOR -</w:t>
      </w:r>
      <w:r w:rsidR="00B45DC7">
        <w:rPr>
          <w:rFonts w:ascii="Garamond" w:hAnsi="Garamond"/>
        </w:rPr>
        <w:t>J2</w:t>
      </w:r>
    </w:p>
    <w:p w14:paraId="4837A5F8" w14:textId="03C69C2D" w:rsidR="0084667C" w:rsidRDefault="0084667C" w:rsidP="0084667C">
      <w:pPr>
        <w:jc w:val="center"/>
        <w:rPr>
          <w:rFonts w:ascii="Garamond" w:hAnsi="Garamond"/>
        </w:rPr>
      </w:pPr>
      <w:r>
        <w:rPr>
          <w:rFonts w:ascii="Garamond" w:hAnsi="Garamond"/>
        </w:rPr>
        <w:t xml:space="preserve">GREFIER- </w:t>
      </w:r>
      <w:r w:rsidR="00B45DC7">
        <w:rPr>
          <w:rFonts w:ascii="Garamond" w:hAnsi="Garamond"/>
        </w:rPr>
        <w:t>G</w:t>
      </w:r>
    </w:p>
    <w:p w14:paraId="19E6EBA5" w14:textId="77777777" w:rsidR="0084667C" w:rsidRDefault="0084667C" w:rsidP="0084667C">
      <w:pPr>
        <w:jc w:val="center"/>
        <w:rPr>
          <w:rFonts w:ascii="Garamond" w:hAnsi="Garamond"/>
        </w:rPr>
      </w:pPr>
    </w:p>
    <w:p w14:paraId="4AEAD688" w14:textId="77777777" w:rsidR="0084667C" w:rsidRDefault="0084667C" w:rsidP="0084667C">
      <w:pPr>
        <w:jc w:val="center"/>
        <w:rPr>
          <w:rFonts w:ascii="Garamond" w:hAnsi="Garamond"/>
        </w:rPr>
      </w:pPr>
      <w:r>
        <w:rPr>
          <w:rFonts w:ascii="Garamond" w:hAnsi="Garamond"/>
        </w:rPr>
        <w:t>x.x.x</w:t>
      </w:r>
    </w:p>
    <w:p w14:paraId="2E350516" w14:textId="77777777" w:rsidR="0084667C" w:rsidRDefault="0084667C" w:rsidP="0084667C">
      <w:pPr>
        <w:jc w:val="center"/>
        <w:rPr>
          <w:rFonts w:ascii="Garamond" w:hAnsi="Garamond"/>
        </w:rPr>
      </w:pPr>
      <w:r>
        <w:rPr>
          <w:rFonts w:ascii="Garamond" w:hAnsi="Garamond"/>
        </w:rPr>
        <w:fldChar w:fldCharType="begin">
          <w:ffData>
            <w:name w:val="nume_procuror"/>
            <w:enabled/>
            <w:calcOnExit w:val="0"/>
            <w:textInput/>
          </w:ffData>
        </w:fldChar>
      </w:r>
      <w:bookmarkStart w:id="2"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2"/>
    </w:p>
    <w:p w14:paraId="4310E320" w14:textId="61650404" w:rsidR="0084667C" w:rsidRDefault="0084667C" w:rsidP="0084667C">
      <w:pPr>
        <w:ind w:firstLine="708"/>
        <w:jc w:val="both"/>
        <w:rPr>
          <w:rFonts w:ascii="Garamond" w:hAnsi="Garamond"/>
        </w:rPr>
      </w:pPr>
      <w:r>
        <w:rPr>
          <w:rFonts w:ascii="Garamond" w:hAnsi="Garamond"/>
        </w:rPr>
        <w:t xml:space="preserve">S-a luat în examinare contestaţia în anulare formulată de contestatorul </w:t>
      </w:r>
      <w:r w:rsidR="00B45DC7">
        <w:rPr>
          <w:rFonts w:ascii="Garamond" w:hAnsi="Garamond"/>
        </w:rPr>
        <w:t>A</w:t>
      </w:r>
      <w:r>
        <w:rPr>
          <w:rFonts w:ascii="Garamond" w:hAnsi="Garamond"/>
        </w:rPr>
        <w:t>,  împotriva deciziei nr.</w:t>
      </w:r>
      <w:r w:rsidR="00B45DC7">
        <w:rPr>
          <w:rFonts w:ascii="Garamond" w:hAnsi="Garamond"/>
        </w:rPr>
        <w:t>...</w:t>
      </w:r>
      <w:r>
        <w:rPr>
          <w:rFonts w:ascii="Garamond" w:hAnsi="Garamond"/>
        </w:rPr>
        <w:t xml:space="preserve">pronunţată de Curtea de Apel </w:t>
      </w:r>
      <w:r w:rsidR="00B45DC7">
        <w:rPr>
          <w:rFonts w:ascii="Garamond" w:hAnsi="Garamond"/>
        </w:rPr>
        <w:t>C</w:t>
      </w:r>
      <w:r>
        <w:rPr>
          <w:rFonts w:ascii="Garamond" w:hAnsi="Garamond"/>
        </w:rPr>
        <w:t xml:space="preserve"> în dosarul nr. </w:t>
      </w:r>
      <w:r w:rsidR="00B45DC7">
        <w:rPr>
          <w:rFonts w:ascii="Garamond" w:hAnsi="Garamond"/>
        </w:rPr>
        <w:t>...</w:t>
      </w:r>
      <w:r>
        <w:rPr>
          <w:rFonts w:ascii="Garamond" w:hAnsi="Garamond"/>
        </w:rPr>
        <w:t xml:space="preserve"> în contradictoriu cu intimaţii INSPECTORATUL DE POLIŢIE AL JUDEŢULUI </w:t>
      </w:r>
      <w:r w:rsidR="00B45DC7">
        <w:rPr>
          <w:rFonts w:ascii="Garamond" w:hAnsi="Garamond"/>
        </w:rPr>
        <w:t>G</w:t>
      </w:r>
      <w:r>
        <w:rPr>
          <w:rFonts w:ascii="Garamond" w:hAnsi="Garamond"/>
        </w:rPr>
        <w:t xml:space="preserve">- POLIŢIA MUNICIPIULUI </w:t>
      </w:r>
      <w:r w:rsidR="00B45DC7">
        <w:rPr>
          <w:rFonts w:ascii="Garamond" w:hAnsi="Garamond"/>
        </w:rPr>
        <w:t>M</w:t>
      </w:r>
      <w:r>
        <w:rPr>
          <w:rFonts w:ascii="Garamond" w:hAnsi="Garamond"/>
        </w:rPr>
        <w:t xml:space="preserve"> şi </w:t>
      </w:r>
      <w:r w:rsidR="00B45DC7">
        <w:rPr>
          <w:rFonts w:ascii="Garamond" w:hAnsi="Garamond"/>
        </w:rPr>
        <w:t>N</w:t>
      </w:r>
      <w:r>
        <w:rPr>
          <w:rFonts w:ascii="Garamond" w:hAnsi="Garamond"/>
        </w:rPr>
        <w:t>.</w:t>
      </w:r>
    </w:p>
    <w:p w14:paraId="79E61D0F" w14:textId="39EF40DE" w:rsidR="0084667C" w:rsidRDefault="0084667C" w:rsidP="0084667C">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3"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3"/>
      <w:r>
        <w:rPr>
          <w:rFonts w:ascii="Garamond" w:hAnsi="Garamond"/>
        </w:rPr>
        <w:t xml:space="preserve">, părţile au lipsit contestatorul </w:t>
      </w:r>
      <w:r w:rsidR="00B45DC7">
        <w:rPr>
          <w:rFonts w:ascii="Garamond" w:hAnsi="Garamond"/>
        </w:rPr>
        <w:t>A</w:t>
      </w:r>
      <w:r>
        <w:rPr>
          <w:rFonts w:ascii="Garamond" w:hAnsi="Garamond"/>
        </w:rPr>
        <w:t xml:space="preserve"> şi intimaţii INSPECTORATUL DE POLIŢIE AL JUDEŢULUI </w:t>
      </w:r>
      <w:r w:rsidR="007A2220">
        <w:rPr>
          <w:rFonts w:ascii="Garamond" w:hAnsi="Garamond"/>
        </w:rPr>
        <w:t>G</w:t>
      </w:r>
      <w:r>
        <w:rPr>
          <w:rFonts w:ascii="Garamond" w:hAnsi="Garamond"/>
        </w:rPr>
        <w:t xml:space="preserve">- POLIŢIA MUNICIPIULUI </w:t>
      </w:r>
      <w:r w:rsidR="00B45DC7">
        <w:rPr>
          <w:rFonts w:ascii="Garamond" w:hAnsi="Garamond"/>
        </w:rPr>
        <w:t>M</w:t>
      </w:r>
      <w:r>
        <w:rPr>
          <w:rFonts w:ascii="Garamond" w:hAnsi="Garamond"/>
        </w:rPr>
        <w:t xml:space="preserve"> şi </w:t>
      </w:r>
      <w:r w:rsidR="00B45DC7">
        <w:rPr>
          <w:rFonts w:ascii="Garamond" w:hAnsi="Garamond"/>
        </w:rPr>
        <w:t>N</w:t>
      </w:r>
      <w:r>
        <w:rPr>
          <w:rFonts w:ascii="Garamond" w:hAnsi="Garamond"/>
        </w:rPr>
        <w:t>.</w:t>
      </w:r>
    </w:p>
    <w:p w14:paraId="0BF5D1DF" w14:textId="77777777" w:rsidR="0084667C" w:rsidRDefault="0084667C" w:rsidP="0084667C">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4"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4"/>
      <w:r>
        <w:rPr>
          <w:rFonts w:ascii="Garamond" w:hAnsi="Garamond"/>
        </w:rPr>
        <w:t xml:space="preserve"> îndeplinită.</w:t>
      </w:r>
    </w:p>
    <w:p w14:paraId="70811094" w14:textId="77777777" w:rsidR="0084667C" w:rsidRDefault="0084667C" w:rsidP="0084667C">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5"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5"/>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6"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6"/>
      <w:r>
        <w:rPr>
          <w:rFonts w:ascii="Garamond" w:hAnsi="Garamond"/>
        </w:rPr>
        <w:t xml:space="preserve"> după care ;</w:t>
      </w:r>
    </w:p>
    <w:p w14:paraId="2266034A" w14:textId="77777777" w:rsidR="0084667C" w:rsidRPr="0018671E" w:rsidRDefault="0084667C" w:rsidP="0084667C">
      <w:pPr>
        <w:ind w:firstLine="708"/>
        <w:jc w:val="both"/>
        <w:rPr>
          <w:rFonts w:ascii="Garamond (W1)" w:hAnsi="Garamond (W1)"/>
        </w:rPr>
      </w:pPr>
      <w:r w:rsidRPr="0018671E">
        <w:rPr>
          <w:rFonts w:ascii="Garamond (W1)" w:hAnsi="Garamond (W1)"/>
        </w:rPr>
        <w:t xml:space="preserve">Apreciindu-se </w:t>
      </w:r>
      <w:r>
        <w:rPr>
          <w:rFonts w:ascii="Garamond (W1)" w:hAnsi="Garamond (W1)"/>
        </w:rPr>
        <w:t>cauza în stare de judecat</w:t>
      </w:r>
      <w:r>
        <w:t>ă</w:t>
      </w:r>
      <w:r w:rsidRPr="0018671E">
        <w:rPr>
          <w:rFonts w:ascii="Garamond (W1)" w:hAnsi="Garamond (W1)"/>
        </w:rPr>
        <w:t>, instan</w:t>
      </w:r>
      <w:r w:rsidRPr="0018671E">
        <w:t>ţ</w:t>
      </w:r>
      <w:r w:rsidRPr="0018671E">
        <w:rPr>
          <w:rFonts w:ascii="Garamond (W1)" w:hAnsi="Garamond (W1)"/>
        </w:rPr>
        <w:t>a re</w:t>
      </w:r>
      <w:r w:rsidRPr="0018671E">
        <w:t>ţ</w:t>
      </w:r>
      <w:r w:rsidRPr="0018671E">
        <w:rPr>
          <w:rFonts w:ascii="Garamond (W1)" w:hAnsi="Garamond (W1)"/>
        </w:rPr>
        <w:t>ine cauza spre solu</w:t>
      </w:r>
      <w:r w:rsidRPr="0018671E">
        <w:t>ţ</w:t>
      </w:r>
      <w:r w:rsidRPr="0018671E">
        <w:rPr>
          <w:rFonts w:ascii="Garamond (W1)" w:hAnsi="Garamond (W1)"/>
        </w:rPr>
        <w:t>ionare.</w:t>
      </w:r>
    </w:p>
    <w:p w14:paraId="3E98FBBC" w14:textId="77777777" w:rsidR="0084667C" w:rsidRDefault="0084667C" w:rsidP="0084667C">
      <w:pPr>
        <w:tabs>
          <w:tab w:val="left" w:pos="2295"/>
        </w:tabs>
        <w:ind w:firstLine="708"/>
        <w:jc w:val="both"/>
        <w:rPr>
          <w:rFonts w:ascii="Garamond (W1)" w:hAnsi="Garamond (W1)"/>
        </w:rPr>
      </w:pPr>
      <w:r w:rsidRPr="0018671E">
        <w:rPr>
          <w:rFonts w:ascii="Garamond (W1)" w:hAnsi="Garamond (W1)"/>
        </w:rPr>
        <w:t>Deliberând,</w:t>
      </w:r>
    </w:p>
    <w:p w14:paraId="0DFE2A93" w14:textId="77777777" w:rsidR="0084667C" w:rsidRDefault="0084667C" w:rsidP="0084667C">
      <w:pPr>
        <w:tabs>
          <w:tab w:val="left" w:pos="2295"/>
        </w:tabs>
        <w:ind w:firstLine="708"/>
        <w:jc w:val="both"/>
        <w:rPr>
          <w:rFonts w:ascii="Garamond (W1)" w:hAnsi="Garamond (W1)"/>
        </w:rPr>
      </w:pPr>
    </w:p>
    <w:p w14:paraId="6AB4039F" w14:textId="77777777" w:rsidR="0084667C" w:rsidRPr="00732485" w:rsidRDefault="0084667C" w:rsidP="0084667C">
      <w:pPr>
        <w:tabs>
          <w:tab w:val="left" w:pos="2295"/>
        </w:tabs>
        <w:ind w:firstLine="708"/>
        <w:jc w:val="both"/>
        <w:rPr>
          <w:rFonts w:ascii="Garamond (W1)" w:hAnsi="Garamond (W1)"/>
        </w:rPr>
      </w:pPr>
    </w:p>
    <w:p w14:paraId="16FBC9C6" w14:textId="77777777" w:rsidR="0084667C" w:rsidRDefault="0084667C" w:rsidP="0084667C">
      <w:pPr>
        <w:jc w:val="center"/>
        <w:rPr>
          <w:rFonts w:ascii="Garamond" w:hAnsi="Garamond"/>
        </w:rPr>
      </w:pPr>
      <w:r>
        <w:rPr>
          <w:rFonts w:ascii="Garamond" w:hAnsi="Garamond"/>
        </w:rPr>
        <w:t>C U R T E A</w:t>
      </w:r>
    </w:p>
    <w:p w14:paraId="547870B1" w14:textId="77777777" w:rsidR="0084667C" w:rsidRDefault="0084667C" w:rsidP="0084667C">
      <w:pPr>
        <w:jc w:val="center"/>
        <w:rPr>
          <w:rFonts w:ascii="Garamond" w:hAnsi="Garamond"/>
        </w:rPr>
      </w:pPr>
    </w:p>
    <w:p w14:paraId="2B88263F" w14:textId="77777777" w:rsidR="0084667C" w:rsidRDefault="0084667C" w:rsidP="0084667C">
      <w:pPr>
        <w:ind w:firstLine="708"/>
        <w:jc w:val="both"/>
        <w:rPr>
          <w:rFonts w:ascii="Garamond (W1)" w:hAnsi="Garamond (W1)"/>
        </w:rPr>
      </w:pPr>
      <w:r>
        <w:rPr>
          <w:rFonts w:ascii="Garamond (W1)" w:hAnsi="Garamond (W1)"/>
        </w:rPr>
        <w:t>Asupra contesta</w:t>
      </w:r>
      <w:r>
        <w:t>ţiei în anulare</w:t>
      </w:r>
      <w:r w:rsidRPr="0018671E">
        <w:rPr>
          <w:rFonts w:ascii="Garamond (W1)" w:hAnsi="Garamond (W1)"/>
        </w:rPr>
        <w:t xml:space="preserve"> de fa</w:t>
      </w:r>
      <w:r w:rsidRPr="0018671E">
        <w:t>ţă</w:t>
      </w:r>
      <w:r w:rsidRPr="0018671E">
        <w:rPr>
          <w:rFonts w:ascii="Garamond (W1)" w:hAnsi="Garamond (W1)"/>
        </w:rPr>
        <w:t xml:space="preserve"> </w:t>
      </w:r>
      <w:r>
        <w:rPr>
          <w:rFonts w:ascii="Garamond (W1)" w:hAnsi="Garamond (W1)"/>
        </w:rPr>
        <w:t>;</w:t>
      </w:r>
    </w:p>
    <w:p w14:paraId="2130009A" w14:textId="77777777" w:rsidR="0084667C" w:rsidRPr="0018671E" w:rsidRDefault="0084667C" w:rsidP="0084667C">
      <w:pPr>
        <w:ind w:firstLine="708"/>
        <w:jc w:val="both"/>
        <w:rPr>
          <w:rFonts w:ascii="Garamond (W1)" w:hAnsi="Garamond (W1)"/>
        </w:rPr>
      </w:pPr>
      <w:r>
        <w:rPr>
          <w:rFonts w:ascii="Garamond (W1)" w:hAnsi="Garamond (W1)"/>
        </w:rPr>
        <w:t>Din examinarea lucr</w:t>
      </w:r>
      <w:r>
        <w:t xml:space="preserve">ărilor din dosar </w:t>
      </w:r>
      <w:r w:rsidRPr="0018671E">
        <w:rPr>
          <w:rFonts w:ascii="Garamond (W1)" w:hAnsi="Garamond (W1)"/>
        </w:rPr>
        <w:t>se constat</w:t>
      </w:r>
      <w:r w:rsidRPr="0018671E">
        <w:t>ă</w:t>
      </w:r>
      <w:r w:rsidRPr="0018671E">
        <w:rPr>
          <w:rFonts w:ascii="Garamond (W1)" w:hAnsi="Garamond (W1)"/>
        </w:rPr>
        <w:t xml:space="preserve"> urm</w:t>
      </w:r>
      <w:r w:rsidRPr="0018671E">
        <w:t>ă</w:t>
      </w:r>
      <w:r w:rsidRPr="0018671E">
        <w:rPr>
          <w:rFonts w:ascii="Garamond (W1)" w:hAnsi="Garamond (W1)"/>
        </w:rPr>
        <w:t>toarele ;</w:t>
      </w:r>
    </w:p>
    <w:p w14:paraId="4993D2E3" w14:textId="19380003" w:rsidR="0084667C" w:rsidRPr="00BC4E37" w:rsidRDefault="0084667C" w:rsidP="0084667C">
      <w:pPr>
        <w:ind w:firstLine="708"/>
        <w:jc w:val="both"/>
        <w:rPr>
          <w:rFonts w:ascii="Garamond" w:hAnsi="Garamond"/>
        </w:rPr>
      </w:pPr>
      <w:r>
        <w:rPr>
          <w:rFonts w:ascii="Garamond (W1)" w:hAnsi="Garamond (W1)"/>
        </w:rPr>
        <w:t>Prin decizia nr.</w:t>
      </w:r>
      <w:r w:rsidRPr="00BC4E37">
        <w:rPr>
          <w:rFonts w:ascii="Garamond" w:hAnsi="Garamond"/>
        </w:rPr>
        <w:t xml:space="preserve"> </w:t>
      </w:r>
      <w:r w:rsidR="00B45DC7">
        <w:rPr>
          <w:rFonts w:ascii="Garamond" w:hAnsi="Garamond"/>
        </w:rPr>
        <w:t>...</w:t>
      </w:r>
      <w:r>
        <w:rPr>
          <w:rFonts w:ascii="Garamond" w:hAnsi="Garamond"/>
        </w:rPr>
        <w:t xml:space="preserve">pronunţată de Curtea de Apel </w:t>
      </w:r>
      <w:r w:rsidR="00B45DC7">
        <w:rPr>
          <w:rFonts w:ascii="Garamond" w:hAnsi="Garamond"/>
        </w:rPr>
        <w:t>C</w:t>
      </w:r>
      <w:r>
        <w:rPr>
          <w:rFonts w:ascii="Garamond" w:hAnsi="Garamond"/>
        </w:rPr>
        <w:t xml:space="preserve"> în dosarul nr. </w:t>
      </w:r>
      <w:r w:rsidR="00B45DC7">
        <w:rPr>
          <w:rFonts w:ascii="Garamond" w:hAnsi="Garamond"/>
        </w:rPr>
        <w:t>...</w:t>
      </w:r>
      <w:r>
        <w:rPr>
          <w:rFonts w:ascii="Garamond" w:hAnsi="Garamond"/>
        </w:rPr>
        <w:t xml:space="preserve">, s-a constatat nul recursul declarat de reclamantul </w:t>
      </w:r>
      <w:r w:rsidR="00B45DC7">
        <w:rPr>
          <w:rFonts w:ascii="Garamond" w:hAnsi="Garamond"/>
        </w:rPr>
        <w:t>A</w:t>
      </w:r>
      <w:r>
        <w:rPr>
          <w:rFonts w:ascii="Garamond" w:hAnsi="Garamond"/>
        </w:rPr>
        <w:t xml:space="preserve">, împotriva sentinţei nr. </w:t>
      </w:r>
      <w:r w:rsidR="00AB3491">
        <w:rPr>
          <w:rFonts w:ascii="Garamond" w:hAnsi="Garamond"/>
        </w:rPr>
        <w:t>...</w:t>
      </w:r>
      <w:r>
        <w:rPr>
          <w:rFonts w:ascii="Garamond" w:hAnsi="Garamond"/>
        </w:rPr>
        <w:t xml:space="preserve">pronunţată de Judecătoria </w:t>
      </w:r>
      <w:r w:rsidR="00B45DC7">
        <w:rPr>
          <w:rFonts w:ascii="Garamond" w:hAnsi="Garamond"/>
        </w:rPr>
        <w:t>M</w:t>
      </w:r>
      <w:r>
        <w:rPr>
          <w:rFonts w:ascii="Garamond" w:hAnsi="Garamond"/>
        </w:rPr>
        <w:t xml:space="preserve"> în dosarul nr. </w:t>
      </w:r>
      <w:r w:rsidR="00AB3491">
        <w:rPr>
          <w:rFonts w:ascii="Garamond" w:hAnsi="Garamond"/>
        </w:rPr>
        <w:t>...</w:t>
      </w:r>
      <w:r>
        <w:rPr>
          <w:rFonts w:ascii="Garamond" w:hAnsi="Garamond"/>
        </w:rPr>
        <w:t xml:space="preserve">şi a deciziei nr. </w:t>
      </w:r>
      <w:r w:rsidR="00AB3491">
        <w:rPr>
          <w:rFonts w:ascii="Garamond" w:hAnsi="Garamond"/>
        </w:rPr>
        <w:t>...</w:t>
      </w:r>
      <w:r>
        <w:rPr>
          <w:rFonts w:ascii="Garamond" w:hAnsi="Garamond"/>
        </w:rPr>
        <w:t xml:space="preserve"> din data de </w:t>
      </w:r>
      <w:r w:rsidR="00AB3491">
        <w:rPr>
          <w:rFonts w:ascii="Garamond" w:hAnsi="Garamond"/>
        </w:rPr>
        <w:t>....</w:t>
      </w:r>
      <w:r>
        <w:rPr>
          <w:rFonts w:ascii="Garamond" w:hAnsi="Garamond"/>
        </w:rPr>
        <w:t xml:space="preserve"> pronunţată de Tribunalul </w:t>
      </w:r>
      <w:r w:rsidR="00B45DC7">
        <w:rPr>
          <w:rFonts w:ascii="Garamond" w:hAnsi="Garamond"/>
        </w:rPr>
        <w:t>G</w:t>
      </w:r>
      <w:r>
        <w:rPr>
          <w:rFonts w:ascii="Garamond" w:hAnsi="Garamond"/>
        </w:rPr>
        <w:t xml:space="preserve"> în dosarul nr. </w:t>
      </w:r>
      <w:r w:rsidR="00AB3491">
        <w:rPr>
          <w:rFonts w:ascii="Garamond" w:hAnsi="Garamond"/>
        </w:rPr>
        <w:t>...</w:t>
      </w:r>
      <w:r>
        <w:rPr>
          <w:rFonts w:ascii="Garamond" w:hAnsi="Garamond"/>
        </w:rPr>
        <w:t xml:space="preserve">în contradictoriu cu pârâţii INSPECTORATUL JUDEŢEAN DE POLIŢIE </w:t>
      </w:r>
      <w:r w:rsidR="00B45DC7">
        <w:rPr>
          <w:rFonts w:ascii="Garamond" w:hAnsi="Garamond"/>
        </w:rPr>
        <w:t>G</w:t>
      </w:r>
      <w:r>
        <w:rPr>
          <w:rFonts w:ascii="Garamond" w:hAnsi="Garamond"/>
        </w:rPr>
        <w:t xml:space="preserve"> - POLIŢIA MUN. </w:t>
      </w:r>
      <w:r w:rsidR="00B45DC7">
        <w:rPr>
          <w:rFonts w:ascii="Garamond" w:hAnsi="Garamond"/>
        </w:rPr>
        <w:t>M</w:t>
      </w:r>
      <w:r>
        <w:rPr>
          <w:rFonts w:ascii="Garamond" w:hAnsi="Garamond"/>
        </w:rPr>
        <w:t xml:space="preserve"> şi </w:t>
      </w:r>
      <w:r w:rsidR="00B45DC7">
        <w:rPr>
          <w:rFonts w:ascii="Garamond" w:hAnsi="Garamond"/>
        </w:rPr>
        <w:t>N</w:t>
      </w:r>
      <w:r>
        <w:rPr>
          <w:rFonts w:ascii="Garamond" w:hAnsi="Garamond"/>
        </w:rPr>
        <w:t>, având ca obiect anulare proces verbal de contravenţie.</w:t>
      </w:r>
    </w:p>
    <w:p w14:paraId="470E181F" w14:textId="3EB4F032" w:rsidR="0084667C" w:rsidRDefault="0084667C" w:rsidP="0084667C">
      <w:pPr>
        <w:ind w:firstLine="708"/>
        <w:jc w:val="both"/>
        <w:rPr>
          <w:rFonts w:ascii="Garamond" w:hAnsi="Garamond"/>
        </w:rPr>
      </w:pPr>
      <w:r>
        <w:rPr>
          <w:rFonts w:ascii="Garamond (W1)" w:hAnsi="Garamond (W1)"/>
          <w:lang w:val="pt-PT"/>
        </w:rPr>
        <w:t>Împotriva acestei sentin</w:t>
      </w:r>
      <w:r>
        <w:rPr>
          <w:lang w:val="pt-PT"/>
        </w:rPr>
        <w:t xml:space="preserve">ţe a formulat contestaţiei în anulare </w:t>
      </w:r>
      <w:r w:rsidR="00B45DC7">
        <w:rPr>
          <w:rFonts w:ascii="Garamond" w:hAnsi="Garamond"/>
        </w:rPr>
        <w:t>A</w:t>
      </w:r>
      <w:r>
        <w:rPr>
          <w:lang w:val="pt-PT"/>
        </w:rPr>
        <w:t xml:space="preserve">, </w:t>
      </w:r>
      <w:r>
        <w:rPr>
          <w:rFonts w:ascii="Garamond" w:hAnsi="Garamond"/>
        </w:rPr>
        <w:t>invocând aplicarea art. 503 alin. 2, pct. 3 şi 4 NCPC .</w:t>
      </w:r>
    </w:p>
    <w:p w14:paraId="02C025F2" w14:textId="77777777" w:rsidR="0084667C" w:rsidRDefault="0084667C" w:rsidP="0084667C">
      <w:pPr>
        <w:ind w:firstLine="708"/>
        <w:jc w:val="both"/>
        <w:rPr>
          <w:rFonts w:ascii="Garamond" w:hAnsi="Garamond"/>
        </w:rPr>
      </w:pPr>
      <w:r>
        <w:rPr>
          <w:rFonts w:ascii="Garamond" w:hAnsi="Garamond"/>
        </w:rPr>
        <w:t>Prin motivele contestaţiei, contestatorul arată că, potrivit art. 13 alin. 3 NCPC părţilor litigante li se asigură posibilitatea participării la toate fazele de desfăşurare a procesului, dar prin instituirea obligaţiei de a formula recursul prin apărător, în condiţiile în care contestatorul nu posedă mijloacele materiale necesare asigurării asistenţei judiciare se încalcă acest drept .</w:t>
      </w:r>
    </w:p>
    <w:p w14:paraId="207C6FBC" w14:textId="0CD9BFA0" w:rsidR="0084667C" w:rsidRDefault="0084667C" w:rsidP="0084667C">
      <w:pPr>
        <w:ind w:firstLine="708"/>
        <w:jc w:val="both"/>
        <w:rPr>
          <w:rFonts w:ascii="Garamond" w:hAnsi="Garamond"/>
        </w:rPr>
      </w:pPr>
      <w:r>
        <w:rPr>
          <w:rFonts w:ascii="Garamond" w:hAnsi="Garamond"/>
        </w:rPr>
        <w:t xml:space="preserve">Indică şi faptul că, atât instanţa de apel, cât şi cea de recurs nu au luat în considerare motivele de apel şi respectiv de recurs, speţa nefiind dezbătută în fond, nefiind analizată conformitatea procesului verbal de contravenţie faţă de OUG 195/2002, precum şi faţă de regulamentul de aplicare din 04.10.2006, nu a fost analizat dacă a existat un accident de circulaţie, în raport de înscrisurile depuse în apel, în raport de planşele foto ale autoturismelor din 14.02.2013, precum şi în raport de nota emisă de dealerul </w:t>
      </w:r>
      <w:r w:rsidR="00AB3491">
        <w:rPr>
          <w:rFonts w:ascii="Garamond" w:hAnsi="Garamond"/>
        </w:rPr>
        <w:t>Y</w:t>
      </w:r>
      <w:r>
        <w:rPr>
          <w:rFonts w:ascii="Garamond" w:hAnsi="Garamond"/>
        </w:rPr>
        <w:t xml:space="preserve"> indicând totodată aceste înscrisuri probatorii în vederea susţinerii contestaţiei în anulare</w:t>
      </w:r>
    </w:p>
    <w:p w14:paraId="60D74954" w14:textId="77777777" w:rsidR="0084667C" w:rsidRDefault="0084667C" w:rsidP="0084667C">
      <w:pPr>
        <w:ind w:firstLine="708"/>
        <w:jc w:val="both"/>
        <w:rPr>
          <w:rFonts w:ascii="Garamond" w:hAnsi="Garamond"/>
        </w:rPr>
      </w:pPr>
      <w:r>
        <w:rPr>
          <w:rFonts w:ascii="Garamond" w:hAnsi="Garamond"/>
        </w:rPr>
        <w:t>Contestatorul a solicitat judecarea cauzei în lipsă , potrivit art. 411 NCPC .</w:t>
      </w:r>
    </w:p>
    <w:p w14:paraId="3E24F7AE" w14:textId="77777777" w:rsidR="0084667C" w:rsidRDefault="0084667C" w:rsidP="0084667C">
      <w:pPr>
        <w:ind w:firstLine="708"/>
        <w:jc w:val="both"/>
        <w:rPr>
          <w:rFonts w:ascii="Garamond" w:hAnsi="Garamond"/>
        </w:rPr>
      </w:pPr>
      <w:r>
        <w:rPr>
          <w:rFonts w:ascii="Garamond" w:hAnsi="Garamond"/>
        </w:rPr>
        <w:t>Intimatul, legal citat, nu a formulat întâmpinare .</w:t>
      </w:r>
    </w:p>
    <w:p w14:paraId="2B3E91B9" w14:textId="77777777" w:rsidR="0084667C" w:rsidRDefault="0084667C" w:rsidP="0084667C">
      <w:pPr>
        <w:ind w:firstLine="708"/>
        <w:jc w:val="both"/>
        <w:rPr>
          <w:rFonts w:ascii="Garamond" w:hAnsi="Garamond"/>
        </w:rPr>
      </w:pPr>
      <w:r>
        <w:rPr>
          <w:rFonts w:ascii="Garamond" w:hAnsi="Garamond"/>
        </w:rPr>
        <w:t xml:space="preserve">Analizând condiţiile de admisibilitate ale contestaţiei în anulare, Curtea constată, în prealabil faptul că dispoziţiile art. 503 alin. 2 pct. 3 şi 4 NCPC  reglementează omisiunea cercetării vreunui </w:t>
      </w:r>
      <w:r>
        <w:rPr>
          <w:rFonts w:ascii="Garamond" w:hAnsi="Garamond"/>
        </w:rPr>
        <w:lastRenderedPageBreak/>
        <w:t>dintre motivele de casare invocate de recurent, în termen, respectiv omisiunea pronunţării asupra unui recurs declarat în cauză.</w:t>
      </w:r>
    </w:p>
    <w:p w14:paraId="1A6932F0" w14:textId="4758C6BE" w:rsidR="0084667C" w:rsidRDefault="0084667C" w:rsidP="0084667C">
      <w:pPr>
        <w:ind w:firstLine="708"/>
        <w:jc w:val="both"/>
        <w:rPr>
          <w:rFonts w:ascii="Garamond" w:hAnsi="Garamond"/>
        </w:rPr>
      </w:pPr>
      <w:r>
        <w:rPr>
          <w:rFonts w:ascii="Garamond" w:hAnsi="Garamond"/>
        </w:rPr>
        <w:t xml:space="preserve">În speţă, prin decizia </w:t>
      </w:r>
      <w:r w:rsidR="00AB3491">
        <w:rPr>
          <w:rFonts w:ascii="Garamond" w:hAnsi="Garamond"/>
        </w:rPr>
        <w:t>....</w:t>
      </w:r>
      <w:r>
        <w:rPr>
          <w:rFonts w:ascii="Garamond" w:hAnsi="Garamond"/>
        </w:rPr>
        <w:t xml:space="preserve"> contestată în cauză a fost constatată nulitatea recursului declarat de către recurentul contestator </w:t>
      </w:r>
      <w:r w:rsidR="00B45DC7">
        <w:rPr>
          <w:rFonts w:ascii="Garamond" w:hAnsi="Garamond"/>
        </w:rPr>
        <w:t>A</w:t>
      </w:r>
      <w:r>
        <w:rPr>
          <w:rFonts w:ascii="Garamond" w:hAnsi="Garamond"/>
        </w:rPr>
        <w:t xml:space="preserve"> împotriva deciziei definitive nr. </w:t>
      </w:r>
      <w:r w:rsidR="00AB3491">
        <w:rPr>
          <w:rFonts w:ascii="Garamond" w:hAnsi="Garamond"/>
        </w:rPr>
        <w:t>....</w:t>
      </w:r>
      <w:r>
        <w:rPr>
          <w:rFonts w:ascii="Garamond" w:hAnsi="Garamond"/>
        </w:rPr>
        <w:t>, reţinându-se prin considerente îndeplinirea condiţiilor de aplicare a sancţiunii nulităţii recursului declarat, ca efect al neîndeplinirii obligaţiilor dispuse în procedura de regularizare, în condiţiile art. XVII din Legea 2/2013 şi art. 486 alin. 3 NCPC .</w:t>
      </w:r>
    </w:p>
    <w:p w14:paraId="50D3D4AA" w14:textId="77777777" w:rsidR="0084667C" w:rsidRDefault="0084667C" w:rsidP="0084667C">
      <w:pPr>
        <w:ind w:firstLine="708"/>
        <w:jc w:val="both"/>
        <w:rPr>
          <w:rFonts w:ascii="Garamond" w:hAnsi="Garamond"/>
        </w:rPr>
      </w:pPr>
      <w:r>
        <w:rPr>
          <w:rFonts w:ascii="Garamond" w:hAnsi="Garamond"/>
        </w:rPr>
        <w:t>Din acest punct de vedere, operând sancţiunea nulităţii exprese a cererii de recurs pentru nerespectarea art. 486 alin. 1 lit. a NCPC, obligaţia instanţei de a analiza recursul declarat sub aspectul analizei motivelor de nelegalitate invocate nu mai subzistă, astfel încât nu sunt aplicabile disp. art. 503 alin. 2 pct. 3 NCPC, acesta constituind efectul firesc al nulităţii necondiţionate reglementat de art. 179 NCPC .</w:t>
      </w:r>
    </w:p>
    <w:p w14:paraId="69924F6D" w14:textId="77777777" w:rsidR="0084667C" w:rsidRDefault="0084667C" w:rsidP="0084667C">
      <w:pPr>
        <w:ind w:firstLine="708"/>
        <w:jc w:val="both"/>
        <w:rPr>
          <w:rFonts w:ascii="Garamond" w:hAnsi="Garamond"/>
        </w:rPr>
      </w:pPr>
      <w:r>
        <w:rPr>
          <w:rFonts w:ascii="Garamond" w:hAnsi="Garamond"/>
        </w:rPr>
        <w:t>În ceea ce priveşte încălcarea normei art. 13 NCPC privind acordarea posibilităţii participării la proces, Curtea constată că această dispoziţie nu este, în mod direct, lezată prin aplicarea sancţiunii nulităţii recursului .</w:t>
      </w:r>
    </w:p>
    <w:p w14:paraId="2CFE085A" w14:textId="77777777" w:rsidR="0084667C" w:rsidRDefault="0084667C" w:rsidP="0084667C">
      <w:pPr>
        <w:ind w:firstLine="708"/>
        <w:jc w:val="both"/>
        <w:rPr>
          <w:rFonts w:ascii="Garamond" w:hAnsi="Garamond"/>
        </w:rPr>
      </w:pPr>
      <w:r>
        <w:rPr>
          <w:rFonts w:ascii="Garamond" w:hAnsi="Garamond"/>
        </w:rPr>
        <w:t xml:space="preserve">Astfel, calificând juridic susţinerile contestatorului în raport de cauza juridică a contestaţiei, Curtea constată că acesta înţelege să invoce încălcarea dreptului la un proces echitabil, respectiv a principiului constituţional privind liberul acces la justiţie analizat prin Decizia nr. </w:t>
      </w:r>
      <w:bookmarkStart w:id="7" w:name="_GoBack"/>
      <w:r>
        <w:rPr>
          <w:rFonts w:ascii="Garamond" w:hAnsi="Garamond"/>
        </w:rPr>
        <w:t>462</w:t>
      </w:r>
      <w:bookmarkEnd w:id="7"/>
      <w:r>
        <w:rPr>
          <w:rFonts w:ascii="Garamond" w:hAnsi="Garamond"/>
        </w:rPr>
        <w:t>/17.09.2014 pronunţată de către Curtea Constituţională a României, publicată în Monitorul Oficial nr. 775/24.10.2014 (decizie care, în considerarea art. 147 alin. Final din Constituţia României prezintă putere numai pentru viitor, astfel încât nu se aplică unui proces finalizat, în raport de data anterioară a pronunţării deciziei contestate în cauză).</w:t>
      </w:r>
    </w:p>
    <w:p w14:paraId="289332EC" w14:textId="77777777" w:rsidR="0084667C" w:rsidRDefault="0084667C" w:rsidP="0084667C">
      <w:pPr>
        <w:ind w:firstLine="708"/>
        <w:jc w:val="both"/>
        <w:rPr>
          <w:rFonts w:ascii="Garamond" w:hAnsi="Garamond"/>
        </w:rPr>
      </w:pPr>
      <w:r>
        <w:rPr>
          <w:rFonts w:ascii="Garamond" w:hAnsi="Garamond"/>
        </w:rPr>
        <w:t>Aceste susţineri ale contestatorului recurent nu iau în considerare dreptul la asistenţă judiciară gratuită acordat în condiţiile OUG 51/2008 şi art. 71-73 din Legea 51/1995 .</w:t>
      </w:r>
    </w:p>
    <w:p w14:paraId="3215537D" w14:textId="77777777" w:rsidR="0084667C" w:rsidRDefault="0084667C" w:rsidP="0084667C">
      <w:pPr>
        <w:ind w:firstLine="708"/>
        <w:jc w:val="both"/>
        <w:rPr>
          <w:rFonts w:ascii="Garamond" w:hAnsi="Garamond"/>
        </w:rPr>
      </w:pPr>
      <w:r>
        <w:rPr>
          <w:rFonts w:ascii="Garamond" w:hAnsi="Garamond"/>
        </w:rPr>
        <w:t>Totodată, Curtea constată că, în speţă, deşi contestatorul invocă în mod formal omisiunea verificării motivelor de recurs, în considerarea finalităţii căii extraordinare de atac în retractare pentru erori de procedură, în fapt contestă eroare de aplicare a sancţiunii nulităţii recursului, indicând împrejurări de fapt care conduc către concluzia imposibilităţii angajării unui avocat, iar aceste aspecte vizează eroare de judecată, noţiune ce nu intră în controlul judiciar extraordinar în retractare .</w:t>
      </w:r>
    </w:p>
    <w:p w14:paraId="7730AE62" w14:textId="77777777" w:rsidR="0084667C" w:rsidRDefault="0084667C" w:rsidP="0084667C">
      <w:pPr>
        <w:ind w:firstLine="708"/>
        <w:jc w:val="both"/>
        <w:rPr>
          <w:rFonts w:ascii="Garamond" w:hAnsi="Garamond"/>
        </w:rPr>
      </w:pPr>
      <w:r>
        <w:rPr>
          <w:rFonts w:ascii="Garamond" w:hAnsi="Garamond"/>
        </w:rPr>
        <w:t>În ceea ce priveşte omisiunea soluţionării unui recurs, conform ipotezei reglementate de art. 503 alin. 2 pct. 4 NCPC, Curtea urmează să constate că, în speţă nu au existat două sau mai multe cereri de recurs, astfel încât să devină incident acest motiv de contestaţie .</w:t>
      </w:r>
    </w:p>
    <w:p w14:paraId="219EECD9" w14:textId="77777777" w:rsidR="0084667C" w:rsidRPr="00732485" w:rsidRDefault="0084667C" w:rsidP="0084667C">
      <w:pPr>
        <w:ind w:firstLine="708"/>
        <w:jc w:val="both"/>
        <w:rPr>
          <w:rFonts w:ascii="Garamond" w:hAnsi="Garamond"/>
        </w:rPr>
      </w:pPr>
      <w:r>
        <w:rPr>
          <w:rFonts w:ascii="Garamond" w:hAnsi="Garamond"/>
        </w:rPr>
        <w:t>Pentru considerentele mai sus expuse, văzând disp. art. 508 NCPC, Curtea urmează să respingă contestaţia în anulare formulată, apreciind că nu sunt îndeplinite condiţiile de admisibilitate în raport de motivele invocate .</w:t>
      </w:r>
    </w:p>
    <w:p w14:paraId="68F1156D" w14:textId="77777777" w:rsidR="0084667C" w:rsidRDefault="0084667C" w:rsidP="0084667C">
      <w:pPr>
        <w:rPr>
          <w:rFonts w:ascii="Garamond" w:hAnsi="Garamond"/>
        </w:rPr>
      </w:pPr>
      <w:r>
        <w:rPr>
          <w:rFonts w:ascii="Garamond" w:hAnsi="Garamond"/>
        </w:rPr>
        <w:tab/>
      </w:r>
    </w:p>
    <w:p w14:paraId="03CFD337" w14:textId="77777777" w:rsidR="0084667C" w:rsidRDefault="0084667C" w:rsidP="0084667C">
      <w:pPr>
        <w:rPr>
          <w:rFonts w:ascii="Garamond" w:hAnsi="Garamond"/>
        </w:rPr>
      </w:pPr>
    </w:p>
    <w:p w14:paraId="56E68593" w14:textId="77777777" w:rsidR="0084667C" w:rsidRDefault="0084667C" w:rsidP="0084667C">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649F32C4" w14:textId="77777777" w:rsidR="0084667C" w:rsidRPr="004F1394" w:rsidRDefault="0084667C" w:rsidP="0084667C">
      <w:pPr>
        <w:jc w:val="center"/>
        <w:rPr>
          <w:rFonts w:ascii="Garamond" w:hAnsi="Garamond"/>
          <w:sz w:val="26"/>
          <w:szCs w:val="26"/>
        </w:rPr>
      </w:pPr>
    </w:p>
    <w:p w14:paraId="4A6B654A" w14:textId="77777777" w:rsidR="0084667C" w:rsidRDefault="0084667C" w:rsidP="0084667C">
      <w:pPr>
        <w:jc w:val="center"/>
        <w:rPr>
          <w:rFonts w:ascii="Garamond" w:hAnsi="Garamond"/>
        </w:rPr>
      </w:pPr>
      <w:r>
        <w:rPr>
          <w:rFonts w:ascii="Garamond" w:hAnsi="Garamond"/>
        </w:rPr>
        <w:t>D E C I D E</w:t>
      </w:r>
    </w:p>
    <w:p w14:paraId="1519AACB" w14:textId="77777777" w:rsidR="0084667C" w:rsidRDefault="0084667C" w:rsidP="0084667C">
      <w:pPr>
        <w:jc w:val="center"/>
        <w:rPr>
          <w:rFonts w:ascii="Garamond" w:hAnsi="Garamond"/>
        </w:rPr>
      </w:pPr>
    </w:p>
    <w:p w14:paraId="14B9D83C" w14:textId="7DB5E9F0" w:rsidR="0084667C" w:rsidRDefault="0084667C" w:rsidP="0084667C">
      <w:pPr>
        <w:ind w:firstLine="708"/>
        <w:jc w:val="both"/>
        <w:rPr>
          <w:rFonts w:ascii="Garamond" w:hAnsi="Garamond"/>
        </w:rPr>
      </w:pPr>
      <w:r>
        <w:rPr>
          <w:rFonts w:ascii="Garamond" w:hAnsi="Garamond"/>
        </w:rPr>
        <w:t xml:space="preserve">Respinge contestaţia în anulare formulată de contestatorul </w:t>
      </w:r>
      <w:r w:rsidR="00B45DC7">
        <w:rPr>
          <w:rFonts w:ascii="Garamond" w:hAnsi="Garamond"/>
        </w:rPr>
        <w:t>A</w:t>
      </w:r>
      <w:r>
        <w:rPr>
          <w:rFonts w:ascii="Garamond" w:hAnsi="Garamond"/>
        </w:rPr>
        <w:t>,  împotriva deciziei nr.</w:t>
      </w:r>
      <w:r w:rsidR="00B45DC7">
        <w:rPr>
          <w:rFonts w:ascii="Garamond" w:hAnsi="Garamond"/>
        </w:rPr>
        <w:t>...</w:t>
      </w:r>
      <w:r>
        <w:rPr>
          <w:rFonts w:ascii="Garamond" w:hAnsi="Garamond"/>
        </w:rPr>
        <w:t xml:space="preserve">pronunţată de Curtea de Apel </w:t>
      </w:r>
      <w:r w:rsidR="00B45DC7">
        <w:rPr>
          <w:rFonts w:ascii="Garamond" w:hAnsi="Garamond"/>
        </w:rPr>
        <w:t>C</w:t>
      </w:r>
      <w:r>
        <w:rPr>
          <w:rFonts w:ascii="Garamond" w:hAnsi="Garamond"/>
        </w:rPr>
        <w:t xml:space="preserve"> în dosarul nr. </w:t>
      </w:r>
      <w:r w:rsidR="00B45DC7">
        <w:rPr>
          <w:rFonts w:ascii="Garamond" w:hAnsi="Garamond"/>
        </w:rPr>
        <w:t>...</w:t>
      </w:r>
      <w:r>
        <w:rPr>
          <w:rFonts w:ascii="Garamond" w:hAnsi="Garamond"/>
        </w:rPr>
        <w:t xml:space="preserve"> în contradictoriu cu intimaţii INSPECTORATUL DE POLIŢIE AL JUDEŢULUI </w:t>
      </w:r>
      <w:r w:rsidR="00B45DC7">
        <w:rPr>
          <w:rFonts w:ascii="Garamond" w:hAnsi="Garamond"/>
        </w:rPr>
        <w:t>G</w:t>
      </w:r>
      <w:r>
        <w:rPr>
          <w:rFonts w:ascii="Garamond" w:hAnsi="Garamond"/>
        </w:rPr>
        <w:t xml:space="preserve">- POLIŢIA MUNICIPIULUI </w:t>
      </w:r>
      <w:r w:rsidR="00B45DC7">
        <w:rPr>
          <w:rFonts w:ascii="Garamond" w:hAnsi="Garamond"/>
        </w:rPr>
        <w:t>M</w:t>
      </w:r>
      <w:r>
        <w:rPr>
          <w:rFonts w:ascii="Garamond" w:hAnsi="Garamond"/>
        </w:rPr>
        <w:t xml:space="preserve"> şi </w:t>
      </w:r>
      <w:r w:rsidR="00B45DC7">
        <w:rPr>
          <w:rFonts w:ascii="Garamond" w:hAnsi="Garamond"/>
        </w:rPr>
        <w:t>N</w:t>
      </w:r>
      <w:r>
        <w:rPr>
          <w:rFonts w:ascii="Garamond" w:hAnsi="Garamond"/>
        </w:rPr>
        <w:t>.</w:t>
      </w:r>
    </w:p>
    <w:p w14:paraId="38A928E6" w14:textId="77777777" w:rsidR="0084667C" w:rsidRDefault="0084667C" w:rsidP="0084667C">
      <w:pPr>
        <w:rPr>
          <w:rFonts w:ascii="Garamond" w:hAnsi="Garamond"/>
        </w:rPr>
      </w:pPr>
      <w:r>
        <w:rPr>
          <w:rFonts w:ascii="Garamond" w:hAnsi="Garamond"/>
        </w:rPr>
        <w:tab/>
        <w:t>Definitivă.</w:t>
      </w:r>
    </w:p>
    <w:p w14:paraId="4C92D4BF" w14:textId="4EF66217" w:rsidR="0084667C" w:rsidRDefault="0084667C" w:rsidP="0084667C">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8"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8"/>
      <w:r>
        <w:rPr>
          <w:rFonts w:ascii="Garamond" w:hAnsi="Garamond"/>
        </w:rPr>
        <w:t xml:space="preserve"> de la </w:t>
      </w:r>
      <w:r w:rsidR="00AB3491">
        <w:rPr>
          <w:rFonts w:ascii="Garamond" w:hAnsi="Garamond"/>
        </w:rPr>
        <w:t>...</w:t>
      </w:r>
      <w:r>
        <w:rPr>
          <w:rFonts w:ascii="Garamond" w:hAnsi="Garamond"/>
        </w:rPr>
        <w:fldChar w:fldCharType="begin">
          <w:ffData>
            <w:name w:val="completul_1"/>
            <w:enabled/>
            <w:calcOnExit w:val="0"/>
            <w:textInput/>
          </w:ffData>
        </w:fldChar>
      </w:r>
      <w:bookmarkStart w:id="9"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3"/>
        <w:gridCol w:w="3019"/>
        <w:gridCol w:w="3019"/>
      </w:tblGrid>
      <w:tr w:rsidR="0084667C" w14:paraId="24C64C89" w14:textId="77777777" w:rsidTr="00AD2C1E">
        <w:trPr>
          <w:jc w:val="center"/>
        </w:trPr>
        <w:tc>
          <w:tcPr>
            <w:tcW w:w="3096" w:type="dxa"/>
          </w:tcPr>
          <w:p w14:paraId="37F89162" w14:textId="77777777" w:rsidR="0084667C" w:rsidRDefault="0084667C" w:rsidP="00AD2C1E">
            <w:pPr>
              <w:jc w:val="center"/>
              <w:rPr>
                <w:rFonts w:ascii="Garamond" w:hAnsi="Garamond"/>
                <w:noProof/>
              </w:rPr>
            </w:pPr>
            <w:r>
              <w:rPr>
                <w:rFonts w:ascii="Garamond" w:hAnsi="Garamond"/>
                <w:noProof/>
              </w:rPr>
              <w:t>Preşedinte,</w:t>
            </w:r>
          </w:p>
          <w:p w14:paraId="55EE28F4" w14:textId="3E39F489" w:rsidR="0084667C" w:rsidRDefault="00B45DC7" w:rsidP="00AD2C1E">
            <w:pPr>
              <w:jc w:val="center"/>
              <w:rPr>
                <w:rFonts w:ascii="Garamond" w:hAnsi="Garamond"/>
                <w:noProof/>
              </w:rPr>
            </w:pPr>
            <w:r>
              <w:rPr>
                <w:rFonts w:ascii="Garamond" w:hAnsi="Garamond"/>
                <w:noProof/>
              </w:rPr>
              <w:t>1024</w:t>
            </w:r>
          </w:p>
        </w:tc>
        <w:tc>
          <w:tcPr>
            <w:tcW w:w="3096" w:type="dxa"/>
          </w:tcPr>
          <w:p w14:paraId="2CA5F601" w14:textId="77777777" w:rsidR="0084667C" w:rsidRDefault="0084667C" w:rsidP="00AD2C1E">
            <w:pPr>
              <w:jc w:val="center"/>
              <w:rPr>
                <w:rFonts w:ascii="Garamond" w:hAnsi="Garamond"/>
                <w:noProof/>
              </w:rPr>
            </w:pPr>
            <w:r>
              <w:rPr>
                <w:rFonts w:ascii="Garamond" w:hAnsi="Garamond"/>
                <w:noProof/>
              </w:rPr>
              <w:t>Judecător,</w:t>
            </w:r>
          </w:p>
          <w:p w14:paraId="75DB4446" w14:textId="4CFF5F60" w:rsidR="0084667C" w:rsidRDefault="00B45DC7" w:rsidP="00AD2C1E">
            <w:pPr>
              <w:jc w:val="center"/>
              <w:rPr>
                <w:rFonts w:ascii="Garamond" w:hAnsi="Garamond"/>
                <w:noProof/>
              </w:rPr>
            </w:pPr>
            <w:r>
              <w:rPr>
                <w:rFonts w:ascii="Garamond" w:hAnsi="Garamond"/>
                <w:noProof/>
              </w:rPr>
              <w:t>J1</w:t>
            </w:r>
          </w:p>
        </w:tc>
        <w:tc>
          <w:tcPr>
            <w:tcW w:w="3096" w:type="dxa"/>
          </w:tcPr>
          <w:p w14:paraId="77D72F4E" w14:textId="77777777" w:rsidR="0084667C" w:rsidRDefault="0084667C" w:rsidP="00AD2C1E">
            <w:pPr>
              <w:jc w:val="center"/>
              <w:rPr>
                <w:rFonts w:ascii="Garamond" w:hAnsi="Garamond"/>
                <w:noProof/>
              </w:rPr>
            </w:pPr>
            <w:r>
              <w:rPr>
                <w:rFonts w:ascii="Garamond" w:hAnsi="Garamond"/>
                <w:noProof/>
              </w:rPr>
              <w:t>Judecător,</w:t>
            </w:r>
          </w:p>
          <w:p w14:paraId="153EC989" w14:textId="2BFCFFE7" w:rsidR="0084667C" w:rsidRDefault="00B45DC7" w:rsidP="00AD2C1E">
            <w:pPr>
              <w:jc w:val="center"/>
              <w:rPr>
                <w:rFonts w:ascii="Garamond" w:hAnsi="Garamond"/>
                <w:noProof/>
              </w:rPr>
            </w:pPr>
            <w:r>
              <w:rPr>
                <w:rFonts w:ascii="Garamond" w:hAnsi="Garamond"/>
                <w:noProof/>
              </w:rPr>
              <w:t>J2</w:t>
            </w:r>
          </w:p>
        </w:tc>
      </w:tr>
      <w:tr w:rsidR="0084667C" w14:paraId="0B689010" w14:textId="77777777" w:rsidTr="00AD2C1E">
        <w:trPr>
          <w:jc w:val="center"/>
        </w:trPr>
        <w:tc>
          <w:tcPr>
            <w:tcW w:w="3096" w:type="dxa"/>
          </w:tcPr>
          <w:p w14:paraId="6672ED59" w14:textId="77777777" w:rsidR="0084667C" w:rsidRDefault="0084667C" w:rsidP="00AD2C1E">
            <w:pPr>
              <w:jc w:val="center"/>
              <w:rPr>
                <w:rFonts w:ascii="Garamond" w:hAnsi="Garamond"/>
                <w:noProof/>
              </w:rPr>
            </w:pPr>
          </w:p>
        </w:tc>
        <w:tc>
          <w:tcPr>
            <w:tcW w:w="3096" w:type="dxa"/>
          </w:tcPr>
          <w:p w14:paraId="62085768" w14:textId="77777777" w:rsidR="0084667C" w:rsidRDefault="0084667C" w:rsidP="00AD2C1E">
            <w:pPr>
              <w:jc w:val="center"/>
              <w:rPr>
                <w:rFonts w:ascii="Garamond" w:hAnsi="Garamond"/>
                <w:noProof/>
              </w:rPr>
            </w:pPr>
            <w:r>
              <w:rPr>
                <w:rFonts w:ascii="Garamond" w:hAnsi="Garamond"/>
                <w:noProof/>
              </w:rPr>
              <w:t>Grefier,</w:t>
            </w:r>
          </w:p>
          <w:p w14:paraId="750E1615" w14:textId="4EB4C99E" w:rsidR="0084667C" w:rsidRDefault="00B45DC7" w:rsidP="00AD2C1E">
            <w:pPr>
              <w:jc w:val="center"/>
              <w:rPr>
                <w:rFonts w:ascii="Garamond" w:hAnsi="Garamond"/>
                <w:noProof/>
              </w:rPr>
            </w:pPr>
            <w:r>
              <w:rPr>
                <w:rFonts w:ascii="Garamond" w:hAnsi="Garamond"/>
                <w:noProof/>
              </w:rPr>
              <w:t>G</w:t>
            </w:r>
          </w:p>
        </w:tc>
        <w:tc>
          <w:tcPr>
            <w:tcW w:w="3096" w:type="dxa"/>
          </w:tcPr>
          <w:p w14:paraId="387213A6" w14:textId="77777777" w:rsidR="0084667C" w:rsidRDefault="0084667C" w:rsidP="00AD2C1E">
            <w:pPr>
              <w:jc w:val="center"/>
              <w:rPr>
                <w:rFonts w:ascii="Garamond" w:hAnsi="Garamond"/>
                <w:noProof/>
              </w:rPr>
            </w:pPr>
          </w:p>
        </w:tc>
      </w:tr>
    </w:tbl>
    <w:p w14:paraId="456B7799" w14:textId="77777777" w:rsidR="0084667C" w:rsidRDefault="0084667C" w:rsidP="0084667C">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9"/>
    </w:p>
    <w:p w14:paraId="46D814DA" w14:textId="2729829C" w:rsidR="0084667C" w:rsidRPr="00732485" w:rsidRDefault="0084667C" w:rsidP="0084667C">
      <w:pPr>
        <w:rPr>
          <w:rFonts w:ascii="Garamond" w:hAnsi="Garamond"/>
          <w:sz w:val="16"/>
          <w:szCs w:val="16"/>
        </w:rPr>
      </w:pPr>
      <w:r>
        <w:rPr>
          <w:rFonts w:ascii="Garamond" w:hAnsi="Garamond"/>
          <w:sz w:val="16"/>
          <w:szCs w:val="16"/>
        </w:rPr>
        <w:t>Re</w:t>
      </w:r>
      <w:r w:rsidRPr="00732485">
        <w:rPr>
          <w:rFonts w:ascii="Garamond" w:hAnsi="Garamond"/>
          <w:sz w:val="16"/>
          <w:szCs w:val="16"/>
        </w:rPr>
        <w:t>d.Jud.</w:t>
      </w:r>
      <w:r w:rsidR="00AB3491">
        <w:rPr>
          <w:rFonts w:ascii="Garamond" w:hAnsi="Garamond"/>
          <w:sz w:val="16"/>
          <w:szCs w:val="16"/>
        </w:rPr>
        <w:t>1024</w:t>
      </w:r>
    </w:p>
    <w:p w14:paraId="5175F0C6" w14:textId="5778D18E" w:rsidR="0084667C" w:rsidRDefault="0084667C" w:rsidP="0084667C">
      <w:pPr>
        <w:rPr>
          <w:rFonts w:ascii="Garamond" w:hAnsi="Garamond"/>
          <w:sz w:val="16"/>
        </w:rPr>
      </w:pPr>
      <w:r w:rsidRPr="00732485">
        <w:rPr>
          <w:rFonts w:ascii="Garamond" w:hAnsi="Garamond"/>
          <w:sz w:val="16"/>
          <w:szCs w:val="16"/>
        </w:rPr>
        <w:t xml:space="preserve">T.A. </w:t>
      </w:r>
      <w:r w:rsidR="00AB3491">
        <w:rPr>
          <w:rFonts w:ascii="Garamond" w:hAnsi="Garamond"/>
          <w:sz w:val="16"/>
          <w:szCs w:val="16"/>
        </w:rPr>
        <w:t>...</w:t>
      </w:r>
    </w:p>
    <w:p w14:paraId="34A2B997" w14:textId="77777777" w:rsidR="0084667C" w:rsidRDefault="0084667C" w:rsidP="0084667C">
      <w:pPr>
        <w:rPr>
          <w:rFonts w:ascii="Garamond" w:hAnsi="Garamond"/>
          <w:sz w:val="16"/>
        </w:rPr>
      </w:pPr>
    </w:p>
    <w:p w14:paraId="61B6B1A4" w14:textId="77777777" w:rsidR="0084667C" w:rsidRDefault="0084667C" w:rsidP="0084667C">
      <w:pPr>
        <w:rPr>
          <w:rFonts w:ascii="Garamond" w:hAnsi="Garamond"/>
          <w:sz w:val="16"/>
        </w:rPr>
      </w:pPr>
    </w:p>
    <w:p w14:paraId="38C9CDF9" w14:textId="77777777" w:rsidR="0084667C" w:rsidRDefault="0084667C" w:rsidP="0084667C">
      <w:pPr>
        <w:rPr>
          <w:rFonts w:ascii="Garamond" w:hAnsi="Garamond"/>
          <w:sz w:val="16"/>
        </w:rPr>
      </w:pPr>
    </w:p>
    <w:p w14:paraId="30EFAACA" w14:textId="77777777" w:rsidR="0084667C" w:rsidRDefault="0084667C" w:rsidP="0084667C">
      <w:pPr>
        <w:rPr>
          <w:rFonts w:ascii="Garamond" w:hAnsi="Garamond"/>
          <w:sz w:val="16"/>
        </w:rPr>
      </w:pPr>
    </w:p>
    <w:p w14:paraId="7577DF58" w14:textId="77777777" w:rsidR="0084667C" w:rsidRDefault="0084667C" w:rsidP="0084667C">
      <w:pPr>
        <w:rPr>
          <w:rFonts w:ascii="Garamond" w:hAnsi="Garamond"/>
          <w:sz w:val="16"/>
        </w:rPr>
      </w:pPr>
    </w:p>
    <w:p w14:paraId="12C03C9D" w14:textId="77777777" w:rsidR="0084667C" w:rsidRDefault="0084667C" w:rsidP="0084667C">
      <w:pPr>
        <w:rPr>
          <w:rFonts w:ascii="Garamond" w:hAnsi="Garamond"/>
          <w:sz w:val="16"/>
        </w:rPr>
      </w:pPr>
    </w:p>
    <w:p w14:paraId="73E2206F" w14:textId="77777777" w:rsidR="0084667C" w:rsidRDefault="0084667C" w:rsidP="0084667C">
      <w:pPr>
        <w:rPr>
          <w:rFonts w:ascii="Garamond" w:hAnsi="Garamond"/>
          <w:sz w:val="16"/>
          <w:szCs w:val="15"/>
        </w:rPr>
      </w:pPr>
    </w:p>
    <w:p w14:paraId="78B86B2A" w14:textId="77777777" w:rsidR="00041DB3" w:rsidRDefault="00041DB3"/>
    <w:sectPr w:rsidR="00041DB3" w:rsidSect="0067470E">
      <w:pgSz w:w="11906" w:h="16838"/>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W1)">
    <w:altName w:val="Constantia"/>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47"/>
    <w:rsid w:val="00041DB3"/>
    <w:rsid w:val="00223495"/>
    <w:rsid w:val="00382514"/>
    <w:rsid w:val="007A2220"/>
    <w:rsid w:val="0084667C"/>
    <w:rsid w:val="00AB3491"/>
    <w:rsid w:val="00B45DC7"/>
    <w:rsid w:val="00DD31BD"/>
    <w:rsid w:val="00F30F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750EC-8943-40DC-9E84-6E6149C0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67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954</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6</cp:revision>
  <dcterms:created xsi:type="dcterms:W3CDTF">2021-10-25T14:15:00Z</dcterms:created>
  <dcterms:modified xsi:type="dcterms:W3CDTF">2021-10-27T13:21:00Z</dcterms:modified>
</cp:coreProperties>
</file>