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2B74A5" w:rsidRDefault="002B74A5" w:rsidP="002B74A5">
      <w:pPr>
        <w:jc w:val="right"/>
        <w:rPr>
          <w:b/>
        </w:rPr>
      </w:pPr>
      <w:r w:rsidRPr="002B74A5">
        <w:rPr>
          <w:b/>
          <w:sz w:val="20"/>
          <w:szCs w:val="20"/>
        </w:rPr>
        <w:t xml:space="preserve">HOT. </w:t>
      </w:r>
      <w:r w:rsidR="00653E14">
        <w:rPr>
          <w:b/>
          <w:sz w:val="20"/>
          <w:szCs w:val="20"/>
        </w:rPr>
        <w:t>22</w:t>
      </w:r>
      <w:bookmarkStart w:id="0" w:name="_GoBack"/>
      <w:bookmarkEnd w:id="0"/>
    </w:p>
    <w:p w:rsidR="00090D1C" w:rsidRPr="003E7F15" w:rsidRDefault="00090D1C">
      <w:r w:rsidRPr="003E7F15">
        <w:t xml:space="preserve">Dosar nr. </w:t>
      </w:r>
      <w:r w:rsidR="002B74A5">
        <w:t>…</w:t>
      </w:r>
    </w:p>
    <w:p w:rsidR="00090D1C" w:rsidRPr="003E7F15" w:rsidRDefault="00090D1C" w:rsidP="00C2771B">
      <w:pPr>
        <w:jc w:val="center"/>
      </w:pPr>
      <w:r w:rsidRPr="003E7F15">
        <w:t>R O M Â N I A</w:t>
      </w:r>
    </w:p>
    <w:p w:rsidR="00090D1C" w:rsidRPr="003E7F15" w:rsidRDefault="00984EEE">
      <w:pPr>
        <w:jc w:val="center"/>
      </w:pPr>
      <w:r>
        <w:t xml:space="preserve">CURTEA DE APEL </w:t>
      </w:r>
      <w:r w:rsidR="002B74A5">
        <w:t>...</w:t>
      </w:r>
    </w:p>
    <w:p w:rsidR="00090D1C" w:rsidRPr="003E7F15" w:rsidRDefault="00984EEE">
      <w:pPr>
        <w:jc w:val="center"/>
        <w:rPr>
          <w:szCs w:val="15"/>
          <w:lang w:val="en-US"/>
        </w:rPr>
      </w:pPr>
      <w:r>
        <w:t xml:space="preserve">SECŢIA </w:t>
      </w:r>
      <w:r w:rsidR="002B74A5">
        <w:t>...</w:t>
      </w:r>
    </w:p>
    <w:p w:rsidR="00C2771B" w:rsidRDefault="00C2771B"/>
    <w:p w:rsidR="00C2771B" w:rsidRPr="003E7F15" w:rsidRDefault="00C2771B"/>
    <w:p w:rsidR="00090D1C" w:rsidRPr="00485AD3" w:rsidRDefault="00485AD3">
      <w:pPr>
        <w:jc w:val="center"/>
        <w:rPr>
          <w:b/>
        </w:rPr>
      </w:pPr>
      <w:r w:rsidRPr="00485AD3">
        <w:rPr>
          <w:b/>
        </w:rPr>
        <w:t>Sentinţa</w:t>
      </w:r>
      <w:r w:rsidR="00C2771B" w:rsidRPr="00485AD3">
        <w:rPr>
          <w:b/>
        </w:rPr>
        <w:t xml:space="preserve"> n</w:t>
      </w:r>
      <w:r w:rsidR="00090D1C" w:rsidRPr="00485AD3">
        <w:rPr>
          <w:b/>
        </w:rPr>
        <w:t xml:space="preserve">r. </w:t>
      </w:r>
      <w:r w:rsidR="002B74A5">
        <w:rPr>
          <w:b/>
        </w:rPr>
        <w:t>…</w:t>
      </w:r>
    </w:p>
    <w:p w:rsidR="00C2771B" w:rsidRDefault="00C2771B">
      <w:pPr>
        <w:jc w:val="center"/>
      </w:pPr>
    </w:p>
    <w:p w:rsidR="00C2771B" w:rsidRPr="003E7F15" w:rsidRDefault="00C2771B">
      <w:pPr>
        <w:jc w:val="center"/>
      </w:pPr>
    </w:p>
    <w:p w:rsidR="00090D1C" w:rsidRPr="003E7F15" w:rsidRDefault="00C2771B">
      <w:pPr>
        <w:jc w:val="center"/>
      </w:pPr>
      <w:r w:rsidRPr="00692888">
        <w:t>Şedinţa </w:t>
      </w:r>
      <w:r w:rsidRPr="00692888">
        <w:fldChar w:fldCharType="begin">
          <w:ffData>
            <w:name w:val="tip_sedinta"/>
            <w:enabled/>
            <w:calcOnExit w:val="0"/>
            <w:textInput/>
          </w:ffData>
        </w:fldChar>
      </w:r>
      <w:bookmarkStart w:id="1" w:name="tip_sedinta"/>
      <w:r w:rsidRPr="00692888">
        <w:instrText xml:space="preserve"> FORMTEXT </w:instrText>
      </w:r>
      <w:r w:rsidRPr="00692888">
        <w:fldChar w:fldCharType="separate"/>
      </w:r>
      <w:r>
        <w:t>publică</w:t>
      </w:r>
      <w:r w:rsidRPr="00692888">
        <w:fldChar w:fldCharType="end"/>
      </w:r>
      <w:bookmarkEnd w:id="1"/>
      <w:r w:rsidRPr="00692888">
        <w:t xml:space="preserve"> </w:t>
      </w:r>
      <w:r>
        <w:t>din data de</w:t>
      </w:r>
      <w:r w:rsidRPr="00692888">
        <w:t xml:space="preserve"> </w:t>
      </w:r>
      <w:r w:rsidR="002B74A5">
        <w:t>…</w:t>
      </w:r>
      <w:r w:rsidR="00090D1C" w:rsidRPr="003E7F15">
        <w:t xml:space="preserve"> </w:t>
      </w:r>
    </w:p>
    <w:p w:rsidR="00C2771B" w:rsidRDefault="00C2771B" w:rsidP="00C2771B">
      <w:pPr>
        <w:jc w:val="center"/>
      </w:pPr>
      <w:r>
        <w:t>Completul compus din:</w:t>
      </w:r>
    </w:p>
    <w:p w:rsidR="00C2771B" w:rsidRDefault="00C2771B" w:rsidP="00C2771B">
      <w:pPr>
        <w:jc w:val="center"/>
      </w:pPr>
      <w:r>
        <w:t xml:space="preserve">Preşedinte: </w:t>
      </w:r>
      <w:r w:rsidR="002B74A5">
        <w:t>COD 1015</w:t>
      </w:r>
    </w:p>
    <w:p w:rsidR="00C2771B" w:rsidRDefault="00C2771B" w:rsidP="00C2771B">
      <w:pPr>
        <w:jc w:val="center"/>
      </w:pPr>
      <w:r>
        <w:t xml:space="preserve">Grefier: </w:t>
      </w:r>
      <w:r w:rsidR="002B74A5">
        <w:t>...</w:t>
      </w:r>
    </w:p>
    <w:p w:rsidR="00C2771B" w:rsidRDefault="00C2771B" w:rsidP="00C2771B">
      <w:pPr>
        <w:jc w:val="both"/>
      </w:pPr>
    </w:p>
    <w:p w:rsidR="00C2771B" w:rsidRDefault="00C2771B" w:rsidP="00C2771B">
      <w:pPr>
        <w:jc w:val="both"/>
      </w:pPr>
    </w:p>
    <w:p w:rsidR="00C2771B" w:rsidRDefault="00C2771B" w:rsidP="00C2771B">
      <w:pPr>
        <w:ind w:firstLine="709"/>
        <w:jc w:val="both"/>
        <w:rPr>
          <w:i/>
        </w:rPr>
      </w:pPr>
      <w:r>
        <w:t xml:space="preserve">Pe rol se află soluţionarea cauzei în materia </w:t>
      </w:r>
      <w:r w:rsidR="002B74A5">
        <w:rPr>
          <w:i/>
        </w:rPr>
        <w:t>...</w:t>
      </w:r>
      <w:r>
        <w:rPr>
          <w:i/>
        </w:rPr>
        <w:t>,</w:t>
      </w:r>
      <w:r>
        <w:t xml:space="preserve"> privind pe reclamanta Unitatea administrativ – teritorială Municipiul </w:t>
      </w:r>
      <w:r w:rsidR="002B74A5">
        <w:t>...</w:t>
      </w:r>
      <w:r>
        <w:t xml:space="preserve"> – Primarul Municipiului </w:t>
      </w:r>
      <w:r w:rsidR="002B74A5">
        <w:t>...</w:t>
      </w:r>
      <w:r>
        <w:t xml:space="preserve"> şi pe pârâta </w:t>
      </w:r>
      <w:r w:rsidR="002B74A5">
        <w:t>X</w:t>
      </w:r>
      <w:r>
        <w:t>, având ca obiect „obligaţia de a face”</w:t>
      </w:r>
      <w:r>
        <w:rPr>
          <w:i/>
        </w:rPr>
        <w:t>.</w:t>
      </w:r>
    </w:p>
    <w:p w:rsidR="00C2771B" w:rsidRDefault="00C2771B" w:rsidP="00C2771B">
      <w:pPr>
        <w:ind w:firstLine="709"/>
        <w:jc w:val="both"/>
      </w:pPr>
      <w:r>
        <w:t>S-a făcut referatul cauzei de către grefierul de şedinţă, din care reiese că instanţa a rămas în pronunţare cu privire la excepţia inadmisibilităţii acţiunii şi asupra fondului la termenul de judecată</w:t>
      </w:r>
      <w:r w:rsidR="00187312">
        <w:t xml:space="preserve"> din data de </w:t>
      </w:r>
      <w:r w:rsidR="002B74A5">
        <w:t>…</w:t>
      </w:r>
      <w:r w:rsidR="00187312">
        <w:t xml:space="preserve"> </w:t>
      </w:r>
      <w:r>
        <w:t>când, având nevoie de timp pentru a delibera, a amân</w:t>
      </w:r>
      <w:r w:rsidR="00187312">
        <w:t>at</w:t>
      </w:r>
      <w:r>
        <w:t xml:space="preserve"> pronunţarea p</w:t>
      </w:r>
      <w:r w:rsidR="00187312">
        <w:t xml:space="preserve">entru data de </w:t>
      </w:r>
      <w:r w:rsidR="002B74A5">
        <w:t>..</w:t>
      </w:r>
      <w:r>
        <w:t xml:space="preserve"> şi apoi pentru data de astăzi, </w:t>
      </w:r>
      <w:r w:rsidR="002B74A5">
        <w:t>..</w:t>
      </w:r>
      <w:r>
        <w:t>.</w:t>
      </w:r>
    </w:p>
    <w:p w:rsidR="00C2771B" w:rsidRDefault="00C2771B" w:rsidP="00C2771B">
      <w:pPr>
        <w:ind w:firstLine="709"/>
        <w:jc w:val="both"/>
        <w:rPr>
          <w:i/>
        </w:rPr>
      </w:pPr>
    </w:p>
    <w:p w:rsidR="00C2771B" w:rsidRDefault="00C2771B" w:rsidP="00C2771B">
      <w:pPr>
        <w:ind w:firstLine="709"/>
        <w:jc w:val="both"/>
      </w:pPr>
    </w:p>
    <w:p w:rsidR="00C2771B" w:rsidRDefault="00C2771B" w:rsidP="00C2771B">
      <w:pPr>
        <w:jc w:val="both"/>
      </w:pPr>
    </w:p>
    <w:p w:rsidR="00C2771B" w:rsidRPr="00503141" w:rsidRDefault="00C2771B" w:rsidP="00C2771B">
      <w:pPr>
        <w:jc w:val="center"/>
      </w:pPr>
      <w:r w:rsidRPr="00503141">
        <w:t>Curtea de Apel,</w:t>
      </w:r>
    </w:p>
    <w:p w:rsidR="00C2771B" w:rsidRPr="00503141" w:rsidRDefault="00C2771B" w:rsidP="00187312">
      <w:pPr>
        <w:jc w:val="both"/>
      </w:pPr>
    </w:p>
    <w:p w:rsidR="00C2771B" w:rsidRPr="00503141" w:rsidRDefault="00187312" w:rsidP="00DC0D58">
      <w:pPr>
        <w:jc w:val="both"/>
      </w:pPr>
      <w:r w:rsidRPr="00503141">
        <w:tab/>
        <w:t xml:space="preserve">Prin cererea înregistrată pe rolul Curţii de Apel </w:t>
      </w:r>
      <w:r w:rsidR="002B74A5">
        <w:t>...</w:t>
      </w:r>
      <w:r w:rsidRPr="00503141">
        <w:t xml:space="preserve"> reclamanta-creditoare Unitatea Administrativ Teritorială Municipiul </w:t>
      </w:r>
      <w:r w:rsidR="002B74A5">
        <w:t>...</w:t>
      </w:r>
      <w:r w:rsidRPr="00503141">
        <w:t xml:space="preserve"> (UAT municipiul </w:t>
      </w:r>
      <w:r w:rsidR="002B74A5">
        <w:t>...</w:t>
      </w:r>
      <w:r w:rsidRPr="00503141">
        <w:t xml:space="preserve">) a solicitat, în temeiul art.24 şi art.25 din Legea 554/2004, aplicarea conducătorului pârâtei debitoare SC </w:t>
      </w:r>
      <w:r w:rsidR="002B74A5">
        <w:t>X</w:t>
      </w:r>
      <w:r w:rsidRPr="00503141">
        <w:t xml:space="preserve"> a unei amenzi egale cu 20% din salariul minim brut pe economie, pentru fiecare zi de întârziere în punerea în executare a titlului executoriu reprezentat de Sentinţa civilă nr.</w:t>
      </w:r>
      <w:r w:rsidR="00560D27">
        <w:t xml:space="preserve"> S1</w:t>
      </w:r>
      <w:r w:rsidRPr="00503141">
        <w:t xml:space="preserve"> a Curţii de Apel </w:t>
      </w:r>
      <w:r w:rsidR="002B74A5">
        <w:t>...</w:t>
      </w:r>
      <w:r w:rsidRPr="00503141">
        <w:t>, pronunţată în dosarul nr</w:t>
      </w:r>
      <w:r w:rsidR="00560D27">
        <w:t>…</w:t>
      </w:r>
      <w:r w:rsidR="00DC0D58" w:rsidRPr="00503141">
        <w:t xml:space="preserve"> al Curţii de Apel </w:t>
      </w:r>
      <w:r w:rsidR="002B74A5">
        <w:t>...</w:t>
      </w:r>
      <w:r w:rsidR="00DC0D58" w:rsidRPr="00503141">
        <w:t xml:space="preserve"> şi obligarea la plata de penalităţi de întârziere, conform art.905 C.pr.civ., pentru refuzul de a pune în executarea hotărârea judecătorească.</w:t>
      </w:r>
    </w:p>
    <w:p w:rsidR="00DC0D58" w:rsidRPr="00503141" w:rsidRDefault="00DC0D58" w:rsidP="00DC0D58">
      <w:pPr>
        <w:jc w:val="both"/>
      </w:pPr>
    </w:p>
    <w:p w:rsidR="00DC0D58" w:rsidRPr="00503141" w:rsidRDefault="009D2F80" w:rsidP="009D2F80">
      <w:pPr>
        <w:ind w:firstLine="708"/>
        <w:jc w:val="both"/>
        <w:rPr>
          <w:b/>
        </w:rPr>
      </w:pPr>
      <w:r w:rsidRPr="009D2F80">
        <w:rPr>
          <w:b/>
        </w:rPr>
        <w:t>I.</w:t>
      </w:r>
      <w:r>
        <w:rPr>
          <w:b/>
        </w:rPr>
        <w:t xml:space="preserve"> </w:t>
      </w:r>
      <w:r w:rsidR="00DC0D58" w:rsidRPr="00503141">
        <w:rPr>
          <w:b/>
        </w:rPr>
        <w:t>Apărările creditoarei:</w:t>
      </w:r>
    </w:p>
    <w:p w:rsidR="00C2771B" w:rsidRDefault="00DC0D58" w:rsidP="00DC0D58">
      <w:pPr>
        <w:ind w:firstLine="708"/>
        <w:jc w:val="both"/>
      </w:pPr>
      <w:r w:rsidRPr="00503141">
        <w:t xml:space="preserve">Creditoarea UAT Municipiul </w:t>
      </w:r>
      <w:r w:rsidR="002B74A5">
        <w:t>...</w:t>
      </w:r>
      <w:r w:rsidRPr="00503141">
        <w:t xml:space="preserve"> susţine că debitoarea nu şi-a îndeplinit în termenul stipulat în dispozitivul Sentinţei civile nr.</w:t>
      </w:r>
      <w:r w:rsidR="00560D27">
        <w:t xml:space="preserve"> S1</w:t>
      </w:r>
      <w:r w:rsidRPr="00503141">
        <w:t xml:space="preserve"> a Curţii de Apel </w:t>
      </w:r>
      <w:r w:rsidR="002B74A5">
        <w:t>...</w:t>
      </w:r>
      <w:r w:rsidRPr="00503141">
        <w:t>, de 30 de zile, obli</w:t>
      </w:r>
      <w:r w:rsidR="00503141">
        <w:t>gaţia de a încheia Protocolul d</w:t>
      </w:r>
      <w:r w:rsidRPr="00503141">
        <w:t>e</w:t>
      </w:r>
      <w:r w:rsidR="00503141">
        <w:t xml:space="preserve"> predare-</w:t>
      </w:r>
      <w:r w:rsidRPr="00503141">
        <w:t xml:space="preserve">primire a sălilor de cinematograf </w:t>
      </w:r>
      <w:r w:rsidR="00560D27">
        <w:rPr>
          <w:i/>
        </w:rPr>
        <w:t>…</w:t>
      </w:r>
      <w:r w:rsidRPr="00503141">
        <w:t xml:space="preserve"> împreună cu terenurile şi bunurile mobile aferente din domeniul privat al statului şi din administrarea </w:t>
      </w:r>
      <w:r w:rsidR="002B74A5">
        <w:t>X</w:t>
      </w:r>
      <w:r w:rsidR="00560D27">
        <w:t xml:space="preserve"> </w:t>
      </w:r>
      <w:r w:rsidRPr="00503141">
        <w:t xml:space="preserve">în domeniul public al autorităţii locale Municipiul </w:t>
      </w:r>
      <w:r w:rsidR="002B74A5">
        <w:t>...</w:t>
      </w:r>
      <w:r w:rsidRPr="00503141">
        <w:t xml:space="preserve">, iar bunurile mobile aflate în inventarul sălilor şi grădinilor de spectacol să treacă în proprietate privată a unităţilor administrativ teritoriale locale şi în administrarea consiliilor locale. Termenul de 30 de zile a început să curgă la data de </w:t>
      </w:r>
      <w:r w:rsidR="00560D27">
        <w:t>..</w:t>
      </w:r>
      <w:r w:rsidRPr="00503141">
        <w:t xml:space="preserve">, după ce la data de </w:t>
      </w:r>
      <w:r w:rsidR="00560D27">
        <w:t>…</w:t>
      </w:r>
      <w:r w:rsidRPr="00503141">
        <w:t xml:space="preserve"> ÎCCJ a respins recursurile declarate de </w:t>
      </w:r>
      <w:r w:rsidR="002B74A5">
        <w:t>X</w:t>
      </w:r>
      <w:r w:rsidRPr="00503141">
        <w:t xml:space="preserve"> şi inte</w:t>
      </w:r>
      <w:r w:rsidR="00503141">
        <w:t xml:space="preserve">rvenienta SC </w:t>
      </w:r>
      <w:r w:rsidR="00560D27">
        <w:t>Y</w:t>
      </w:r>
      <w:r w:rsidR="00503141">
        <w:t xml:space="preserve"> SRL.</w:t>
      </w:r>
    </w:p>
    <w:p w:rsidR="00503141" w:rsidRDefault="00503141" w:rsidP="00DC0D58">
      <w:pPr>
        <w:ind w:firstLine="708"/>
        <w:jc w:val="both"/>
      </w:pPr>
      <w:r>
        <w:t xml:space="preserve">Arată creditoarea că i-a fost încuviinţată executarea silită a hotărârii judecătoreşti pronunţate de instanţa de contencios administrativ – Încheierea pronunţată de Judecătoria </w:t>
      </w:r>
      <w:r w:rsidR="00560D27">
        <w:t>...</w:t>
      </w:r>
      <w:r>
        <w:t xml:space="preserve"> în dosarul nr</w:t>
      </w:r>
      <w:r w:rsidR="00560D27">
        <w:t>…</w:t>
      </w:r>
      <w:r>
        <w:t xml:space="preserve"> – iar în cadrul do</w:t>
      </w:r>
      <w:r w:rsidR="00560D27">
        <w:t>sarului de executare silită nr.</w:t>
      </w:r>
      <w:r>
        <w:t xml:space="preserve">/2017 al BEJA </w:t>
      </w:r>
      <w:r w:rsidR="00560D27">
        <w:t>..</w:t>
      </w:r>
      <w:r w:rsidR="009D2F80">
        <w:t>s-au întocmit procese verbale de predare-primire a cinematografelor, inclusiv a terenurilor şi a bunurilor mobile, însă executarea silită a fost anulată în integralitate prin Sentinţa civilă nr</w:t>
      </w:r>
      <w:r w:rsidR="00560D27">
        <w:t>…</w:t>
      </w:r>
      <w:r w:rsidR="009D2F80">
        <w:t xml:space="preserve"> pronunţată de Judecătoria </w:t>
      </w:r>
      <w:r w:rsidR="00560D27">
        <w:t>...</w:t>
      </w:r>
      <w:r w:rsidR="009D2F80">
        <w:t xml:space="preserve"> în dosarul nr</w:t>
      </w:r>
      <w:r w:rsidR="00560D27">
        <w:t>…</w:t>
      </w:r>
      <w:r w:rsidR="009D2F80">
        <w:t>.</w:t>
      </w:r>
    </w:p>
    <w:p w:rsidR="009D2F80" w:rsidRDefault="009D2F80" w:rsidP="00DC0D58">
      <w:pPr>
        <w:ind w:firstLine="708"/>
        <w:jc w:val="both"/>
      </w:pPr>
      <w:r>
        <w:lastRenderedPageBreak/>
        <w:t>Întrucât debitoarea nu şi-a îndeplinit obligaţiile stabilite în sarcina sa, creditoarea pretinde că sunt incidente prevederile art.</w:t>
      </w:r>
      <w:r w:rsidR="007D2A91">
        <w:t xml:space="preserve"> </w:t>
      </w:r>
      <w:r>
        <w:t>24 şi art.</w:t>
      </w:r>
      <w:r w:rsidR="007D2A91">
        <w:t xml:space="preserve"> </w:t>
      </w:r>
      <w:r>
        <w:t>25 din Legea 554/2004.</w:t>
      </w:r>
    </w:p>
    <w:p w:rsidR="009D2F80" w:rsidRDefault="009D2F80" w:rsidP="00DC0D58">
      <w:pPr>
        <w:ind w:firstLine="708"/>
        <w:jc w:val="both"/>
      </w:pPr>
    </w:p>
    <w:p w:rsidR="009D2F80" w:rsidRPr="001720B5" w:rsidRDefault="009D2F80" w:rsidP="009D2F80">
      <w:pPr>
        <w:ind w:firstLine="1260"/>
        <w:jc w:val="both"/>
        <w:rPr>
          <w:b/>
        </w:rPr>
      </w:pPr>
      <w:r w:rsidRPr="001720B5">
        <w:rPr>
          <w:b/>
        </w:rPr>
        <w:t>II. Apărările debitoarei:</w:t>
      </w:r>
    </w:p>
    <w:p w:rsidR="009D2F80" w:rsidRDefault="009D2F80" w:rsidP="009D2F80">
      <w:pPr>
        <w:ind w:firstLine="1260"/>
        <w:jc w:val="both"/>
      </w:pPr>
    </w:p>
    <w:p w:rsidR="009D2F80" w:rsidRDefault="000B402D" w:rsidP="000B402D">
      <w:pPr>
        <w:jc w:val="both"/>
      </w:pPr>
      <w:r>
        <w:tab/>
        <w:t xml:space="preserve">Debitoarea </w:t>
      </w:r>
      <w:r w:rsidR="002B74A5">
        <w:t>X</w:t>
      </w:r>
      <w:r>
        <w:t>„</w:t>
      </w:r>
      <w:r w:rsidR="00560D27">
        <w:t>.</w:t>
      </w:r>
      <w:r>
        <w:t xml:space="preserve">” a formulat întâmpinare prin care a arătat că împotriva sa a fost deschisă procedura generală a insolvenţei, fiind desemnat administrator special dl </w:t>
      </w:r>
      <w:r w:rsidR="00560D27">
        <w:t>AD</w:t>
      </w:r>
      <w:r>
        <w:t xml:space="preserve">, altă persoană decât directorul regiei, </w:t>
      </w:r>
      <w:r w:rsidR="00560D27">
        <w:t>..</w:t>
      </w:r>
      <w:r>
        <w:t>, ce nu mai lucrează în cadrul său. În raport de acest aspect debitoarea consideră inadmisibilă cererea creditoarei, invocând excepţia inadmis</w:t>
      </w:r>
      <w:r w:rsidR="001720B5">
        <w:t>i</w:t>
      </w:r>
      <w:r>
        <w:t>bilităţii.</w:t>
      </w:r>
    </w:p>
    <w:p w:rsidR="001720B5" w:rsidRDefault="001720B5" w:rsidP="000B402D">
      <w:pPr>
        <w:jc w:val="both"/>
      </w:pPr>
      <w:r>
        <w:tab/>
        <w:t>Pe fond, debitoarea consideră cererea creditoarei ca neîntemeiată deoarece obligaţia stabilită prin titlul executoriu a fost adusă la îndeplinire prin procedura executării silite urmate în dosarul execuţional nr</w:t>
      </w:r>
      <w:r w:rsidR="00560D27">
        <w:t>…</w:t>
      </w:r>
      <w:r>
        <w:t xml:space="preserve">/2017 al BEJA </w:t>
      </w:r>
      <w:r w:rsidR="00560D27">
        <w:t>...</w:t>
      </w:r>
      <w:r>
        <w:t>, conform celor 4 procese verbale încheiate la data de e către executorul judecătoresc, creditoarea aflându-se în fapt asupra bunurilor imobile şi imobile, chiar dacă executarea silită a fost anulată.</w:t>
      </w:r>
    </w:p>
    <w:p w:rsidR="001720B5" w:rsidRDefault="001720B5" w:rsidP="000B402D">
      <w:pPr>
        <w:jc w:val="both"/>
      </w:pPr>
    </w:p>
    <w:p w:rsidR="001720B5" w:rsidRDefault="001720B5" w:rsidP="000B402D">
      <w:pPr>
        <w:jc w:val="both"/>
      </w:pPr>
      <w:r>
        <w:tab/>
        <w:t>Părţilor le-a fost încuviinţată administrarea probei cu înscrisuri.</w:t>
      </w:r>
    </w:p>
    <w:p w:rsidR="001720B5" w:rsidRDefault="001720B5" w:rsidP="000B402D">
      <w:pPr>
        <w:jc w:val="both"/>
      </w:pPr>
    </w:p>
    <w:p w:rsidR="001720B5" w:rsidRPr="00957A25" w:rsidRDefault="00957A25" w:rsidP="000B402D">
      <w:pPr>
        <w:jc w:val="both"/>
        <w:rPr>
          <w:b/>
        </w:rPr>
      </w:pPr>
      <w:r>
        <w:tab/>
      </w:r>
      <w:r w:rsidRPr="00957A25">
        <w:rPr>
          <w:b/>
        </w:rPr>
        <w:t xml:space="preserve">     III. Argumentarea soluţiei pronunţate</w:t>
      </w:r>
      <w:r w:rsidR="001720B5" w:rsidRPr="00957A25">
        <w:rPr>
          <w:b/>
        </w:rPr>
        <w:t>:</w:t>
      </w:r>
    </w:p>
    <w:p w:rsidR="001720B5" w:rsidRDefault="001720B5" w:rsidP="000B402D">
      <w:pPr>
        <w:jc w:val="both"/>
      </w:pPr>
    </w:p>
    <w:p w:rsidR="001720B5" w:rsidRDefault="001720B5" w:rsidP="000B402D">
      <w:pPr>
        <w:jc w:val="both"/>
      </w:pPr>
      <w:r>
        <w:tab/>
        <w:t>Excepţia inadmisibilităţii</w:t>
      </w:r>
      <w:r w:rsidR="00957A25">
        <w:t>,</w:t>
      </w:r>
      <w:r>
        <w:t xml:space="preserve"> ridicată de debitoare prin întâmpinare</w:t>
      </w:r>
      <w:r w:rsidR="00957A25">
        <w:t>,</w:t>
      </w:r>
      <w:r>
        <w:t xml:space="preserve"> are caracter neîntemeiat deoarece declanşarea procedurii insolvenţei </w:t>
      </w:r>
      <w:r w:rsidR="00957A25">
        <w:t xml:space="preserve">faţă de regie nu constituie un impediment legal în aplicarea </w:t>
      </w:r>
      <w:r>
        <w:t>amenzii reglementate de art.</w:t>
      </w:r>
      <w:r w:rsidR="00957A25">
        <w:t xml:space="preserve">24 alin.3 din Legea 554/2004, obligaţia de executare a titlului executoriu pronunţat de instanţa de contencios administrativ subzistând şi după deschiderea procedurii insolvenţei. De asemenea, desemnare potrivit Legii 85/2014 a unui administrator special al </w:t>
      </w:r>
      <w:r w:rsidR="002B74A5">
        <w:t>X</w:t>
      </w:r>
      <w:r w:rsidR="00957A25" w:rsidRPr="00957A25">
        <w:t>„</w:t>
      </w:r>
      <w:r w:rsidR="00560D27">
        <w:t>...</w:t>
      </w:r>
      <w:r w:rsidR="00957A25" w:rsidRPr="00957A25">
        <w:t>”</w:t>
      </w:r>
      <w:r w:rsidR="00957A25">
        <w:t xml:space="preserve">, altă persoană fizică decât directorul general în funcţie la data exigibilităţii titlului executoriu, nu este de natură a constitui un impediment legal la aplicarea amenzii prevăzute de art.24 alin.3 din Legea 554/2004, această sancţiune, ca formă de executare silită, vizând persoana care exercită conducerea regiei în mod efectiv la data pronunţării hotărârii de aplicare a amenzii de către instanţa de executare. Pe cale de consecinţă, faptul că persoana ce exercita funcţia de director general la data expirării termenului de executare stabilit în </w:t>
      </w:r>
      <w:r w:rsidR="00957A25" w:rsidRPr="00957A25">
        <w:t>Sentinţa civilă nr.</w:t>
      </w:r>
      <w:r w:rsidR="00560D27">
        <w:t>S1</w:t>
      </w:r>
      <w:r w:rsidR="00957A25" w:rsidRPr="00957A25">
        <w:t xml:space="preserve"> a Curţii de Apel </w:t>
      </w:r>
      <w:r w:rsidR="002B74A5">
        <w:t>...</w:t>
      </w:r>
      <w:r w:rsidR="00957A25">
        <w:t xml:space="preserve"> nu mai lucrează în cadrul regiei nu constituie un impediment legal în declanşarea procedurii execuţionale reglementate de Legea 554/2004, excepţia de inadmisibilitate invocată prin întâmpinare fiind neîntemeiată.</w:t>
      </w:r>
    </w:p>
    <w:p w:rsidR="00957A25" w:rsidRDefault="00957A25" w:rsidP="000B402D">
      <w:pPr>
        <w:jc w:val="both"/>
      </w:pPr>
    </w:p>
    <w:p w:rsidR="00957A25" w:rsidRDefault="00957A25" w:rsidP="000B402D">
      <w:pPr>
        <w:jc w:val="both"/>
      </w:pPr>
      <w:r>
        <w:tab/>
        <w:t>Cu privire la cererea de aplicare a amenzii prevăzute de art.24 alin.3 din Legea 554/2004 se constată că are caracter fondat.</w:t>
      </w:r>
    </w:p>
    <w:p w:rsidR="00477900" w:rsidRDefault="00477900" w:rsidP="000B402D">
      <w:pPr>
        <w:jc w:val="both"/>
      </w:pPr>
      <w:r>
        <w:tab/>
        <w:t>Executarea obligaţiilor prevăzute în titlul executoriu, reprezentat de Sentinţa civilă nr.</w:t>
      </w:r>
      <w:r w:rsidR="00560D27">
        <w:t>S1</w:t>
      </w:r>
      <w:r>
        <w:t xml:space="preserve"> a Curţii de Apel </w:t>
      </w:r>
      <w:r w:rsidR="002B74A5">
        <w:t>...</w:t>
      </w:r>
      <w:r>
        <w:t>, trebuie aduse la îndeplinire întocmai şi în integralitate. Contrar apărărilor debitoarei, faptul că posesia bunurilor imobile şi mobile se exercită de către creditoare</w:t>
      </w:r>
      <w:r w:rsidR="00A435C7">
        <w:t xml:space="preserve"> în prezent în baza unei executări silite anulate</w:t>
      </w:r>
      <w:r>
        <w:t>, nu este de natură a o exonera de la executarea celorlalte obligaţii</w:t>
      </w:r>
      <w:r w:rsidR="003663BE">
        <w:t xml:space="preserve"> ce derivă din titlul executoriu şi din lege. Procesul de predare primire a sălilor de cinematograf impune, pe lângă preluarea bunurilor imobile şi mobile, şi preluarea personalului, a activului şi a pasivului </w:t>
      </w:r>
      <w:r w:rsidR="00A435C7">
        <w:t xml:space="preserve">fiecărei săli sau grădini de spectacol cinematografic, sens în care s-a prevăzut încheierea protocolului de predare primire între reprezentanţii unităţilor administrativ teritoriale şi cei ai  </w:t>
      </w:r>
      <w:r w:rsidR="002B74A5">
        <w:t>X</w:t>
      </w:r>
      <w:r w:rsidR="00A435C7" w:rsidRPr="00A435C7">
        <w:t>„</w:t>
      </w:r>
      <w:r w:rsidR="00560D27">
        <w:t>...</w:t>
      </w:r>
      <w:r w:rsidR="00A435C7" w:rsidRPr="00A435C7">
        <w:t>”</w:t>
      </w:r>
      <w:r w:rsidR="00A435C7">
        <w:t>.</w:t>
      </w:r>
    </w:p>
    <w:p w:rsidR="000B402D" w:rsidRDefault="006D1530" w:rsidP="00A435C7">
      <w:pPr>
        <w:jc w:val="both"/>
      </w:pPr>
      <w:r>
        <w:tab/>
      </w:r>
      <w:r w:rsidR="00A435C7">
        <w:t xml:space="preserve">Obligaţia de încheiere /emitere a actului administrativ constând în Protocolul de predare primire a sălilor de cinematograf </w:t>
      </w:r>
      <w:r w:rsidR="00560D27">
        <w:rPr>
          <w:i/>
        </w:rPr>
        <w:t>...</w:t>
      </w:r>
      <w:r w:rsidR="00A435C7">
        <w:t xml:space="preserve"> </w:t>
      </w:r>
      <w:r w:rsidR="00A435C7" w:rsidRPr="00A435C7">
        <w:t xml:space="preserve">împreună cu terenurile şi bunurile mobile aferente din domeniul privat al statului şi din administrarea </w:t>
      </w:r>
      <w:r w:rsidR="002B74A5">
        <w:t>X</w:t>
      </w:r>
      <w:r w:rsidR="00560D27">
        <w:t xml:space="preserve"> </w:t>
      </w:r>
      <w:r w:rsidR="00A435C7" w:rsidRPr="00A435C7">
        <w:t xml:space="preserve">în domeniul public al autorităţii locale Municipiul </w:t>
      </w:r>
      <w:r w:rsidR="002B74A5">
        <w:t>...</w:t>
      </w:r>
      <w:r w:rsidR="00A435C7" w:rsidRPr="00A435C7">
        <w:t>, iar bunurile mobile aflate în inventarul sălilor şi grădinilor de spectacol să treacă în proprietate privată a unităţilor administrativ teritoriale locale şi în administrarea consiliilor locale</w:t>
      </w:r>
      <w:r>
        <w:t>,</w:t>
      </w:r>
      <w:r w:rsidR="00A435C7">
        <w:t xml:space="preserve"> nu se poate face doar prin simpla predare a posesiei bunurilor imobile şi mobile, ci prin </w:t>
      </w:r>
      <w:r w:rsidR="00A435C7">
        <w:lastRenderedPageBreak/>
        <w:t>încheierea efectivă a protocolului în care să se regăsească personalul preluat, activul şi pasivul fiecărei săli de cinematograf, cu respectarea cerinţelor prevăzute de lege.</w:t>
      </w:r>
    </w:p>
    <w:p w:rsidR="00A435C7" w:rsidRDefault="00A435C7" w:rsidP="00A435C7">
      <w:pPr>
        <w:jc w:val="both"/>
      </w:pPr>
      <w:r>
        <w:tab/>
        <w:t>În acest sens sunt prevederile pct.8 din Legea303/2008:</w:t>
      </w:r>
    </w:p>
    <w:p w:rsidR="00A435C7" w:rsidRPr="00A435C7" w:rsidRDefault="00A435C7" w:rsidP="00A435C7">
      <w:pPr>
        <w:jc w:val="both"/>
        <w:rPr>
          <w:i/>
          <w:lang w:val="en-US"/>
        </w:rPr>
      </w:pPr>
      <w:r>
        <w:tab/>
        <w:t>„</w:t>
      </w:r>
      <w:r w:rsidRPr="00A435C7">
        <w:rPr>
          <w:lang w:val="en-US"/>
        </w:rPr>
        <w:t xml:space="preserve">1. </w:t>
      </w:r>
      <w:r w:rsidRPr="00A435C7">
        <w:rPr>
          <w:i/>
          <w:lang w:val="en-US"/>
        </w:rPr>
        <w:t>La data intrării în vigoare a prezentei legi, sălile şi grădinile de spectacol cinematografic, prevăzute în anexa nr. 1 la Ordonanţa Guvernului nr. 39/2005 privind cinematografia, aprobată cu modificări şi completări prin Legea nr. 328/2006, cu modificările şi completările ulterioare, aflate în domeniul privat al statului şi în administrarea Regiei Autonome de Distribuţie şi Exploatare a Filmelor «România-Film», împreună cu terenurile şi bunurile mobile aferente, trec în domeniul public al unităţilor administrativ-teritoriale locale, comunale, orăşeneşti, municipale şi al sectoarelor municipiului Bucureşti, după caz, şi în administrarea consiliilor locale respective.</w:t>
      </w:r>
    </w:p>
    <w:p w:rsidR="00A435C7" w:rsidRPr="00A435C7" w:rsidRDefault="00A435C7" w:rsidP="00A435C7">
      <w:pPr>
        <w:jc w:val="both"/>
        <w:rPr>
          <w:i/>
          <w:lang w:val="en-US"/>
        </w:rPr>
      </w:pPr>
      <w:r w:rsidRPr="00A435C7">
        <w:rPr>
          <w:i/>
          <w:lang w:val="en-US"/>
        </w:rPr>
        <w:t>    2. Bunurile mobile aflate în inventarul sălilor şi grădinilor de spectacol cinematografic trec în proprietatea privată a unităţilor administrativ-teritoriale locale şi în administrarea consiliilor locale ale acestora.</w:t>
      </w:r>
    </w:p>
    <w:p w:rsidR="00A435C7" w:rsidRPr="00A435C7" w:rsidRDefault="00A435C7" w:rsidP="00A435C7">
      <w:pPr>
        <w:jc w:val="both"/>
        <w:rPr>
          <w:i/>
          <w:lang w:val="en-US"/>
        </w:rPr>
      </w:pPr>
      <w:r w:rsidRPr="00A435C7">
        <w:rPr>
          <w:i/>
          <w:lang w:val="en-US"/>
        </w:rPr>
        <w:t>    3. Odată cu transferul imobilelor prevăzute la pct. 1, consiliile locale vor prelua de la Regia Autonomă de Distribuţie şi Exploatare a Filmelor «România-Film» personalul aferent, cu respectarea prevederilor Legii nr. 53/2003 - Codul muncii, cu modificările şi completările ulterioare.</w:t>
      </w:r>
    </w:p>
    <w:p w:rsidR="00A435C7" w:rsidRPr="00A435C7" w:rsidRDefault="00A435C7" w:rsidP="00A435C7">
      <w:pPr>
        <w:jc w:val="both"/>
        <w:rPr>
          <w:i/>
          <w:lang w:val="en-US"/>
        </w:rPr>
      </w:pPr>
      <w:r w:rsidRPr="00A435C7">
        <w:rPr>
          <w:i/>
          <w:lang w:val="en-US"/>
        </w:rPr>
        <w:t>    4. Odată cu transferul imobilelor prevăzute la pct. 1, consiliile locale respective vor prelua activul şi pasivul aferente fiecărei săli sau grădini de spectacol cinematografic pe care o primesc în administrare.</w:t>
      </w:r>
    </w:p>
    <w:p w:rsidR="00A435C7" w:rsidRDefault="00A435C7" w:rsidP="00A435C7">
      <w:pPr>
        <w:jc w:val="both"/>
      </w:pPr>
      <w:r w:rsidRPr="00A435C7">
        <w:rPr>
          <w:i/>
          <w:lang w:val="en-US"/>
        </w:rPr>
        <w:t>    5. Punerea în aplicare a dispoziţiilor pct. 1 - 4 se face pe baza unui protocol încheiat între primarul unităţii administrativ-teritoriale beneficiare şi reprezentantul mandatat de către conducerea Regiei Autonome de Distribuţie şi Exploatare a Filmelor «România-Film», în acest scop, în termen de 6 luni de la intrarea în vigoare a prezentei legi. Protocolul încheiat va fi asumat de către consiliile locale respective prin hotărâre</w:t>
      </w:r>
      <w:r w:rsidRPr="00A435C7">
        <w:rPr>
          <w:lang w:val="en-US"/>
        </w:rPr>
        <w:t>.</w:t>
      </w:r>
      <w:r>
        <w:t>”.</w:t>
      </w:r>
    </w:p>
    <w:p w:rsidR="00A435C7" w:rsidRDefault="006D1530" w:rsidP="00A435C7">
      <w:pPr>
        <w:jc w:val="both"/>
        <w:rPr>
          <w:lang w:val="en-US"/>
        </w:rPr>
      </w:pPr>
      <w:r>
        <w:rPr>
          <w:lang w:val="en-US"/>
        </w:rPr>
        <w:tab/>
        <w:t>Ori, debitoarea a refuzat constant executarea titlului executoriu sub aspectul operaţiunilor materiale ce trebuia să le îndeplinească, sens în care sunt şi adresele nr</w:t>
      </w:r>
      <w:r w:rsidR="00FA4CBB">
        <w:rPr>
          <w:lang w:val="en-US"/>
        </w:rPr>
        <w:t>….</w:t>
      </w:r>
      <w:r>
        <w:rPr>
          <w:lang w:val="en-US"/>
        </w:rPr>
        <w:t xml:space="preserve">, ce relevă neîndeplinirea culpabilă a obligaţiilor prevăzute de lege şi de </w:t>
      </w:r>
      <w:r w:rsidR="00250FD9">
        <w:rPr>
          <w:lang w:val="en-US"/>
        </w:rPr>
        <w:t>titlul executoriu.</w:t>
      </w:r>
    </w:p>
    <w:p w:rsidR="00250FD9" w:rsidRDefault="00250FD9" w:rsidP="00A435C7">
      <w:pPr>
        <w:jc w:val="both"/>
        <w:rPr>
          <w:lang w:val="en-US"/>
        </w:rPr>
      </w:pPr>
      <w:r>
        <w:rPr>
          <w:lang w:val="en-US"/>
        </w:rPr>
        <w:tab/>
        <w:t>Întrucât creditorul justifică un interes legitim, real şi actual de a prelua în domeniul public şi în domeniul privat  al unităţii administrative teritoriale bunurile mobile, imobile, cu personalul activul şi pasivul aferent, se impune asigurarea executării titlului executoriu în cadrul legal stabilit de Legea nr.303/2008, doar preluarea şi exercitarea posesiei asuspra bunurilor mobile şi imobile nefiind suficientă în a asigura executarea titlului executoriu.</w:t>
      </w:r>
    </w:p>
    <w:p w:rsidR="00250FD9" w:rsidRDefault="00250FD9" w:rsidP="00250FD9">
      <w:pPr>
        <w:jc w:val="both"/>
      </w:pPr>
      <w:r>
        <w:rPr>
          <w:lang w:val="en-US"/>
        </w:rPr>
        <w:tab/>
        <w:t xml:space="preserve">Fiind îndeplinite condiţiile legale prevăzute de art.24 alin.3 din Legea 554/2004 </w:t>
      </w:r>
      <w:r>
        <w:t>se va aplica</w:t>
      </w:r>
      <w:r w:rsidRPr="00250FD9">
        <w:t xml:space="preserve"> conducătorului pârâtei </w:t>
      </w:r>
      <w:r w:rsidR="002B74A5">
        <w:t>X</w:t>
      </w:r>
      <w:r w:rsidR="00560D27">
        <w:t xml:space="preserve"> </w:t>
      </w:r>
      <w:r w:rsidRPr="00250FD9">
        <w:t>o amendă de 20% din salariul minim brut pe economie pe zi de întârziere, care se face venit la bugetul de stat, până la data executării obligaţiilor instituite prin Sentinţa civilă nr.</w:t>
      </w:r>
      <w:r w:rsidR="00560D27">
        <w:t>S1</w:t>
      </w:r>
      <w:r w:rsidRPr="00250FD9">
        <w:t xml:space="preserve">, pronunţată de Curtea de Apel </w:t>
      </w:r>
      <w:r w:rsidR="002B74A5">
        <w:t>...</w:t>
      </w:r>
      <w:r w:rsidRPr="00250FD9">
        <w:t xml:space="preserve"> în dosarul nr</w:t>
      </w:r>
      <w:r w:rsidR="00560D27">
        <w:t>…</w:t>
      </w:r>
      <w:r w:rsidRPr="00250FD9">
        <w:t>.</w:t>
      </w:r>
    </w:p>
    <w:p w:rsidR="00250FD9" w:rsidRPr="00250FD9" w:rsidRDefault="00250FD9" w:rsidP="00250FD9">
      <w:pPr>
        <w:jc w:val="both"/>
      </w:pPr>
      <w:r>
        <w:tab/>
        <w:t>De asemenea, se constată întemeiată şi cererea creditoarei de obligare a debitoarei la pl</w:t>
      </w:r>
      <w:r w:rsidR="00A2317B">
        <w:t xml:space="preserve">ata de penalităţi de întârziere, conform art.906 C.civ., pentru refuzul nejustificat de executare la termen a obligaţiilor stabilite prin titlul executoriu. Astfel, cum s-a argumentat anterior, debitoarea în mod constant a tergiversat îndeplinirea unor obligaţii clare decurgând din lege, fapt ce a condus la declanşarea litigiului în faţa instanţei de contencios administrativ, iar după pronunţarea titlului executoriu, prin </w:t>
      </w:r>
      <w:r w:rsidR="00A2317B" w:rsidRPr="00A2317B">
        <w:rPr>
          <w:lang w:val="en-US"/>
        </w:rPr>
        <w:t>adresele nr</w:t>
      </w:r>
      <w:r w:rsidR="00560D27">
        <w:rPr>
          <w:lang w:val="en-US"/>
        </w:rPr>
        <w:t>…</w:t>
      </w:r>
      <w:r w:rsidR="00A2317B" w:rsidRPr="00A2317B">
        <w:rPr>
          <w:lang w:val="en-US"/>
        </w:rPr>
        <w:t>.</w:t>
      </w:r>
      <w:r w:rsidR="00A2317B">
        <w:rPr>
          <w:lang w:val="en-US"/>
        </w:rPr>
        <w:t xml:space="preserve"> a continuat să tergiverseze nejustificat executarea hotărârii judecătoreşti, fapt ce relevă caracterul întemeiat al obligării la penalităţilor </w:t>
      </w:r>
      <w:r w:rsidR="00A2317B" w:rsidRPr="00A2317B">
        <w:t>de 100 de lei pe zi de întârziere, până la data executării obligaţiilor instituite prin Sentinţa civilă nr.</w:t>
      </w:r>
      <w:r w:rsidR="00560D27">
        <w:t>S1</w:t>
      </w:r>
      <w:r w:rsidR="00A2317B" w:rsidRPr="00A2317B">
        <w:t xml:space="preserve">, pronunţată de Curtea de Apel </w:t>
      </w:r>
      <w:r w:rsidR="002B74A5">
        <w:t>...</w:t>
      </w:r>
      <w:r w:rsidR="00A2317B" w:rsidRPr="00A2317B">
        <w:t xml:space="preserve"> în dosarul nr</w:t>
      </w:r>
      <w:r w:rsidR="00560D27">
        <w:t>…</w:t>
      </w:r>
      <w:r w:rsidR="00A2317B" w:rsidRPr="00A2317B">
        <w:t>.</w:t>
      </w:r>
    </w:p>
    <w:p w:rsidR="00250FD9" w:rsidRPr="00A435C7" w:rsidRDefault="00250FD9" w:rsidP="00A435C7">
      <w:pPr>
        <w:jc w:val="both"/>
        <w:rPr>
          <w:lang w:val="en-US"/>
        </w:rPr>
      </w:pPr>
    </w:p>
    <w:p w:rsidR="00C2771B" w:rsidRPr="00503141" w:rsidRDefault="00C2771B" w:rsidP="00C2771B">
      <w:pPr>
        <w:jc w:val="center"/>
      </w:pPr>
    </w:p>
    <w:p w:rsidR="00C2771B" w:rsidRPr="00503141" w:rsidRDefault="00C2771B" w:rsidP="00C2771B">
      <w:pPr>
        <w:jc w:val="center"/>
      </w:pPr>
      <w:r w:rsidRPr="00503141">
        <w:t>Pentru aceste motive,</w:t>
      </w:r>
      <w:r w:rsidRPr="00503141">
        <w:br/>
        <w:t>În numele legii,</w:t>
      </w:r>
    </w:p>
    <w:p w:rsidR="00C2771B" w:rsidRPr="00503141" w:rsidRDefault="00C2771B" w:rsidP="00C2771B">
      <w:pPr>
        <w:jc w:val="center"/>
      </w:pPr>
      <w:r w:rsidRPr="00503141">
        <w:t>Hotărăşte:</w:t>
      </w:r>
    </w:p>
    <w:p w:rsidR="00C2771B" w:rsidRPr="00503141" w:rsidRDefault="00C2771B" w:rsidP="00C2771B">
      <w:pPr>
        <w:ind w:firstLine="709"/>
        <w:jc w:val="both"/>
      </w:pPr>
    </w:p>
    <w:p w:rsidR="00C2771B" w:rsidRPr="00503141" w:rsidRDefault="00C2771B" w:rsidP="00C2771B">
      <w:pPr>
        <w:ind w:firstLine="709"/>
        <w:jc w:val="both"/>
      </w:pPr>
      <w:r w:rsidRPr="00503141">
        <w:t>Respinge excepţia inadmisibilităţii invocată de pârâtă.</w:t>
      </w:r>
    </w:p>
    <w:p w:rsidR="00C2771B" w:rsidRPr="00503141" w:rsidRDefault="00C2771B" w:rsidP="00C2771B">
      <w:pPr>
        <w:ind w:firstLine="709"/>
        <w:jc w:val="both"/>
      </w:pPr>
      <w:r w:rsidRPr="00503141">
        <w:t xml:space="preserve">Admite cererea formulată de reclamanta-creditoare Unitatea Administrativ Teritorială Municipiul </w:t>
      </w:r>
      <w:r w:rsidR="002B74A5">
        <w:t>...</w:t>
      </w:r>
      <w:r w:rsidRPr="00503141">
        <w:t xml:space="preserve">, reprezentată de Primarul municipiul </w:t>
      </w:r>
      <w:r w:rsidR="002B74A5">
        <w:t>...</w:t>
      </w:r>
      <w:r w:rsidRPr="00503141">
        <w:t xml:space="preserve">, cu sediul în mun. </w:t>
      </w:r>
      <w:r w:rsidR="002B74A5">
        <w:t>...</w:t>
      </w:r>
      <w:r w:rsidRPr="00503141">
        <w:t xml:space="preserve">, bd. </w:t>
      </w:r>
      <w:r w:rsidR="00560D27">
        <w:t>.</w:t>
      </w:r>
      <w:r w:rsidRPr="00503141">
        <w:t xml:space="preserve"> în contradictoriu cu pârâta </w:t>
      </w:r>
      <w:r w:rsidR="00560D27">
        <w:t>X</w:t>
      </w:r>
      <w:r w:rsidRPr="00503141">
        <w:t xml:space="preserve">, aflată în insolvenţă, cu sediul în mun. </w:t>
      </w:r>
      <w:r w:rsidR="00560D27">
        <w:t>.</w:t>
      </w:r>
      <w:r w:rsidRPr="00503141">
        <w:t>, prin administrator judiciar provizoriu „</w:t>
      </w:r>
      <w:r w:rsidR="00560D27">
        <w:t>..</w:t>
      </w:r>
      <w:r w:rsidRPr="00503141">
        <w:t xml:space="preserve">PRL”, cu sediul în mun. </w:t>
      </w:r>
      <w:r w:rsidR="00560D27">
        <w:t>..</w:t>
      </w:r>
      <w:r w:rsidRPr="00503141">
        <w:t>.</w:t>
      </w:r>
    </w:p>
    <w:p w:rsidR="00C2771B" w:rsidRPr="00503141" w:rsidRDefault="00C2771B" w:rsidP="00C2771B">
      <w:pPr>
        <w:ind w:firstLine="709"/>
        <w:jc w:val="both"/>
      </w:pPr>
      <w:r w:rsidRPr="00503141">
        <w:t xml:space="preserve">Aplică conducătorului pârâtei </w:t>
      </w:r>
      <w:r w:rsidR="002B74A5">
        <w:t>X</w:t>
      </w:r>
      <w:r w:rsidR="00560D27">
        <w:t xml:space="preserve"> </w:t>
      </w:r>
      <w:r w:rsidRPr="00503141">
        <w:t>o amendă de 20% din salariul minim brut pe economie pe zi de întârziere, care se face venit la bugetul de stat, până la data executării obligaţiilor instituite prin Sentinţa civilă nr.</w:t>
      </w:r>
      <w:r w:rsidR="00560D27">
        <w:t xml:space="preserve"> S1</w:t>
      </w:r>
      <w:r w:rsidRPr="00503141">
        <w:t xml:space="preserve">, pronunţată de Curtea de Apel </w:t>
      </w:r>
      <w:r w:rsidR="002B74A5">
        <w:t>...</w:t>
      </w:r>
      <w:r w:rsidRPr="00503141">
        <w:t xml:space="preserve"> în dosarul nr.</w:t>
      </w:r>
      <w:r w:rsidR="00560D27">
        <w:t>.</w:t>
      </w:r>
      <w:r w:rsidRPr="00503141">
        <w:t>.</w:t>
      </w:r>
    </w:p>
    <w:p w:rsidR="00C2771B" w:rsidRPr="00503141" w:rsidRDefault="00C2771B" w:rsidP="00C2771B">
      <w:pPr>
        <w:ind w:firstLine="709"/>
        <w:jc w:val="both"/>
      </w:pPr>
      <w:r w:rsidRPr="00503141">
        <w:t>Aplică pârâtei debitoare</w:t>
      </w:r>
      <w:r w:rsidR="00560D27">
        <w:t xml:space="preserve"> </w:t>
      </w:r>
      <w:r w:rsidR="002B74A5">
        <w:t>X</w:t>
      </w:r>
      <w:r w:rsidR="00560D27">
        <w:t xml:space="preserve"> </w:t>
      </w:r>
      <w:r w:rsidRPr="00503141">
        <w:t xml:space="preserve">şi, pe cale de consecinţă, obligă pârâtă-debitoare la plata către creditoarea UAT Municipiul </w:t>
      </w:r>
      <w:r w:rsidR="002B74A5">
        <w:t>...</w:t>
      </w:r>
      <w:r w:rsidRPr="00503141">
        <w:t xml:space="preserve"> a unei penalităţi de 100 de lei pe zi de întârziere, până la data executării obligaţiilor instituite prin Sentinţa civilă nr.</w:t>
      </w:r>
      <w:r w:rsidR="00560D27">
        <w:t xml:space="preserve"> </w:t>
      </w:r>
      <w:r w:rsidR="007F18D5">
        <w:t>…</w:t>
      </w:r>
      <w:r w:rsidRPr="00503141">
        <w:t xml:space="preserve">, pronunţată de Curtea de Apel </w:t>
      </w:r>
      <w:r w:rsidR="002B74A5">
        <w:t>...</w:t>
      </w:r>
      <w:r w:rsidRPr="00503141">
        <w:t xml:space="preserve"> în dosarul nr</w:t>
      </w:r>
      <w:r w:rsidR="00560D27">
        <w:t>…</w:t>
      </w:r>
      <w:r w:rsidRPr="00503141">
        <w:t>.</w:t>
      </w:r>
    </w:p>
    <w:p w:rsidR="00C2771B" w:rsidRPr="00503141" w:rsidRDefault="00C2771B" w:rsidP="00C2771B">
      <w:pPr>
        <w:ind w:firstLine="709"/>
        <w:jc w:val="both"/>
      </w:pPr>
      <w:r w:rsidRPr="00503141">
        <w:t>Cu drept de recurs în termen de 5 zile de la comunicare.</w:t>
      </w:r>
    </w:p>
    <w:p w:rsidR="00090D1C" w:rsidRPr="00503141" w:rsidRDefault="00C2771B" w:rsidP="00C2771B">
      <w:pPr>
        <w:ind w:firstLine="709"/>
        <w:jc w:val="both"/>
      </w:pPr>
      <w:r w:rsidRPr="00503141">
        <w:t xml:space="preserve">Pronunţată în şedinţă publică azi, </w:t>
      </w:r>
      <w:r w:rsidR="00560D27">
        <w:t>.</w:t>
      </w:r>
      <w:r w:rsidRPr="00503141">
        <w:t>.</w:t>
      </w:r>
    </w:p>
    <w:p w:rsidR="00C2771B" w:rsidRPr="00503141" w:rsidRDefault="00C2771B" w:rsidP="00C2771B">
      <w:pPr>
        <w:ind w:firstLine="709"/>
        <w:jc w:val="both"/>
      </w:pPr>
    </w:p>
    <w:p w:rsidR="00C2771B" w:rsidRPr="00503141" w:rsidRDefault="00C2771B" w:rsidP="00C2771B">
      <w:pPr>
        <w:ind w:firstLine="709"/>
        <w:jc w:val="both"/>
      </w:pPr>
    </w:p>
    <w:p w:rsidR="00C2771B" w:rsidRPr="00503141" w:rsidRDefault="00C2771B" w:rsidP="00C2771B">
      <w:pPr>
        <w:jc w:val="center"/>
      </w:pPr>
      <w:r w:rsidRPr="00503141">
        <w:t>Preşedinte,</w:t>
      </w:r>
    </w:p>
    <w:p w:rsidR="00C2771B" w:rsidRPr="00503141" w:rsidRDefault="002B74A5" w:rsidP="00C2771B">
      <w:pPr>
        <w:jc w:val="center"/>
      </w:pPr>
      <w:r>
        <w:t>COD 1015</w:t>
      </w:r>
    </w:p>
    <w:p w:rsidR="00C2771B" w:rsidRPr="00503141" w:rsidRDefault="00C2771B" w:rsidP="00C2771B">
      <w:pPr>
        <w:jc w:val="center"/>
      </w:pPr>
    </w:p>
    <w:p w:rsidR="00C2771B" w:rsidRPr="00503141" w:rsidRDefault="00C2771B" w:rsidP="00C2771B"/>
    <w:p w:rsidR="00C2771B" w:rsidRPr="00503141" w:rsidRDefault="00C2771B" w:rsidP="00C2771B">
      <w:pPr>
        <w:jc w:val="center"/>
      </w:pPr>
    </w:p>
    <w:p w:rsidR="00C2771B" w:rsidRPr="00503141" w:rsidRDefault="00C2771B" w:rsidP="00C2771B">
      <w:pPr>
        <w:jc w:val="center"/>
      </w:pPr>
      <w:r w:rsidRPr="00503141">
        <w:t>Grefier,</w:t>
      </w:r>
    </w:p>
    <w:p w:rsidR="00C2771B" w:rsidRPr="00503141" w:rsidRDefault="00C2771B" w:rsidP="00C2771B">
      <w:pPr>
        <w:jc w:val="center"/>
      </w:pPr>
      <w:r w:rsidRPr="00503141">
        <w:t xml:space="preserve"> </w:t>
      </w:r>
      <w:r w:rsidR="002B74A5">
        <w:t>...</w:t>
      </w:r>
    </w:p>
    <w:p w:rsidR="00D6364D" w:rsidRPr="00503141" w:rsidRDefault="00D6364D" w:rsidP="00C2771B">
      <w:pPr>
        <w:jc w:val="center"/>
      </w:pPr>
    </w:p>
    <w:p w:rsidR="00D6364D" w:rsidRPr="00503141" w:rsidRDefault="00D6364D" w:rsidP="00D6364D"/>
    <w:p w:rsidR="00D6364D" w:rsidRDefault="00D6364D" w:rsidP="00C2771B">
      <w:pPr>
        <w:ind w:firstLine="709"/>
        <w:jc w:val="both"/>
        <w:rPr>
          <w:sz w:val="18"/>
          <w:szCs w:val="15"/>
        </w:rPr>
      </w:pPr>
    </w:p>
    <w:p w:rsidR="00D6364D" w:rsidRPr="00D6364D" w:rsidRDefault="00D6364D" w:rsidP="00C2771B">
      <w:pPr>
        <w:ind w:firstLine="709"/>
        <w:jc w:val="both"/>
        <w:rPr>
          <w:sz w:val="18"/>
          <w:szCs w:val="15"/>
        </w:rPr>
      </w:pPr>
    </w:p>
    <w:sectPr w:rsidR="00D6364D" w:rsidRPr="00D6364D" w:rsidSect="00C2771B">
      <w:footerReference w:type="default" r:id="rId9"/>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5D0" w:rsidRDefault="009A55D0" w:rsidP="00C2771B">
      <w:r>
        <w:separator/>
      </w:r>
    </w:p>
  </w:endnote>
  <w:endnote w:type="continuationSeparator" w:id="0">
    <w:p w:rsidR="009A55D0" w:rsidRDefault="009A55D0" w:rsidP="00C27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FD9" w:rsidRDefault="00250FD9">
    <w:pPr>
      <w:pStyle w:val="Footer"/>
      <w:jc w:val="center"/>
    </w:pPr>
    <w:r>
      <w:fldChar w:fldCharType="begin"/>
    </w:r>
    <w:r>
      <w:instrText>PAGE   \* MERGEFORMAT</w:instrText>
    </w:r>
    <w:r>
      <w:fldChar w:fldCharType="separate"/>
    </w:r>
    <w:r w:rsidR="00653E14">
      <w:rPr>
        <w:noProof/>
      </w:rPr>
      <w:t>1</w:t>
    </w:r>
    <w:r>
      <w:fldChar w:fldCharType="end"/>
    </w:r>
  </w:p>
  <w:p w:rsidR="00250FD9" w:rsidRDefault="00250F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5D0" w:rsidRDefault="009A55D0" w:rsidP="00C2771B">
      <w:r>
        <w:separator/>
      </w:r>
    </w:p>
  </w:footnote>
  <w:footnote w:type="continuationSeparator" w:id="0">
    <w:p w:rsidR="009A55D0" w:rsidRDefault="009A55D0" w:rsidP="00C277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41652"/>
    <w:multiLevelType w:val="hybridMultilevel"/>
    <w:tmpl w:val="BF56EEC2"/>
    <w:lvl w:ilvl="0" w:tplc="26A61FF8">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6BE75BCD"/>
    <w:multiLevelType w:val="hybridMultilevel"/>
    <w:tmpl w:val="1A86F9B0"/>
    <w:lvl w:ilvl="0" w:tplc="5562F9AE">
      <w:start w:val="1"/>
      <w:numFmt w:val="upperRoman"/>
      <w:lvlText w:val="%1."/>
      <w:lvlJc w:val="left"/>
      <w:pPr>
        <w:ind w:left="1425" w:hanging="72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741341&amp;id_departament=15&amp;id_sesiune=542369&amp;id_user=174&amp;id_institutie=45&amp;actiune=modifica"/>
  </w:docVars>
  <w:rsids>
    <w:rsidRoot w:val="00090D1C"/>
    <w:rsid w:val="00041EE1"/>
    <w:rsid w:val="000654FD"/>
    <w:rsid w:val="00074F1D"/>
    <w:rsid w:val="00084103"/>
    <w:rsid w:val="00090D1C"/>
    <w:rsid w:val="000B402D"/>
    <w:rsid w:val="000D7188"/>
    <w:rsid w:val="00142C87"/>
    <w:rsid w:val="001528BC"/>
    <w:rsid w:val="001720B5"/>
    <w:rsid w:val="00187312"/>
    <w:rsid w:val="00190DF5"/>
    <w:rsid w:val="00230098"/>
    <w:rsid w:val="0023141F"/>
    <w:rsid w:val="00232361"/>
    <w:rsid w:val="00236F8B"/>
    <w:rsid w:val="00250FD9"/>
    <w:rsid w:val="00261D87"/>
    <w:rsid w:val="002B2AF4"/>
    <w:rsid w:val="002B74A5"/>
    <w:rsid w:val="002C1E95"/>
    <w:rsid w:val="00310770"/>
    <w:rsid w:val="00322EA6"/>
    <w:rsid w:val="003663BE"/>
    <w:rsid w:val="003676FC"/>
    <w:rsid w:val="003D35F0"/>
    <w:rsid w:val="003E7F15"/>
    <w:rsid w:val="00434264"/>
    <w:rsid w:val="004362D5"/>
    <w:rsid w:val="00444EB7"/>
    <w:rsid w:val="00477900"/>
    <w:rsid w:val="00483536"/>
    <w:rsid w:val="00485AD3"/>
    <w:rsid w:val="004B2ED2"/>
    <w:rsid w:val="00503141"/>
    <w:rsid w:val="005235F7"/>
    <w:rsid w:val="00560D27"/>
    <w:rsid w:val="005E0080"/>
    <w:rsid w:val="0062353D"/>
    <w:rsid w:val="00653E14"/>
    <w:rsid w:val="006B03A1"/>
    <w:rsid w:val="006D1530"/>
    <w:rsid w:val="00723734"/>
    <w:rsid w:val="007C407B"/>
    <w:rsid w:val="007D2A91"/>
    <w:rsid w:val="007F18D5"/>
    <w:rsid w:val="00860D61"/>
    <w:rsid w:val="00876037"/>
    <w:rsid w:val="008D6F98"/>
    <w:rsid w:val="00902C7A"/>
    <w:rsid w:val="00957A25"/>
    <w:rsid w:val="00982CB8"/>
    <w:rsid w:val="009847E9"/>
    <w:rsid w:val="00984EEE"/>
    <w:rsid w:val="009876B0"/>
    <w:rsid w:val="00994AE8"/>
    <w:rsid w:val="009A55D0"/>
    <w:rsid w:val="009B7961"/>
    <w:rsid w:val="009D2F80"/>
    <w:rsid w:val="00A04148"/>
    <w:rsid w:val="00A2317B"/>
    <w:rsid w:val="00A435C7"/>
    <w:rsid w:val="00A56F73"/>
    <w:rsid w:val="00A74B82"/>
    <w:rsid w:val="00BC1C8E"/>
    <w:rsid w:val="00BC4A1A"/>
    <w:rsid w:val="00BC5260"/>
    <w:rsid w:val="00BE7C9A"/>
    <w:rsid w:val="00BF0E6F"/>
    <w:rsid w:val="00C2771B"/>
    <w:rsid w:val="00D5305A"/>
    <w:rsid w:val="00D6364D"/>
    <w:rsid w:val="00DC0D58"/>
    <w:rsid w:val="00F035C2"/>
    <w:rsid w:val="00FA4C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6AA5F1B-BFEA-48D5-9709-0FA910E1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C2771B"/>
    <w:pPr>
      <w:tabs>
        <w:tab w:val="center" w:pos="4536"/>
        <w:tab w:val="right" w:pos="9072"/>
      </w:tabs>
    </w:pPr>
  </w:style>
  <w:style w:type="character" w:customStyle="1" w:styleId="HeaderChar">
    <w:name w:val="Header Char"/>
    <w:link w:val="Header"/>
    <w:rsid w:val="00C2771B"/>
    <w:rPr>
      <w:sz w:val="24"/>
      <w:szCs w:val="24"/>
    </w:rPr>
  </w:style>
  <w:style w:type="paragraph" w:styleId="Footer">
    <w:name w:val="footer"/>
    <w:basedOn w:val="Normal"/>
    <w:link w:val="FooterChar"/>
    <w:uiPriority w:val="99"/>
    <w:rsid w:val="00C2771B"/>
    <w:pPr>
      <w:tabs>
        <w:tab w:val="center" w:pos="4536"/>
        <w:tab w:val="right" w:pos="9072"/>
      </w:tabs>
    </w:pPr>
  </w:style>
  <w:style w:type="character" w:customStyle="1" w:styleId="FooterChar">
    <w:name w:val="Footer Char"/>
    <w:link w:val="Footer"/>
    <w:uiPriority w:val="99"/>
    <w:rsid w:val="00C277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087364">
      <w:bodyDiv w:val="1"/>
      <w:marLeft w:val="0"/>
      <w:marRight w:val="0"/>
      <w:marTop w:val="0"/>
      <w:marBottom w:val="0"/>
      <w:divBdr>
        <w:top w:val="none" w:sz="0" w:space="0" w:color="auto"/>
        <w:left w:val="none" w:sz="0" w:space="0" w:color="auto"/>
        <w:bottom w:val="none" w:sz="0" w:space="0" w:color="auto"/>
        <w:right w:val="none" w:sz="0" w:space="0" w:color="auto"/>
      </w:divBdr>
      <w:divsChild>
        <w:div w:id="299967570">
          <w:marLeft w:val="0"/>
          <w:marRight w:val="0"/>
          <w:marTop w:val="0"/>
          <w:marBottom w:val="0"/>
          <w:divBdr>
            <w:top w:val="single" w:sz="6" w:space="0" w:color="000000"/>
            <w:left w:val="single" w:sz="6" w:space="0" w:color="000000"/>
            <w:bottom w:val="single" w:sz="6" w:space="0" w:color="000000"/>
            <w:right w:val="single" w:sz="6" w:space="0" w:color="000000"/>
          </w:divBdr>
          <w:divsChild>
            <w:div w:id="1857422350">
              <w:marLeft w:val="0"/>
              <w:marRight w:val="0"/>
              <w:marTop w:val="0"/>
              <w:marBottom w:val="0"/>
              <w:divBdr>
                <w:top w:val="none" w:sz="0" w:space="0" w:color="auto"/>
                <w:left w:val="none" w:sz="0" w:space="0" w:color="auto"/>
                <w:bottom w:val="none" w:sz="0" w:space="0" w:color="auto"/>
                <w:right w:val="none" w:sz="0" w:space="0" w:color="auto"/>
              </w:divBdr>
              <w:divsChild>
                <w:div w:id="1475559118">
                  <w:marLeft w:val="0"/>
                  <w:marRight w:val="0"/>
                  <w:marTop w:val="0"/>
                  <w:marBottom w:val="0"/>
                  <w:divBdr>
                    <w:top w:val="none" w:sz="0" w:space="0" w:color="auto"/>
                    <w:left w:val="none" w:sz="0" w:space="0" w:color="auto"/>
                    <w:bottom w:val="none" w:sz="0" w:space="0" w:color="auto"/>
                    <w:right w:val="none" w:sz="0" w:space="0" w:color="auto"/>
                  </w:divBdr>
                  <w:divsChild>
                    <w:div w:id="792404900">
                      <w:marLeft w:val="0"/>
                      <w:marRight w:val="0"/>
                      <w:marTop w:val="0"/>
                      <w:marBottom w:val="0"/>
                      <w:divBdr>
                        <w:top w:val="none" w:sz="0" w:space="0" w:color="auto"/>
                        <w:left w:val="none" w:sz="0" w:space="0" w:color="auto"/>
                        <w:bottom w:val="none" w:sz="0" w:space="0" w:color="auto"/>
                        <w:right w:val="none" w:sz="0" w:space="0" w:color="auto"/>
                      </w:divBdr>
                      <w:divsChild>
                        <w:div w:id="11568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52BC8-3CD0-4E45-B6F4-7589F4854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1753</Words>
  <Characters>9993</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Stela, IVAN</cp:lastModifiedBy>
  <cp:revision>8</cp:revision>
  <dcterms:created xsi:type="dcterms:W3CDTF">2021-11-08T09:17:00Z</dcterms:created>
  <dcterms:modified xsi:type="dcterms:W3CDTF">2021-11-10T08:03:00Z</dcterms:modified>
</cp:coreProperties>
</file>