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BB42" w14:textId="249547A6" w:rsidR="003610D3" w:rsidRPr="00AD5541" w:rsidRDefault="00AD5541" w:rsidP="00792B93">
      <w:pPr>
        <w:spacing w:after="100" w:line="264" w:lineRule="auto"/>
        <w:jc w:val="center"/>
        <w:rPr>
          <w:rFonts w:asciiTheme="majorHAnsi" w:hAnsiTheme="majorHAnsi" w:cstheme="majorHAnsi"/>
          <w:b/>
          <w:lang w:val="ro-RO"/>
        </w:rPr>
      </w:pPr>
      <w:r w:rsidRPr="00AD5541">
        <w:rPr>
          <w:rFonts w:asciiTheme="majorHAnsi" w:hAnsiTheme="majorHAnsi" w:cstheme="majorHAnsi"/>
          <w:b/>
          <w:sz w:val="24"/>
          <w:szCs w:val="24"/>
          <w:lang w:val="ro-RO"/>
        </w:rPr>
        <w:t>Noi reguli tranzitorii de origine pentru țările pan-euro-mediteraneene</w:t>
      </w:r>
    </w:p>
    <w:p w14:paraId="48EB54C0" w14:textId="77777777" w:rsidR="00F3185D" w:rsidRDefault="00F3185D" w:rsidP="00792B93">
      <w:pPr>
        <w:spacing w:after="100" w:line="264" w:lineRule="auto"/>
        <w:rPr>
          <w:rFonts w:asciiTheme="majorHAnsi" w:hAnsiTheme="majorHAnsi" w:cstheme="majorHAnsi"/>
          <w:i/>
          <w:lang w:val="ro-RO"/>
        </w:rPr>
      </w:pPr>
    </w:p>
    <w:p w14:paraId="50CA87D8" w14:textId="4A9EFECE" w:rsidR="00F3185D" w:rsidRPr="00250370" w:rsidRDefault="003610D3" w:rsidP="00792B93">
      <w:pPr>
        <w:spacing w:after="100" w:line="264" w:lineRule="auto"/>
        <w:rPr>
          <w:rFonts w:asciiTheme="majorHAnsi" w:hAnsiTheme="majorHAnsi" w:cstheme="majorHAnsi"/>
          <w:i/>
          <w:lang w:val="ro-RO"/>
        </w:rPr>
      </w:pPr>
      <w:r w:rsidRPr="0047338D">
        <w:rPr>
          <w:rFonts w:asciiTheme="majorHAnsi" w:hAnsiTheme="majorHAnsi" w:cstheme="majorHAnsi"/>
          <w:i/>
          <w:lang w:val="ro-RO"/>
        </w:rPr>
        <w:t xml:space="preserve">Material de opinie de </w:t>
      </w:r>
      <w:r w:rsidR="00AD5541">
        <w:rPr>
          <w:rFonts w:asciiTheme="majorHAnsi" w:hAnsiTheme="majorHAnsi" w:cstheme="majorHAnsi"/>
          <w:i/>
          <w:lang w:val="ro-RO"/>
        </w:rPr>
        <w:t xml:space="preserve">Raluca Bâldea, Partener Servicii Fiscale, și </w:t>
      </w:r>
      <w:r w:rsidR="00AD5541" w:rsidRPr="0031443B">
        <w:rPr>
          <w:rFonts w:asciiTheme="majorHAnsi" w:hAnsiTheme="majorHAnsi" w:cstheme="majorHAnsi"/>
          <w:i/>
          <w:lang w:val="ro-RO"/>
        </w:rPr>
        <w:t>Vladislav Dabija</w:t>
      </w:r>
      <w:r w:rsidR="00AD5541">
        <w:rPr>
          <w:rFonts w:asciiTheme="majorHAnsi" w:hAnsiTheme="majorHAnsi" w:cstheme="majorHAnsi"/>
          <w:i/>
          <w:lang w:val="ro-RO"/>
        </w:rPr>
        <w:t>, Manager Taxe Indirecte, Deloitte România</w:t>
      </w:r>
    </w:p>
    <w:p w14:paraId="77CBDA7E" w14:textId="77777777" w:rsidR="00250370" w:rsidRDefault="00250370" w:rsidP="005528EC">
      <w:pPr>
        <w:pStyle w:val="Maintext"/>
        <w:tabs>
          <w:tab w:val="left" w:pos="2537"/>
        </w:tabs>
        <w:spacing w:line="264" w:lineRule="auto"/>
        <w:jc w:val="both"/>
        <w:rPr>
          <w:rFonts w:asciiTheme="majorHAnsi" w:hAnsiTheme="majorHAnsi" w:cstheme="majorHAnsi"/>
          <w:lang w:val="ro-RO"/>
        </w:rPr>
      </w:pPr>
    </w:p>
    <w:p w14:paraId="34CC5615" w14:textId="03A30DE0" w:rsidR="00AD5541" w:rsidRPr="00AD5541" w:rsidRDefault="00AD5541" w:rsidP="005528EC">
      <w:pPr>
        <w:pStyle w:val="Maintext"/>
        <w:tabs>
          <w:tab w:val="left" w:pos="2537"/>
        </w:tabs>
        <w:spacing w:line="264" w:lineRule="auto"/>
        <w:jc w:val="both"/>
        <w:rPr>
          <w:rFonts w:asciiTheme="majorHAnsi" w:hAnsiTheme="majorHAnsi" w:cstheme="majorHAnsi"/>
          <w:lang w:val="ro-RO"/>
        </w:rPr>
      </w:pPr>
      <w:r w:rsidRPr="00AD5541">
        <w:rPr>
          <w:rFonts w:asciiTheme="majorHAnsi" w:hAnsiTheme="majorHAnsi" w:cstheme="majorHAnsi"/>
          <w:lang w:val="ro-RO"/>
        </w:rPr>
        <w:t>Convenția Pan-Euro-</w:t>
      </w:r>
      <w:r w:rsidR="00302E7C">
        <w:rPr>
          <w:rFonts w:asciiTheme="majorHAnsi" w:hAnsiTheme="majorHAnsi" w:cstheme="majorHAnsi"/>
          <w:lang w:val="ro-RO"/>
        </w:rPr>
        <w:t>Mediterane</w:t>
      </w:r>
      <w:bookmarkStart w:id="0" w:name="_GoBack"/>
      <w:bookmarkEnd w:id="0"/>
      <w:r w:rsidR="00AE1373" w:rsidRPr="00AD5541">
        <w:rPr>
          <w:rFonts w:asciiTheme="majorHAnsi" w:hAnsiTheme="majorHAnsi" w:cstheme="majorHAnsi"/>
          <w:lang w:val="ro-RO"/>
        </w:rPr>
        <w:t>ană</w:t>
      </w:r>
      <w:r w:rsidRPr="00AD5541">
        <w:rPr>
          <w:rFonts w:asciiTheme="majorHAnsi" w:hAnsiTheme="majorHAnsi" w:cstheme="majorHAnsi"/>
          <w:lang w:val="ro-RO"/>
        </w:rPr>
        <w:t xml:space="preserve"> (PEM), semnată în 2011, este un acord multilateral care vizează stabilirea unor reguli comune de origine privind schimburile de mărfuri între Uniunea Europeană și cele 24 de țări semnatare din zona PEM (AELS, Turcia, Balcanii de Vest, țările Parteneriatului estic și țările mediteraneene).</w:t>
      </w:r>
    </w:p>
    <w:p w14:paraId="48D0009D" w14:textId="54998DD3" w:rsidR="00AD5541" w:rsidRPr="00AD5541" w:rsidRDefault="00AD5541" w:rsidP="005528EC">
      <w:pPr>
        <w:pStyle w:val="Maintext"/>
        <w:spacing w:line="264" w:lineRule="auto"/>
        <w:jc w:val="both"/>
        <w:rPr>
          <w:rFonts w:asciiTheme="majorHAnsi" w:hAnsiTheme="majorHAnsi" w:cstheme="majorHAnsi"/>
          <w:lang w:val="ro-RO"/>
        </w:rPr>
      </w:pPr>
      <w:r w:rsidRPr="00AD5541">
        <w:rPr>
          <w:rFonts w:asciiTheme="majorHAnsi" w:hAnsiTheme="majorHAnsi" w:cstheme="majorHAnsi"/>
          <w:lang w:val="ro-RO"/>
        </w:rPr>
        <w:t xml:space="preserve">Deși procesul de revizuire a Convenției PEM se desfășoară din 2012, până la încheierea negocierilor și adoptarea formală de către toate părțile contractante, majoritatea țărilor au decis să înceapă să aplice </w:t>
      </w:r>
      <w:r w:rsidRPr="008F4CB0">
        <w:rPr>
          <w:rFonts w:asciiTheme="majorHAnsi" w:hAnsiTheme="majorHAnsi" w:cstheme="majorHAnsi"/>
          <w:b/>
          <w:lang w:val="ro-RO"/>
        </w:rPr>
        <w:t>începând cu 1 septembrie 2021</w:t>
      </w:r>
      <w:r w:rsidRPr="00AD5541">
        <w:rPr>
          <w:rFonts w:asciiTheme="majorHAnsi" w:hAnsiTheme="majorHAnsi" w:cstheme="majorHAnsi"/>
          <w:lang w:val="ro-RO"/>
        </w:rPr>
        <w:t>, în mod tranzitoriu și pe bază de protocoale bilaterale, regulile revizuite</w:t>
      </w:r>
      <w:r w:rsidR="005528EC">
        <w:rPr>
          <w:rFonts w:asciiTheme="majorHAnsi" w:hAnsiTheme="majorHAnsi" w:cstheme="majorHAnsi"/>
          <w:lang w:val="ro-RO"/>
        </w:rPr>
        <w:t>,</w:t>
      </w:r>
      <w:r w:rsidRPr="00AD5541">
        <w:rPr>
          <w:rFonts w:asciiTheme="majorHAnsi" w:hAnsiTheme="majorHAnsi" w:cstheme="majorHAnsi"/>
          <w:lang w:val="ro-RO"/>
        </w:rPr>
        <w:t xml:space="preserve"> menținând în același timp discuții cu restul părților contractante pentru a ajunge la un acord cu privire la procesul de revizuire.</w:t>
      </w:r>
    </w:p>
    <w:p w14:paraId="168E1EBA" w14:textId="21E2BDA2" w:rsidR="00AD5541" w:rsidRPr="00AD5541" w:rsidRDefault="00AD5541" w:rsidP="005528EC">
      <w:pPr>
        <w:pStyle w:val="Maintext"/>
        <w:spacing w:line="264" w:lineRule="auto"/>
        <w:jc w:val="both"/>
        <w:rPr>
          <w:rFonts w:asciiTheme="majorHAnsi" w:hAnsiTheme="majorHAnsi" w:cstheme="majorHAnsi"/>
          <w:lang w:val="ro-RO"/>
        </w:rPr>
      </w:pPr>
      <w:r w:rsidRPr="00AD5541">
        <w:rPr>
          <w:rFonts w:asciiTheme="majorHAnsi" w:hAnsiTheme="majorHAnsi" w:cstheme="majorHAnsi"/>
          <w:lang w:val="ro-RO"/>
        </w:rPr>
        <w:t>În etapa inițială, regulile se vor aplica între Uniunea Europeană</w:t>
      </w:r>
      <w:r w:rsidR="005528EC">
        <w:rPr>
          <w:rFonts w:asciiTheme="majorHAnsi" w:hAnsiTheme="majorHAnsi" w:cstheme="majorHAnsi"/>
          <w:lang w:val="ro-RO"/>
        </w:rPr>
        <w:t>,</w:t>
      </w:r>
      <w:r w:rsidRPr="00AD5541">
        <w:rPr>
          <w:rFonts w:asciiTheme="majorHAnsi" w:hAnsiTheme="majorHAnsi" w:cstheme="majorHAnsi"/>
          <w:lang w:val="ro-RO"/>
        </w:rPr>
        <w:t xml:space="preserve"> Elveția, Norvegia, Islanda, Albania, Iordania și Insulele Feroe. Procesul de adoptare a modificărilor la protocoalele bilaterale de origine privind regulile de origine cu ceilalți parteneri (Macedonia de Nord, Serbia, Muntenegru, Bosnia și Herțegovina, Kosovo, Republica Moldova, Georgia, Ucraina, Palestina, Liban, Turcia și Egipt) este în curs de desfășurare și în diferite etape de progres.</w:t>
      </w:r>
    </w:p>
    <w:p w14:paraId="653D7825" w14:textId="77777777" w:rsidR="00AD5541" w:rsidRPr="00AD5541" w:rsidRDefault="00AD5541" w:rsidP="005528EC">
      <w:pPr>
        <w:pStyle w:val="Maintext"/>
        <w:spacing w:line="264" w:lineRule="auto"/>
        <w:jc w:val="both"/>
        <w:rPr>
          <w:rFonts w:asciiTheme="majorHAnsi" w:hAnsiTheme="majorHAnsi" w:cstheme="majorHAnsi"/>
          <w:lang w:val="ro-RO"/>
        </w:rPr>
      </w:pPr>
    </w:p>
    <w:p w14:paraId="02371496" w14:textId="171CF2CD" w:rsidR="00AD5541" w:rsidRDefault="00AD5541" w:rsidP="005528EC">
      <w:pPr>
        <w:pStyle w:val="Maintext"/>
        <w:spacing w:line="264" w:lineRule="auto"/>
        <w:jc w:val="both"/>
        <w:rPr>
          <w:rFonts w:asciiTheme="majorHAnsi" w:hAnsiTheme="majorHAnsi" w:cstheme="majorHAnsi"/>
          <w:b/>
          <w:lang w:val="ro-RO"/>
        </w:rPr>
      </w:pPr>
      <w:r w:rsidRPr="00AD5541">
        <w:rPr>
          <w:rFonts w:asciiTheme="majorHAnsi" w:hAnsiTheme="majorHAnsi" w:cstheme="majorHAnsi"/>
          <w:b/>
          <w:lang w:val="ro-RO"/>
        </w:rPr>
        <w:t>Ce se schimbă?</w:t>
      </w:r>
    </w:p>
    <w:p w14:paraId="2CF92A89" w14:textId="65D6E5B7" w:rsidR="00AD5541" w:rsidRPr="00AD5541" w:rsidRDefault="00AD5541" w:rsidP="005528EC">
      <w:pPr>
        <w:pStyle w:val="Maintext"/>
        <w:spacing w:line="264" w:lineRule="auto"/>
        <w:jc w:val="both"/>
        <w:rPr>
          <w:rFonts w:asciiTheme="majorHAnsi" w:hAnsiTheme="majorHAnsi" w:cstheme="majorHAnsi"/>
          <w:lang w:val="ro-RO"/>
        </w:rPr>
      </w:pPr>
      <w:r w:rsidRPr="00AD5541">
        <w:rPr>
          <w:rFonts w:asciiTheme="majorHAnsi" w:hAnsiTheme="majorHAnsi" w:cstheme="majorHAnsi"/>
          <w:lang w:val="ro-RO"/>
        </w:rPr>
        <w:t xml:space="preserve">Obiectivul noilor reguli este de a moderniza regulile </w:t>
      </w:r>
      <w:r w:rsidR="00E95BA1">
        <w:rPr>
          <w:rFonts w:asciiTheme="majorHAnsi" w:hAnsiTheme="majorHAnsi" w:cstheme="majorHAnsi"/>
          <w:lang w:val="ro-RO"/>
        </w:rPr>
        <w:t xml:space="preserve">actuale </w:t>
      </w:r>
      <w:r w:rsidRPr="00AD5541">
        <w:rPr>
          <w:rFonts w:asciiTheme="majorHAnsi" w:hAnsiTheme="majorHAnsi" w:cstheme="majorHAnsi"/>
          <w:lang w:val="ro-RO"/>
        </w:rPr>
        <w:t>de origine cuprinse în acordurile comerciale preferențiale ale UE cu țările din regiunea PEM, făcându-le mai flexibile și mai ușor de utilizat</w:t>
      </w:r>
      <w:r w:rsidR="00BB61DC">
        <w:rPr>
          <w:rFonts w:asciiTheme="majorHAnsi" w:hAnsiTheme="majorHAnsi" w:cstheme="majorHAnsi"/>
          <w:lang w:val="ro-RO"/>
        </w:rPr>
        <w:t xml:space="preserve">. </w:t>
      </w:r>
      <w:r w:rsidRPr="00AD5541">
        <w:rPr>
          <w:rFonts w:asciiTheme="majorHAnsi" w:hAnsiTheme="majorHAnsi" w:cstheme="majorHAnsi"/>
          <w:lang w:val="ro-RO"/>
        </w:rPr>
        <w:t>Regulile tranzitorii nu înlocui</w:t>
      </w:r>
      <w:r w:rsidR="005528EC">
        <w:rPr>
          <w:rFonts w:asciiTheme="majorHAnsi" w:hAnsiTheme="majorHAnsi" w:cstheme="majorHAnsi"/>
          <w:lang w:val="ro-RO"/>
        </w:rPr>
        <w:t xml:space="preserve">esc </w:t>
      </w:r>
      <w:r w:rsidRPr="00AD5541">
        <w:rPr>
          <w:rFonts w:asciiTheme="majorHAnsi" w:hAnsiTheme="majorHAnsi" w:cstheme="majorHAnsi"/>
          <w:lang w:val="ro-RO"/>
        </w:rPr>
        <w:t xml:space="preserve">regulile Convenției PEM, ci se vor aplica în paralel, până la finalizarea procesului de revizuire a </w:t>
      </w:r>
      <w:r w:rsidR="005528EC">
        <w:rPr>
          <w:rFonts w:asciiTheme="majorHAnsi" w:hAnsiTheme="majorHAnsi" w:cstheme="majorHAnsi"/>
          <w:lang w:val="ro-RO"/>
        </w:rPr>
        <w:t>acesteia</w:t>
      </w:r>
      <w:r w:rsidRPr="00AD5541">
        <w:rPr>
          <w:rFonts w:asciiTheme="majorHAnsi" w:hAnsiTheme="majorHAnsi" w:cstheme="majorHAnsi"/>
          <w:lang w:val="ro-RO"/>
        </w:rPr>
        <w:t xml:space="preserve">. Astfel, </w:t>
      </w:r>
      <w:r w:rsidR="005528EC">
        <w:rPr>
          <w:rFonts w:asciiTheme="majorHAnsi" w:hAnsiTheme="majorHAnsi" w:cstheme="majorHAnsi"/>
          <w:lang w:val="ro-RO"/>
        </w:rPr>
        <w:t>o</w:t>
      </w:r>
      <w:r w:rsidR="005528EC" w:rsidRPr="00AD5541">
        <w:rPr>
          <w:rFonts w:asciiTheme="majorHAnsi" w:hAnsiTheme="majorHAnsi" w:cstheme="majorHAnsi"/>
          <w:lang w:val="ro-RO"/>
        </w:rPr>
        <w:t xml:space="preserve">peratorii </w:t>
      </w:r>
      <w:r w:rsidRPr="00AD5541">
        <w:rPr>
          <w:rFonts w:asciiTheme="majorHAnsi" w:hAnsiTheme="majorHAnsi" w:cstheme="majorHAnsi"/>
          <w:lang w:val="ro-RO"/>
        </w:rPr>
        <w:t xml:space="preserve">economici vor putea alege fie să se prevaleze de </w:t>
      </w:r>
      <w:r w:rsidR="00E95BA1">
        <w:rPr>
          <w:rFonts w:asciiTheme="majorHAnsi" w:hAnsiTheme="majorHAnsi" w:cstheme="majorHAnsi"/>
          <w:lang w:val="ro-RO"/>
        </w:rPr>
        <w:t>regulile</w:t>
      </w:r>
      <w:r w:rsidRPr="00AD5541">
        <w:rPr>
          <w:rFonts w:asciiTheme="majorHAnsi" w:hAnsiTheme="majorHAnsi" w:cstheme="majorHAnsi"/>
          <w:lang w:val="ro-RO"/>
        </w:rPr>
        <w:t xml:space="preserve"> actuale ale Convenției PEM</w:t>
      </w:r>
      <w:r w:rsidR="00250370">
        <w:rPr>
          <w:rFonts w:asciiTheme="majorHAnsi" w:hAnsiTheme="majorHAnsi" w:cstheme="majorHAnsi"/>
          <w:lang w:val="ro-RO"/>
        </w:rPr>
        <w:t xml:space="preserve">, fie de regulile </w:t>
      </w:r>
      <w:r w:rsidRPr="00AD5541">
        <w:rPr>
          <w:rFonts w:asciiTheme="majorHAnsi" w:hAnsiTheme="majorHAnsi" w:cstheme="majorHAnsi"/>
          <w:lang w:val="ro-RO"/>
        </w:rPr>
        <w:t xml:space="preserve">tranzitorii. Așadar, este de reținut că noile reguli nu au un caracter obligatoriu, </w:t>
      </w:r>
      <w:r w:rsidR="00A86095">
        <w:rPr>
          <w:rFonts w:asciiTheme="majorHAnsi" w:hAnsiTheme="majorHAnsi" w:cstheme="majorHAnsi"/>
          <w:lang w:val="ro-RO"/>
        </w:rPr>
        <w:t>c</w:t>
      </w:r>
      <w:r w:rsidR="00A86095" w:rsidRPr="00AD5541">
        <w:rPr>
          <w:rFonts w:asciiTheme="majorHAnsi" w:hAnsiTheme="majorHAnsi" w:cstheme="majorHAnsi"/>
          <w:lang w:val="ro-RO"/>
        </w:rPr>
        <w:t xml:space="preserve">omisia </w:t>
      </w:r>
      <w:r w:rsidRPr="00AD5541">
        <w:rPr>
          <w:rFonts w:asciiTheme="majorHAnsi" w:hAnsiTheme="majorHAnsi" w:cstheme="majorHAnsi"/>
          <w:lang w:val="ro-RO"/>
        </w:rPr>
        <w:t xml:space="preserve">lăsând la latitudinea operatorilor economici dacă </w:t>
      </w:r>
      <w:r w:rsidR="005528EC">
        <w:rPr>
          <w:rFonts w:asciiTheme="majorHAnsi" w:hAnsiTheme="majorHAnsi" w:cstheme="majorHAnsi"/>
          <w:lang w:val="ro-RO"/>
        </w:rPr>
        <w:t>l</w:t>
      </w:r>
      <w:r w:rsidRPr="00AD5541">
        <w:rPr>
          <w:rFonts w:asciiTheme="majorHAnsi" w:hAnsiTheme="majorHAnsi" w:cstheme="majorHAnsi"/>
          <w:lang w:val="ro-RO"/>
        </w:rPr>
        <w:t xml:space="preserve">e vor </w:t>
      </w:r>
      <w:r w:rsidR="005528EC">
        <w:rPr>
          <w:rFonts w:asciiTheme="majorHAnsi" w:hAnsiTheme="majorHAnsi" w:cstheme="majorHAnsi"/>
          <w:lang w:val="ro-RO"/>
        </w:rPr>
        <w:t xml:space="preserve">aplica </w:t>
      </w:r>
      <w:r w:rsidR="005528EC" w:rsidRPr="00AD5541">
        <w:rPr>
          <w:rFonts w:asciiTheme="majorHAnsi" w:hAnsiTheme="majorHAnsi" w:cstheme="majorHAnsi"/>
          <w:lang w:val="ro-RO"/>
        </w:rPr>
        <w:t>sau nu</w:t>
      </w:r>
      <w:r w:rsidRPr="00AD5541">
        <w:rPr>
          <w:rFonts w:asciiTheme="majorHAnsi" w:hAnsiTheme="majorHAnsi" w:cstheme="majorHAnsi"/>
          <w:lang w:val="ro-RO"/>
        </w:rPr>
        <w:t>.</w:t>
      </w:r>
    </w:p>
    <w:p w14:paraId="6DE19512" w14:textId="77777777" w:rsidR="00AD5541" w:rsidRPr="00AD5541" w:rsidRDefault="00AD5541" w:rsidP="005528EC">
      <w:pPr>
        <w:pStyle w:val="Maintext"/>
        <w:spacing w:line="264" w:lineRule="auto"/>
        <w:jc w:val="both"/>
        <w:rPr>
          <w:rFonts w:asciiTheme="majorHAnsi" w:hAnsiTheme="majorHAnsi" w:cstheme="majorHAnsi"/>
          <w:lang w:val="ro-RO"/>
        </w:rPr>
      </w:pPr>
    </w:p>
    <w:p w14:paraId="0220C270" w14:textId="1912EE86" w:rsidR="00AD5541" w:rsidRDefault="00BB61DC" w:rsidP="005528EC">
      <w:pPr>
        <w:pStyle w:val="Maintext"/>
        <w:spacing w:line="264" w:lineRule="auto"/>
        <w:jc w:val="both"/>
        <w:rPr>
          <w:rFonts w:asciiTheme="majorHAnsi" w:hAnsiTheme="majorHAnsi" w:cstheme="majorHAnsi"/>
          <w:b/>
          <w:lang w:val="ro-RO"/>
        </w:rPr>
      </w:pPr>
      <w:r>
        <w:rPr>
          <w:rFonts w:asciiTheme="majorHAnsi" w:hAnsiTheme="majorHAnsi" w:cstheme="majorHAnsi"/>
          <w:b/>
          <w:lang w:val="ro-RO"/>
        </w:rPr>
        <w:t>Principalele beneficii ale noilor reguli</w:t>
      </w:r>
    </w:p>
    <w:p w14:paraId="7DCB85F2" w14:textId="6D421B6E" w:rsidR="00BB61DC" w:rsidRDefault="00BB61DC" w:rsidP="00DF4C8B">
      <w:pPr>
        <w:pStyle w:val="Maintext"/>
        <w:numPr>
          <w:ilvl w:val="0"/>
          <w:numId w:val="1"/>
        </w:numPr>
        <w:spacing w:line="264" w:lineRule="auto"/>
        <w:jc w:val="both"/>
        <w:rPr>
          <w:rFonts w:asciiTheme="majorHAnsi" w:hAnsiTheme="majorHAnsi" w:cstheme="majorHAnsi"/>
          <w:lang w:val="ro-RO"/>
        </w:rPr>
      </w:pPr>
      <w:r>
        <w:rPr>
          <w:rFonts w:asciiTheme="majorHAnsi" w:hAnsiTheme="majorHAnsi" w:cstheme="majorHAnsi"/>
          <w:lang w:val="ro-RO"/>
        </w:rPr>
        <w:t>Se mărește pragul</w:t>
      </w:r>
      <w:r w:rsidRPr="00DF4C8B">
        <w:rPr>
          <w:rFonts w:asciiTheme="majorHAnsi" w:hAnsiTheme="majorHAnsi" w:cstheme="majorHAnsi"/>
          <w:lang w:val="ro-RO"/>
        </w:rPr>
        <w:t xml:space="preserve"> de toleranță de la 10</w:t>
      </w:r>
      <w:r w:rsidR="00A86095">
        <w:rPr>
          <w:rFonts w:asciiTheme="majorHAnsi" w:hAnsiTheme="majorHAnsi" w:cstheme="majorHAnsi"/>
          <w:lang w:val="ro-RO"/>
        </w:rPr>
        <w:t>%</w:t>
      </w:r>
      <w:r w:rsidRPr="00DF4C8B">
        <w:rPr>
          <w:rFonts w:asciiTheme="majorHAnsi" w:hAnsiTheme="majorHAnsi" w:cstheme="majorHAnsi"/>
          <w:lang w:val="ro-RO"/>
        </w:rPr>
        <w:t xml:space="preserve"> la 15%</w:t>
      </w:r>
      <w:r w:rsidR="00A86095">
        <w:rPr>
          <w:rFonts w:asciiTheme="majorHAnsi" w:hAnsiTheme="majorHAnsi" w:cstheme="majorHAnsi"/>
          <w:lang w:val="ro-RO"/>
        </w:rPr>
        <w:t>,</w:t>
      </w:r>
      <w:r>
        <w:rPr>
          <w:rFonts w:asciiTheme="majorHAnsi" w:hAnsiTheme="majorHAnsi" w:cstheme="majorHAnsi"/>
          <w:lang w:val="ro-RO"/>
        </w:rPr>
        <w:t xml:space="preserve"> </w:t>
      </w:r>
      <w:r w:rsidR="00A86095">
        <w:rPr>
          <w:rFonts w:asciiTheme="majorHAnsi" w:hAnsiTheme="majorHAnsi" w:cstheme="majorHAnsi"/>
          <w:lang w:val="ro-RO"/>
        </w:rPr>
        <w:t xml:space="preserve">ceea ce </w:t>
      </w:r>
      <w:r w:rsidRPr="00DF4C8B">
        <w:rPr>
          <w:rFonts w:asciiTheme="majorHAnsi" w:hAnsiTheme="majorHAnsi" w:cstheme="majorHAnsi"/>
          <w:lang w:val="ro-RO"/>
        </w:rPr>
        <w:t>va permite exportator</w:t>
      </w:r>
      <w:r w:rsidR="00AC2AFA">
        <w:rPr>
          <w:rFonts w:asciiTheme="majorHAnsi" w:hAnsiTheme="majorHAnsi" w:cstheme="majorHAnsi"/>
          <w:lang w:val="ro-RO"/>
        </w:rPr>
        <w:t>ilor</w:t>
      </w:r>
      <w:r w:rsidRPr="00DF4C8B">
        <w:rPr>
          <w:rFonts w:asciiTheme="majorHAnsi" w:hAnsiTheme="majorHAnsi" w:cstheme="majorHAnsi"/>
          <w:lang w:val="ro-RO"/>
        </w:rPr>
        <w:t xml:space="preserve"> să utilizeze </w:t>
      </w:r>
      <w:r>
        <w:rPr>
          <w:rFonts w:asciiTheme="majorHAnsi" w:hAnsiTheme="majorHAnsi" w:cstheme="majorHAnsi"/>
          <w:lang w:val="ro-RO"/>
        </w:rPr>
        <w:t xml:space="preserve">mai multe </w:t>
      </w:r>
      <w:r w:rsidRPr="00DF4C8B">
        <w:rPr>
          <w:rFonts w:asciiTheme="majorHAnsi" w:hAnsiTheme="majorHAnsi" w:cstheme="majorHAnsi"/>
          <w:lang w:val="ro-RO"/>
        </w:rPr>
        <w:t xml:space="preserve">materiale neoriginare care au poziții tarifare diferite de valoarea produsului final. </w:t>
      </w:r>
    </w:p>
    <w:p w14:paraId="5177DFD9" w14:textId="1C233969" w:rsidR="00982F43" w:rsidRDefault="00D42383" w:rsidP="00982F43">
      <w:pPr>
        <w:pStyle w:val="Maintext"/>
        <w:numPr>
          <w:ilvl w:val="0"/>
          <w:numId w:val="1"/>
        </w:numPr>
        <w:spacing w:line="264" w:lineRule="auto"/>
        <w:jc w:val="both"/>
        <w:rPr>
          <w:rFonts w:asciiTheme="majorHAnsi" w:hAnsiTheme="majorHAnsi" w:cstheme="majorHAnsi"/>
          <w:lang w:val="ro-RO"/>
        </w:rPr>
      </w:pPr>
      <w:r>
        <w:rPr>
          <w:rFonts w:asciiTheme="majorHAnsi" w:hAnsiTheme="majorHAnsi" w:cstheme="majorHAnsi"/>
          <w:lang w:val="ro-RO"/>
        </w:rPr>
        <w:t xml:space="preserve">Dovada originii preferențiale se va face </w:t>
      </w:r>
      <w:r w:rsidR="00250370">
        <w:rPr>
          <w:rFonts w:asciiTheme="majorHAnsi" w:hAnsiTheme="majorHAnsi" w:cstheme="majorHAnsi"/>
          <w:lang w:val="ro-RO"/>
        </w:rPr>
        <w:t xml:space="preserve">prin </w:t>
      </w:r>
      <w:r w:rsidR="00982F43">
        <w:rPr>
          <w:rFonts w:asciiTheme="majorHAnsi" w:hAnsiTheme="majorHAnsi" w:cstheme="majorHAnsi"/>
          <w:lang w:val="ro-RO"/>
        </w:rPr>
        <w:t xml:space="preserve">certificatul de origine EUR.1 sau </w:t>
      </w:r>
      <w:r w:rsidR="00250370">
        <w:rPr>
          <w:rFonts w:asciiTheme="majorHAnsi" w:hAnsiTheme="majorHAnsi" w:cstheme="majorHAnsi"/>
          <w:lang w:val="ro-RO"/>
        </w:rPr>
        <w:t xml:space="preserve">prin </w:t>
      </w:r>
      <w:r w:rsidRPr="00AD5541">
        <w:rPr>
          <w:rFonts w:asciiTheme="majorHAnsi" w:hAnsiTheme="majorHAnsi" w:cstheme="majorHAnsi"/>
          <w:lang w:val="ro-RO"/>
        </w:rPr>
        <w:t>declarația de origine</w:t>
      </w:r>
      <w:r w:rsidR="00982F43">
        <w:rPr>
          <w:rFonts w:asciiTheme="majorHAnsi" w:hAnsiTheme="majorHAnsi" w:cstheme="majorHAnsi"/>
          <w:lang w:val="ro-RO"/>
        </w:rPr>
        <w:t xml:space="preserve"> pe factură</w:t>
      </w:r>
      <w:r w:rsidRPr="00AD5541">
        <w:rPr>
          <w:rFonts w:asciiTheme="majorHAnsi" w:hAnsiTheme="majorHAnsi" w:cstheme="majorHAnsi"/>
          <w:lang w:val="ro-RO"/>
        </w:rPr>
        <w:t xml:space="preserve">, în locul sistemului dublu utilizat în prezent de certificate, EUR.1 și EUR.MED. </w:t>
      </w:r>
      <w:r w:rsidR="00982F43">
        <w:rPr>
          <w:rFonts w:asciiTheme="majorHAnsi" w:hAnsiTheme="majorHAnsi" w:cstheme="majorHAnsi"/>
          <w:lang w:val="ro-RO"/>
        </w:rPr>
        <w:t xml:space="preserve">Un aspect important </w:t>
      </w:r>
      <w:r w:rsidR="007B7653">
        <w:rPr>
          <w:rFonts w:asciiTheme="majorHAnsi" w:hAnsiTheme="majorHAnsi" w:cstheme="majorHAnsi"/>
          <w:lang w:val="ro-RO"/>
        </w:rPr>
        <w:t xml:space="preserve">de reținut </w:t>
      </w:r>
      <w:r w:rsidR="00982F43">
        <w:rPr>
          <w:rFonts w:asciiTheme="majorHAnsi" w:hAnsiTheme="majorHAnsi" w:cstheme="majorHAnsi"/>
          <w:lang w:val="ro-RO"/>
        </w:rPr>
        <w:t>este că</w:t>
      </w:r>
      <w:r w:rsidR="00A86095">
        <w:rPr>
          <w:rFonts w:asciiTheme="majorHAnsi" w:hAnsiTheme="majorHAnsi" w:cstheme="majorHAnsi"/>
          <w:lang w:val="ro-RO"/>
        </w:rPr>
        <w:t>,</w:t>
      </w:r>
      <w:r w:rsidR="00982F43">
        <w:rPr>
          <w:rFonts w:asciiTheme="majorHAnsi" w:hAnsiTheme="majorHAnsi" w:cstheme="majorHAnsi"/>
          <w:lang w:val="ro-RO"/>
        </w:rPr>
        <w:t xml:space="preserve"> pentru a</w:t>
      </w:r>
      <w:r w:rsidR="00982F43" w:rsidRPr="00AD5541">
        <w:rPr>
          <w:rFonts w:asciiTheme="majorHAnsi" w:hAnsiTheme="majorHAnsi" w:cstheme="majorHAnsi"/>
          <w:lang w:val="ro-RO"/>
        </w:rPr>
        <w:t xml:space="preserve"> distinge produsele care </w:t>
      </w:r>
      <w:r w:rsidR="00982F43">
        <w:rPr>
          <w:rFonts w:asciiTheme="majorHAnsi" w:hAnsiTheme="majorHAnsi" w:cstheme="majorHAnsi"/>
          <w:lang w:val="ro-RO"/>
        </w:rPr>
        <w:t>îndeplinesc</w:t>
      </w:r>
      <w:r w:rsidR="007B7653">
        <w:rPr>
          <w:rFonts w:asciiTheme="majorHAnsi" w:hAnsiTheme="majorHAnsi" w:cstheme="majorHAnsi"/>
          <w:lang w:val="ro-RO"/>
        </w:rPr>
        <w:t xml:space="preserve"> </w:t>
      </w:r>
      <w:r w:rsidR="00982F43">
        <w:rPr>
          <w:rFonts w:asciiTheme="majorHAnsi" w:hAnsiTheme="majorHAnsi" w:cstheme="majorHAnsi"/>
          <w:lang w:val="ro-RO"/>
        </w:rPr>
        <w:t>regulil</w:t>
      </w:r>
      <w:r w:rsidR="007B7653">
        <w:rPr>
          <w:rFonts w:asciiTheme="majorHAnsi" w:hAnsiTheme="majorHAnsi" w:cstheme="majorHAnsi"/>
          <w:lang w:val="ro-RO"/>
        </w:rPr>
        <w:t>e</w:t>
      </w:r>
      <w:r w:rsidR="00982F43">
        <w:rPr>
          <w:rFonts w:asciiTheme="majorHAnsi" w:hAnsiTheme="majorHAnsi" w:cstheme="majorHAnsi"/>
          <w:lang w:val="ro-RO"/>
        </w:rPr>
        <w:t xml:space="preserve"> de origine tranzitorii</w:t>
      </w:r>
      <w:r w:rsidR="00982F43" w:rsidRPr="00AD5541">
        <w:rPr>
          <w:rFonts w:asciiTheme="majorHAnsi" w:hAnsiTheme="majorHAnsi" w:cstheme="majorHAnsi"/>
          <w:lang w:val="ro-RO"/>
        </w:rPr>
        <w:t xml:space="preserve"> de produsele care </w:t>
      </w:r>
      <w:r w:rsidR="00982F43">
        <w:rPr>
          <w:rFonts w:asciiTheme="majorHAnsi" w:hAnsiTheme="majorHAnsi" w:cstheme="majorHAnsi"/>
          <w:lang w:val="ro-RO"/>
        </w:rPr>
        <w:t xml:space="preserve">îndeplinesc </w:t>
      </w:r>
      <w:r w:rsidR="007B7653">
        <w:rPr>
          <w:rFonts w:asciiTheme="majorHAnsi" w:hAnsiTheme="majorHAnsi" w:cstheme="majorHAnsi"/>
          <w:lang w:val="ro-RO"/>
        </w:rPr>
        <w:t>regulile</w:t>
      </w:r>
      <w:r w:rsidR="00982F43">
        <w:rPr>
          <w:rFonts w:asciiTheme="majorHAnsi" w:hAnsiTheme="majorHAnsi" w:cstheme="majorHAnsi"/>
          <w:lang w:val="ro-RO"/>
        </w:rPr>
        <w:t xml:space="preserve"> actuale</w:t>
      </w:r>
      <w:r w:rsidR="007B7653">
        <w:rPr>
          <w:rFonts w:asciiTheme="majorHAnsi" w:hAnsiTheme="majorHAnsi" w:cstheme="majorHAnsi"/>
          <w:lang w:val="ro-RO"/>
        </w:rPr>
        <w:t>i</w:t>
      </w:r>
      <w:r w:rsidR="00982F43">
        <w:rPr>
          <w:rFonts w:asciiTheme="majorHAnsi" w:hAnsiTheme="majorHAnsi" w:cstheme="majorHAnsi"/>
          <w:lang w:val="ro-RO"/>
        </w:rPr>
        <w:t xml:space="preserve"> </w:t>
      </w:r>
      <w:r w:rsidR="00982F43" w:rsidRPr="00AD5541">
        <w:rPr>
          <w:rFonts w:asciiTheme="majorHAnsi" w:hAnsiTheme="majorHAnsi" w:cstheme="majorHAnsi"/>
          <w:lang w:val="ro-RO"/>
        </w:rPr>
        <w:t>Convenți</w:t>
      </w:r>
      <w:r w:rsidR="007B7653">
        <w:rPr>
          <w:rFonts w:asciiTheme="majorHAnsi" w:hAnsiTheme="majorHAnsi" w:cstheme="majorHAnsi"/>
          <w:lang w:val="ro-RO"/>
        </w:rPr>
        <w:t>i</w:t>
      </w:r>
      <w:r w:rsidR="00982F43" w:rsidRPr="00AD5541">
        <w:rPr>
          <w:rFonts w:asciiTheme="majorHAnsi" w:hAnsiTheme="majorHAnsi" w:cstheme="majorHAnsi"/>
          <w:lang w:val="ro-RO"/>
        </w:rPr>
        <w:t xml:space="preserve"> PEM, </w:t>
      </w:r>
      <w:r w:rsidR="00BF13D1">
        <w:rPr>
          <w:rFonts w:asciiTheme="majorHAnsi" w:hAnsiTheme="majorHAnsi" w:cstheme="majorHAnsi"/>
          <w:lang w:val="ro-RO"/>
        </w:rPr>
        <w:t>dovezile de origine</w:t>
      </w:r>
      <w:r w:rsidR="00982F43" w:rsidRPr="00AD5541">
        <w:rPr>
          <w:rFonts w:asciiTheme="majorHAnsi" w:hAnsiTheme="majorHAnsi" w:cstheme="majorHAnsi"/>
          <w:lang w:val="ro-RO"/>
        </w:rPr>
        <w:t xml:space="preserve"> </w:t>
      </w:r>
      <w:r w:rsidR="007B7653">
        <w:rPr>
          <w:rFonts w:asciiTheme="majorHAnsi" w:hAnsiTheme="majorHAnsi" w:cstheme="majorHAnsi"/>
          <w:lang w:val="ro-RO"/>
        </w:rPr>
        <w:t xml:space="preserve">vor trebui să includă </w:t>
      </w:r>
      <w:r w:rsidR="00982F43">
        <w:rPr>
          <w:rFonts w:asciiTheme="majorHAnsi" w:hAnsiTheme="majorHAnsi" w:cstheme="majorHAnsi"/>
          <w:lang w:val="ro-RO"/>
        </w:rPr>
        <w:t xml:space="preserve">expres </w:t>
      </w:r>
      <w:r w:rsidR="007B7653">
        <w:rPr>
          <w:rFonts w:asciiTheme="majorHAnsi" w:hAnsiTheme="majorHAnsi" w:cstheme="majorHAnsi"/>
          <w:lang w:val="ro-RO"/>
        </w:rPr>
        <w:t xml:space="preserve">o </w:t>
      </w:r>
      <w:r w:rsidR="00982F43" w:rsidRPr="008F4CB0">
        <w:rPr>
          <w:rFonts w:asciiTheme="majorHAnsi" w:hAnsiTheme="majorHAnsi" w:cstheme="majorHAnsi"/>
          <w:lang w:val="ro-RO"/>
        </w:rPr>
        <w:t>mențiune care să indice ce reguli au fost aplicate</w:t>
      </w:r>
      <w:r w:rsidR="00982F43" w:rsidRPr="00456607">
        <w:rPr>
          <w:rFonts w:asciiTheme="majorHAnsi" w:hAnsiTheme="majorHAnsi" w:cstheme="majorHAnsi"/>
          <w:lang w:val="ro-RO"/>
        </w:rPr>
        <w:t>.</w:t>
      </w:r>
    </w:p>
    <w:p w14:paraId="06CD901F" w14:textId="032A5EFC" w:rsidR="00DF4C8B" w:rsidRDefault="00AC2AFA" w:rsidP="00DF4C8B">
      <w:pPr>
        <w:pStyle w:val="Maintext"/>
        <w:numPr>
          <w:ilvl w:val="0"/>
          <w:numId w:val="1"/>
        </w:numPr>
        <w:spacing w:line="264" w:lineRule="auto"/>
        <w:jc w:val="both"/>
        <w:rPr>
          <w:rFonts w:asciiTheme="majorHAnsi" w:hAnsiTheme="majorHAnsi" w:cstheme="majorHAnsi"/>
          <w:lang w:val="ro-RO"/>
        </w:rPr>
      </w:pPr>
      <w:r>
        <w:rPr>
          <w:rFonts w:asciiTheme="majorHAnsi" w:hAnsiTheme="majorHAnsi" w:cstheme="majorHAnsi"/>
          <w:lang w:val="ro-RO"/>
        </w:rPr>
        <w:t>Se introduce opțiunea de</w:t>
      </w:r>
      <w:r w:rsidR="00BB61DC">
        <w:rPr>
          <w:rFonts w:asciiTheme="majorHAnsi" w:hAnsiTheme="majorHAnsi" w:cstheme="majorHAnsi"/>
          <w:lang w:val="ro-RO"/>
        </w:rPr>
        <w:t xml:space="preserve"> a</w:t>
      </w:r>
      <w:r w:rsidR="00BB61DC" w:rsidRPr="00BB61DC">
        <w:rPr>
          <w:rFonts w:asciiTheme="majorHAnsi" w:hAnsiTheme="majorHAnsi" w:cstheme="majorHAnsi"/>
          <w:lang w:val="ro-RO"/>
        </w:rPr>
        <w:t xml:space="preserve"> solicit</w:t>
      </w:r>
      <w:r w:rsidR="00BB61DC">
        <w:rPr>
          <w:rFonts w:asciiTheme="majorHAnsi" w:hAnsiTheme="majorHAnsi" w:cstheme="majorHAnsi"/>
          <w:lang w:val="ro-RO"/>
        </w:rPr>
        <w:t>a</w:t>
      </w:r>
      <w:r w:rsidR="00BB61DC" w:rsidRPr="00BB61DC">
        <w:rPr>
          <w:rFonts w:asciiTheme="majorHAnsi" w:hAnsiTheme="majorHAnsi" w:cstheme="majorHAnsi"/>
          <w:lang w:val="ro-RO"/>
        </w:rPr>
        <w:t xml:space="preserve"> </w:t>
      </w:r>
      <w:r w:rsidR="00CB2110">
        <w:rPr>
          <w:rFonts w:asciiTheme="majorHAnsi" w:hAnsiTheme="majorHAnsi" w:cstheme="majorHAnsi"/>
          <w:lang w:val="ro-RO"/>
        </w:rPr>
        <w:t>autorizarea</w:t>
      </w:r>
      <w:r w:rsidR="00AD5541" w:rsidRPr="00BB61DC">
        <w:rPr>
          <w:rFonts w:asciiTheme="majorHAnsi" w:hAnsiTheme="majorHAnsi" w:cstheme="majorHAnsi"/>
          <w:lang w:val="ro-RO"/>
        </w:rPr>
        <w:t xml:space="preserve"> </w:t>
      </w:r>
      <w:r>
        <w:rPr>
          <w:rFonts w:asciiTheme="majorHAnsi" w:hAnsiTheme="majorHAnsi" w:cstheme="majorHAnsi"/>
          <w:lang w:val="ro-RO"/>
        </w:rPr>
        <w:t>pentru</w:t>
      </w:r>
      <w:r w:rsidR="00AD5541" w:rsidRPr="00BB61DC">
        <w:rPr>
          <w:rFonts w:asciiTheme="majorHAnsi" w:hAnsiTheme="majorHAnsi" w:cstheme="majorHAnsi"/>
          <w:lang w:val="ro-RO"/>
        </w:rPr>
        <w:t xml:space="preserve"> a calcula prețul </w:t>
      </w:r>
      <w:r w:rsidR="00D42383">
        <w:rPr>
          <w:rFonts w:asciiTheme="majorHAnsi" w:hAnsiTheme="majorHAnsi" w:cstheme="majorHAnsi"/>
          <w:lang w:val="ro-RO"/>
        </w:rPr>
        <w:t>din fabrică</w:t>
      </w:r>
      <w:r w:rsidR="00AD5541" w:rsidRPr="00BB61DC">
        <w:rPr>
          <w:rFonts w:asciiTheme="majorHAnsi" w:hAnsiTheme="majorHAnsi" w:cstheme="majorHAnsi"/>
          <w:lang w:val="ro-RO"/>
        </w:rPr>
        <w:t xml:space="preserve"> și valoarea materialelor neoriginare ca valoare medie pentru a putea ține seama de fluctuațiile costurilor și ale cursurilor de schimb valutar. </w:t>
      </w:r>
    </w:p>
    <w:p w14:paraId="483F07E9" w14:textId="76F09A6B" w:rsidR="00D42383" w:rsidRPr="00D42383" w:rsidRDefault="00D42383" w:rsidP="00D42383">
      <w:pPr>
        <w:pStyle w:val="Maintext"/>
        <w:numPr>
          <w:ilvl w:val="0"/>
          <w:numId w:val="1"/>
        </w:numPr>
        <w:spacing w:line="264" w:lineRule="auto"/>
        <w:jc w:val="both"/>
        <w:rPr>
          <w:rFonts w:asciiTheme="majorHAnsi" w:hAnsiTheme="majorHAnsi" w:cstheme="majorHAnsi"/>
          <w:b/>
          <w:lang w:val="ro-RO"/>
        </w:rPr>
      </w:pPr>
      <w:r w:rsidRPr="00D42383">
        <w:rPr>
          <w:rFonts w:asciiTheme="majorHAnsi" w:hAnsiTheme="majorHAnsi" w:cstheme="majorHAnsi"/>
          <w:lang w:val="ro-RO"/>
        </w:rPr>
        <w:t xml:space="preserve">Se elimină regula actuală a transportului direct care tranzitează o țară străină și va fi înlocuită cu o regulă de „non-manipulare” mai flexibilă. Astfel, mărfurile nu trebuie să fie modificate sau transformate în timpul tranzitului. </w:t>
      </w:r>
    </w:p>
    <w:p w14:paraId="0A90A1A6" w14:textId="3C8D376C" w:rsidR="00DF4C8B" w:rsidRPr="00D42383" w:rsidRDefault="00BB61DC" w:rsidP="00D42383">
      <w:pPr>
        <w:pStyle w:val="Maintext"/>
        <w:numPr>
          <w:ilvl w:val="0"/>
          <w:numId w:val="1"/>
        </w:numPr>
        <w:spacing w:line="264" w:lineRule="auto"/>
        <w:jc w:val="both"/>
        <w:rPr>
          <w:rFonts w:asciiTheme="majorHAnsi" w:hAnsiTheme="majorHAnsi" w:cstheme="majorHAnsi"/>
          <w:lang w:val="ro-RO"/>
        </w:rPr>
      </w:pPr>
      <w:r w:rsidRPr="00D42383">
        <w:rPr>
          <w:rFonts w:asciiTheme="majorHAnsi" w:hAnsiTheme="majorHAnsi" w:cstheme="majorHAnsi"/>
          <w:lang w:val="ro-RO"/>
        </w:rPr>
        <w:t>S</w:t>
      </w:r>
      <w:r w:rsidR="00AD5541" w:rsidRPr="00D42383">
        <w:rPr>
          <w:rFonts w:asciiTheme="majorHAnsi" w:hAnsiTheme="majorHAnsi" w:cstheme="majorHAnsi"/>
          <w:lang w:val="ro-RO"/>
        </w:rPr>
        <w:t>e introduce cumul</w:t>
      </w:r>
      <w:r w:rsidR="007B7653">
        <w:rPr>
          <w:rFonts w:asciiTheme="majorHAnsi" w:hAnsiTheme="majorHAnsi" w:cstheme="majorHAnsi"/>
          <w:lang w:val="ro-RO"/>
        </w:rPr>
        <w:t>ul</w:t>
      </w:r>
      <w:r w:rsidR="00AD5541" w:rsidRPr="00D42383">
        <w:rPr>
          <w:rFonts w:asciiTheme="majorHAnsi" w:hAnsiTheme="majorHAnsi" w:cstheme="majorHAnsi"/>
          <w:lang w:val="ro-RO"/>
        </w:rPr>
        <w:t xml:space="preserve"> total pentru toate produsele, cu excepția produselor textile și a articolelor de îmbrăcăminte enumerate în capitolele 50-63 din Sistemul armonizat (SA). Cu toate acestea, produsele din capitolele 50-63 ale SA pot beneficia de cumul total bilateral.</w:t>
      </w:r>
      <w:r w:rsidRPr="00D42383">
        <w:rPr>
          <w:rFonts w:asciiTheme="majorHAnsi" w:hAnsiTheme="majorHAnsi" w:cstheme="majorHAnsi"/>
          <w:lang w:val="ro-RO"/>
        </w:rPr>
        <w:t xml:space="preserve"> </w:t>
      </w:r>
    </w:p>
    <w:p w14:paraId="2445C32B" w14:textId="43A86FB7" w:rsidR="00D42383" w:rsidRDefault="00AC2AFA" w:rsidP="005528EC">
      <w:pPr>
        <w:pStyle w:val="Maintext"/>
        <w:numPr>
          <w:ilvl w:val="0"/>
          <w:numId w:val="1"/>
        </w:numPr>
        <w:spacing w:line="264" w:lineRule="auto"/>
        <w:jc w:val="both"/>
        <w:rPr>
          <w:rFonts w:asciiTheme="majorHAnsi" w:hAnsiTheme="majorHAnsi" w:cstheme="majorHAnsi"/>
          <w:lang w:val="ro-RO"/>
        </w:rPr>
      </w:pPr>
      <w:r>
        <w:rPr>
          <w:rFonts w:asciiTheme="majorHAnsi" w:hAnsiTheme="majorHAnsi" w:cstheme="majorHAnsi"/>
          <w:lang w:val="ro-RO"/>
        </w:rPr>
        <w:t>Se introduce opțiunea de a</w:t>
      </w:r>
      <w:r w:rsidRPr="00BB61DC">
        <w:rPr>
          <w:rFonts w:asciiTheme="majorHAnsi" w:hAnsiTheme="majorHAnsi" w:cstheme="majorHAnsi"/>
          <w:lang w:val="ro-RO"/>
        </w:rPr>
        <w:t xml:space="preserve"> solicit</w:t>
      </w:r>
      <w:r>
        <w:rPr>
          <w:rFonts w:asciiTheme="majorHAnsi" w:hAnsiTheme="majorHAnsi" w:cstheme="majorHAnsi"/>
          <w:lang w:val="ro-RO"/>
        </w:rPr>
        <w:t>a</w:t>
      </w:r>
      <w:r w:rsidRPr="00BB61DC">
        <w:rPr>
          <w:rFonts w:asciiTheme="majorHAnsi" w:hAnsiTheme="majorHAnsi" w:cstheme="majorHAnsi"/>
          <w:lang w:val="ro-RO"/>
        </w:rPr>
        <w:t xml:space="preserve"> </w:t>
      </w:r>
      <w:r w:rsidR="00D42383">
        <w:rPr>
          <w:rFonts w:asciiTheme="majorHAnsi" w:hAnsiTheme="majorHAnsi" w:cstheme="majorHAnsi"/>
          <w:lang w:val="ro-RO"/>
        </w:rPr>
        <w:t>autorizarea</w:t>
      </w:r>
      <w:r w:rsidR="00D42383" w:rsidRPr="00BB61DC">
        <w:rPr>
          <w:rFonts w:asciiTheme="majorHAnsi" w:hAnsiTheme="majorHAnsi" w:cstheme="majorHAnsi"/>
          <w:lang w:val="ro-RO"/>
        </w:rPr>
        <w:t xml:space="preserve"> </w:t>
      </w:r>
      <w:r w:rsidR="00AD5541" w:rsidRPr="00AD5541">
        <w:rPr>
          <w:rFonts w:asciiTheme="majorHAnsi" w:hAnsiTheme="majorHAnsi" w:cstheme="majorHAnsi"/>
          <w:lang w:val="ro-RO"/>
        </w:rPr>
        <w:t>segreg</w:t>
      </w:r>
      <w:r w:rsidR="00D42383">
        <w:rPr>
          <w:rFonts w:asciiTheme="majorHAnsi" w:hAnsiTheme="majorHAnsi" w:cstheme="majorHAnsi"/>
          <w:lang w:val="ro-RO"/>
        </w:rPr>
        <w:t>ării</w:t>
      </w:r>
      <w:r w:rsidR="00AD5541" w:rsidRPr="00AD5541">
        <w:rPr>
          <w:rFonts w:asciiTheme="majorHAnsi" w:hAnsiTheme="majorHAnsi" w:cstheme="majorHAnsi"/>
          <w:lang w:val="ro-RO"/>
        </w:rPr>
        <w:t xml:space="preserve"> contabil</w:t>
      </w:r>
      <w:r w:rsidR="00D42383">
        <w:rPr>
          <w:rFonts w:asciiTheme="majorHAnsi" w:hAnsiTheme="majorHAnsi" w:cstheme="majorHAnsi"/>
          <w:lang w:val="ro-RO"/>
        </w:rPr>
        <w:t>e</w:t>
      </w:r>
      <w:r w:rsidR="00AD5541" w:rsidRPr="00AD5541">
        <w:rPr>
          <w:rFonts w:asciiTheme="majorHAnsi" w:hAnsiTheme="majorHAnsi" w:cstheme="majorHAnsi"/>
          <w:lang w:val="ro-RO"/>
        </w:rPr>
        <w:t xml:space="preserve"> atunci când exportatorul a demonstrat că păstrarea stocurilor separate are un cost considerabil sau creează dificultăți materiale. </w:t>
      </w:r>
    </w:p>
    <w:p w14:paraId="0B809A8F" w14:textId="7CB21E01" w:rsidR="00AD5541" w:rsidRDefault="00AC2AFA" w:rsidP="005528EC">
      <w:pPr>
        <w:pStyle w:val="Maintext"/>
        <w:numPr>
          <w:ilvl w:val="0"/>
          <w:numId w:val="1"/>
        </w:numPr>
        <w:spacing w:line="264" w:lineRule="auto"/>
        <w:jc w:val="both"/>
        <w:rPr>
          <w:rFonts w:asciiTheme="majorHAnsi" w:hAnsiTheme="majorHAnsi" w:cstheme="majorHAnsi"/>
          <w:lang w:val="ro-RO"/>
        </w:rPr>
      </w:pPr>
      <w:r>
        <w:rPr>
          <w:rFonts w:asciiTheme="majorHAnsi" w:hAnsiTheme="majorHAnsi" w:cstheme="majorHAnsi"/>
          <w:lang w:val="ro-RO"/>
        </w:rPr>
        <w:t>Se introduce p</w:t>
      </w:r>
      <w:r w:rsidR="00D42383" w:rsidRPr="00D42383">
        <w:rPr>
          <w:rFonts w:asciiTheme="majorHAnsi" w:hAnsiTheme="majorHAnsi" w:cstheme="majorHAnsi"/>
          <w:lang w:val="ro-RO"/>
        </w:rPr>
        <w:t xml:space="preserve">osibilitatea de a solicita rambursarea </w:t>
      </w:r>
      <w:r w:rsidR="00AD5541" w:rsidRPr="00D42383">
        <w:rPr>
          <w:rFonts w:asciiTheme="majorHAnsi" w:hAnsiTheme="majorHAnsi" w:cstheme="majorHAnsi"/>
          <w:lang w:val="ro-RO"/>
        </w:rPr>
        <w:t>taxelor vamale pentru materialele utilizate</w:t>
      </w:r>
      <w:r w:rsidR="00D42383" w:rsidRPr="00D42383">
        <w:rPr>
          <w:rFonts w:asciiTheme="majorHAnsi" w:hAnsiTheme="majorHAnsi" w:cstheme="majorHAnsi"/>
          <w:lang w:val="ro-RO"/>
        </w:rPr>
        <w:t xml:space="preserve"> la fabricarea oricărui produs</w:t>
      </w:r>
      <w:r w:rsidR="00A86095">
        <w:rPr>
          <w:rFonts w:asciiTheme="majorHAnsi" w:hAnsiTheme="majorHAnsi" w:cstheme="majorHAnsi"/>
          <w:lang w:val="ro-RO"/>
        </w:rPr>
        <w:t>,</w:t>
      </w:r>
      <w:r w:rsidR="00D42383" w:rsidRPr="00D42383">
        <w:rPr>
          <w:rFonts w:asciiTheme="majorHAnsi" w:hAnsiTheme="majorHAnsi" w:cstheme="majorHAnsi"/>
          <w:lang w:val="ro-RO"/>
        </w:rPr>
        <w:t xml:space="preserve"> </w:t>
      </w:r>
      <w:r w:rsidR="00AD5541" w:rsidRPr="00D42383">
        <w:rPr>
          <w:rFonts w:asciiTheme="majorHAnsi" w:hAnsiTheme="majorHAnsi" w:cstheme="majorHAnsi"/>
          <w:lang w:val="ro-RO"/>
        </w:rPr>
        <w:t xml:space="preserve">cu excepția materialelor utilizate la fabricarea </w:t>
      </w:r>
      <w:r w:rsidR="00456607" w:rsidRPr="00D42383">
        <w:rPr>
          <w:rFonts w:asciiTheme="majorHAnsi" w:hAnsiTheme="majorHAnsi" w:cstheme="majorHAnsi"/>
          <w:lang w:val="ro-RO"/>
        </w:rPr>
        <w:t>produselor textile și a articolelor de îmbrăcăminte,</w:t>
      </w:r>
      <w:r w:rsidR="00456607" w:rsidRPr="00D42383" w:rsidDel="00456607">
        <w:rPr>
          <w:rFonts w:asciiTheme="majorHAnsi" w:hAnsiTheme="majorHAnsi" w:cstheme="majorHAnsi"/>
          <w:lang w:val="ro-RO"/>
        </w:rPr>
        <w:t xml:space="preserve"> </w:t>
      </w:r>
      <w:r w:rsidR="00AD5541" w:rsidRPr="00D42383">
        <w:rPr>
          <w:rFonts w:asciiTheme="majorHAnsi" w:hAnsiTheme="majorHAnsi" w:cstheme="majorHAnsi"/>
          <w:lang w:val="ro-RO"/>
        </w:rPr>
        <w:t>care intră sub incidența capitolelor SA de la 50 la 63.</w:t>
      </w:r>
    </w:p>
    <w:p w14:paraId="2E1D1093" w14:textId="77777777" w:rsidR="007B7653" w:rsidRDefault="007B7653" w:rsidP="007B7653">
      <w:pPr>
        <w:pStyle w:val="Maintext"/>
        <w:numPr>
          <w:ilvl w:val="0"/>
          <w:numId w:val="1"/>
        </w:numPr>
        <w:spacing w:line="264" w:lineRule="auto"/>
        <w:jc w:val="both"/>
        <w:rPr>
          <w:rFonts w:asciiTheme="majorHAnsi" w:hAnsiTheme="majorHAnsi" w:cstheme="majorHAnsi"/>
          <w:lang w:val="ro-RO"/>
        </w:rPr>
      </w:pPr>
      <w:r w:rsidRPr="00982F43">
        <w:rPr>
          <w:rFonts w:asciiTheme="majorHAnsi" w:hAnsiTheme="majorHAnsi" w:cstheme="majorHAnsi"/>
          <w:lang w:val="ro-RO"/>
        </w:rPr>
        <w:t xml:space="preserve">Este oferită opțiunea de a conveni asupra aplicării unui sistem de exportatori înregistrați (REX). </w:t>
      </w:r>
    </w:p>
    <w:p w14:paraId="262F88E5" w14:textId="1093FC95" w:rsidR="00215237" w:rsidRPr="00456607" w:rsidRDefault="00215237" w:rsidP="005528EC">
      <w:pPr>
        <w:pStyle w:val="Maintext"/>
        <w:spacing w:line="264" w:lineRule="auto"/>
        <w:jc w:val="both"/>
        <w:rPr>
          <w:rFonts w:asciiTheme="majorHAnsi" w:hAnsiTheme="majorHAnsi" w:cstheme="majorHAnsi"/>
          <w:lang w:val="ro-RO"/>
        </w:rPr>
      </w:pPr>
    </w:p>
    <w:p w14:paraId="6958002D" w14:textId="77777777" w:rsidR="00AD5541" w:rsidRPr="00AD5541" w:rsidRDefault="00AD5541" w:rsidP="00AC2AFA">
      <w:pPr>
        <w:pStyle w:val="Maintext"/>
        <w:spacing w:line="264" w:lineRule="auto"/>
        <w:jc w:val="both"/>
        <w:rPr>
          <w:rFonts w:asciiTheme="majorHAnsi" w:hAnsiTheme="majorHAnsi" w:cstheme="majorHAnsi"/>
          <w:b/>
          <w:lang w:val="ro-RO"/>
        </w:rPr>
      </w:pPr>
      <w:r w:rsidRPr="00AD5541">
        <w:rPr>
          <w:rFonts w:asciiTheme="majorHAnsi" w:hAnsiTheme="majorHAnsi" w:cstheme="majorHAnsi"/>
          <w:b/>
          <w:lang w:val="ro-RO"/>
        </w:rPr>
        <w:t>Impactul asupra mediului de afaceri</w:t>
      </w:r>
    </w:p>
    <w:p w14:paraId="2B05703F" w14:textId="2C64AA3C" w:rsidR="00CB2110" w:rsidRDefault="00CB2110" w:rsidP="005528EC">
      <w:pPr>
        <w:pStyle w:val="Maintext"/>
        <w:spacing w:line="264" w:lineRule="auto"/>
        <w:jc w:val="both"/>
        <w:rPr>
          <w:rFonts w:asciiTheme="majorHAnsi" w:hAnsiTheme="majorHAnsi" w:cstheme="majorHAnsi"/>
          <w:lang w:val="ro-RO"/>
        </w:rPr>
      </w:pPr>
      <w:r>
        <w:rPr>
          <w:rFonts w:asciiTheme="majorHAnsi" w:hAnsiTheme="majorHAnsi" w:cstheme="majorHAnsi"/>
          <w:lang w:val="ro-RO"/>
        </w:rPr>
        <w:t>Î</w:t>
      </w:r>
      <w:r w:rsidR="00AC2AFA">
        <w:rPr>
          <w:rFonts w:asciiTheme="majorHAnsi" w:hAnsiTheme="majorHAnsi" w:cstheme="majorHAnsi"/>
          <w:lang w:val="ro-RO"/>
        </w:rPr>
        <w:t xml:space="preserve">n </w:t>
      </w:r>
      <w:r>
        <w:rPr>
          <w:rFonts w:asciiTheme="majorHAnsi" w:hAnsiTheme="majorHAnsi" w:cstheme="majorHAnsi"/>
          <w:lang w:val="ro-RO"/>
        </w:rPr>
        <w:t xml:space="preserve">cadrul </w:t>
      </w:r>
      <w:r w:rsidR="00AC2AFA">
        <w:rPr>
          <w:rFonts w:asciiTheme="majorHAnsi" w:hAnsiTheme="majorHAnsi" w:cstheme="majorHAnsi"/>
          <w:lang w:val="ro-RO"/>
        </w:rPr>
        <w:t>procesul</w:t>
      </w:r>
      <w:r>
        <w:rPr>
          <w:rFonts w:asciiTheme="majorHAnsi" w:hAnsiTheme="majorHAnsi" w:cstheme="majorHAnsi"/>
          <w:lang w:val="ro-RO"/>
        </w:rPr>
        <w:t>ui</w:t>
      </w:r>
      <w:r w:rsidR="00AC2AFA">
        <w:rPr>
          <w:rFonts w:asciiTheme="majorHAnsi" w:hAnsiTheme="majorHAnsi" w:cstheme="majorHAnsi"/>
          <w:lang w:val="ro-RO"/>
        </w:rPr>
        <w:t xml:space="preserve"> de consultare</w:t>
      </w:r>
      <w:r w:rsidR="00A86095">
        <w:rPr>
          <w:rFonts w:asciiTheme="majorHAnsi" w:hAnsiTheme="majorHAnsi" w:cstheme="majorHAnsi"/>
          <w:lang w:val="ro-RO"/>
        </w:rPr>
        <w:t>,</w:t>
      </w:r>
      <w:r w:rsidR="00AC2AFA">
        <w:rPr>
          <w:rFonts w:asciiTheme="majorHAnsi" w:hAnsiTheme="majorHAnsi" w:cstheme="majorHAnsi"/>
          <w:lang w:val="ro-RO"/>
        </w:rPr>
        <w:t xml:space="preserve"> unele țări au semnalat faptul că </w:t>
      </w:r>
      <w:r>
        <w:rPr>
          <w:rFonts w:asciiTheme="majorHAnsi" w:hAnsiTheme="majorHAnsi" w:cstheme="majorHAnsi"/>
          <w:lang w:val="ro-RO"/>
        </w:rPr>
        <w:t>n</w:t>
      </w:r>
      <w:r w:rsidR="00AD5541" w:rsidRPr="00AD5541">
        <w:rPr>
          <w:rFonts w:asciiTheme="majorHAnsi" w:hAnsiTheme="majorHAnsi" w:cstheme="majorHAnsi"/>
          <w:lang w:val="ro-RO"/>
        </w:rPr>
        <w:t>oile reguli de origin</w:t>
      </w:r>
      <w:r>
        <w:rPr>
          <w:rFonts w:asciiTheme="majorHAnsi" w:hAnsiTheme="majorHAnsi" w:cstheme="majorHAnsi"/>
          <w:lang w:val="ro-RO"/>
        </w:rPr>
        <w:t>e v</w:t>
      </w:r>
      <w:r w:rsidR="00030B2C">
        <w:rPr>
          <w:rFonts w:asciiTheme="majorHAnsi" w:hAnsiTheme="majorHAnsi" w:cstheme="majorHAnsi"/>
          <w:lang w:val="ro-RO"/>
        </w:rPr>
        <w:t>or</w:t>
      </w:r>
      <w:r>
        <w:rPr>
          <w:rFonts w:asciiTheme="majorHAnsi" w:hAnsiTheme="majorHAnsi" w:cstheme="majorHAnsi"/>
          <w:lang w:val="ro-RO"/>
        </w:rPr>
        <w:t xml:space="preserve"> crea dificultăți companiilor </w:t>
      </w:r>
      <w:r w:rsidRPr="00CB2110">
        <w:rPr>
          <w:rFonts w:asciiTheme="majorHAnsi" w:hAnsiTheme="majorHAnsi" w:cstheme="majorHAnsi"/>
          <w:lang w:val="ro-RO"/>
        </w:rPr>
        <w:t>cu lanțuri de aprovizionare complexe</w:t>
      </w:r>
      <w:r>
        <w:rPr>
          <w:rFonts w:asciiTheme="majorHAnsi" w:hAnsiTheme="majorHAnsi" w:cstheme="majorHAnsi"/>
          <w:lang w:val="ro-RO"/>
        </w:rPr>
        <w:t>,</w:t>
      </w:r>
      <w:r w:rsidRPr="00CB2110">
        <w:rPr>
          <w:rFonts w:asciiTheme="majorHAnsi" w:hAnsiTheme="majorHAnsi" w:cstheme="majorHAnsi"/>
          <w:lang w:val="ro-RO"/>
        </w:rPr>
        <w:t xml:space="preserve"> </w:t>
      </w:r>
      <w:r>
        <w:rPr>
          <w:rFonts w:asciiTheme="majorHAnsi" w:hAnsiTheme="majorHAnsi" w:cstheme="majorHAnsi"/>
          <w:lang w:val="ro-RO"/>
        </w:rPr>
        <w:t xml:space="preserve">precum </w:t>
      </w:r>
      <w:r w:rsidRPr="00776699">
        <w:rPr>
          <w:rFonts w:asciiTheme="majorHAnsi" w:hAnsiTheme="majorHAnsi" w:cstheme="majorHAnsi"/>
          <w:b/>
          <w:lang w:val="ro-RO"/>
        </w:rPr>
        <w:t>necesitatea de a-și actualiza sistemul IT</w:t>
      </w:r>
      <w:r>
        <w:rPr>
          <w:rFonts w:asciiTheme="majorHAnsi" w:hAnsiTheme="majorHAnsi" w:cstheme="majorHAnsi"/>
          <w:lang w:val="ro-RO"/>
        </w:rPr>
        <w:t xml:space="preserve"> și faptul că vor fi nevoiți </w:t>
      </w:r>
      <w:r w:rsidRPr="00CB2110">
        <w:rPr>
          <w:rFonts w:asciiTheme="majorHAnsi" w:hAnsiTheme="majorHAnsi" w:cstheme="majorHAnsi"/>
          <w:lang w:val="ro-RO"/>
        </w:rPr>
        <w:t>să colecteze dove</w:t>
      </w:r>
      <w:r>
        <w:rPr>
          <w:rFonts w:asciiTheme="majorHAnsi" w:hAnsiTheme="majorHAnsi" w:cstheme="majorHAnsi"/>
          <w:lang w:val="ro-RO"/>
        </w:rPr>
        <w:t>zi de origine</w:t>
      </w:r>
      <w:r w:rsidRPr="00CB2110">
        <w:rPr>
          <w:rFonts w:asciiTheme="majorHAnsi" w:hAnsiTheme="majorHAnsi" w:cstheme="majorHAnsi"/>
          <w:lang w:val="ro-RO"/>
        </w:rPr>
        <w:t xml:space="preserve"> emise în conformitate cu ambele seturi de reguli</w:t>
      </w:r>
      <w:r w:rsidR="0085581C">
        <w:rPr>
          <w:rFonts w:asciiTheme="majorHAnsi" w:hAnsiTheme="majorHAnsi" w:cstheme="majorHAnsi"/>
          <w:lang w:val="ro-RO"/>
        </w:rPr>
        <w:t>.</w:t>
      </w:r>
    </w:p>
    <w:p w14:paraId="09CE649C" w14:textId="0E5E28F8" w:rsidR="00AD5541" w:rsidRDefault="0085581C" w:rsidP="005528EC">
      <w:pPr>
        <w:pStyle w:val="Maintext"/>
        <w:spacing w:line="264" w:lineRule="auto"/>
        <w:jc w:val="both"/>
        <w:rPr>
          <w:rFonts w:asciiTheme="majorHAnsi" w:hAnsiTheme="majorHAnsi" w:cstheme="majorHAnsi"/>
          <w:lang w:val="ro-RO"/>
        </w:rPr>
      </w:pPr>
      <w:r>
        <w:rPr>
          <w:rFonts w:asciiTheme="majorHAnsi" w:hAnsiTheme="majorHAnsi" w:cstheme="majorHAnsi"/>
          <w:lang w:val="ro-RO"/>
        </w:rPr>
        <w:lastRenderedPageBreak/>
        <w:t>Cu toate acestea</w:t>
      </w:r>
      <w:r w:rsidR="00CB2110">
        <w:rPr>
          <w:rFonts w:asciiTheme="majorHAnsi" w:hAnsiTheme="majorHAnsi" w:cstheme="majorHAnsi"/>
          <w:lang w:val="ro-RO"/>
        </w:rPr>
        <w:t xml:space="preserve">, considerăm că noile reguli vor avea un </w:t>
      </w:r>
      <w:r w:rsidR="00AD5541" w:rsidRPr="008F4CB0">
        <w:rPr>
          <w:rFonts w:asciiTheme="majorHAnsi" w:hAnsiTheme="majorHAnsi" w:cstheme="majorHAnsi"/>
          <w:b/>
          <w:lang w:val="ro-RO"/>
        </w:rPr>
        <w:t>impact general pozitiv</w:t>
      </w:r>
      <w:r w:rsidR="00AD5541" w:rsidRPr="00AD5541">
        <w:rPr>
          <w:rFonts w:asciiTheme="majorHAnsi" w:hAnsiTheme="majorHAnsi" w:cstheme="majorHAnsi"/>
          <w:lang w:val="ro-RO"/>
        </w:rPr>
        <w:t xml:space="preserve"> asupra </w:t>
      </w:r>
      <w:r w:rsidR="00402332">
        <w:rPr>
          <w:rFonts w:asciiTheme="majorHAnsi" w:hAnsiTheme="majorHAnsi" w:cstheme="majorHAnsi"/>
          <w:lang w:val="ro-RO"/>
        </w:rPr>
        <w:t>mediului de afaceri</w:t>
      </w:r>
      <w:r w:rsidR="00CB2110">
        <w:rPr>
          <w:rFonts w:asciiTheme="majorHAnsi" w:hAnsiTheme="majorHAnsi" w:cstheme="majorHAnsi"/>
          <w:lang w:val="ro-RO"/>
        </w:rPr>
        <w:t xml:space="preserve"> și </w:t>
      </w:r>
      <w:r w:rsidR="00402332">
        <w:rPr>
          <w:rFonts w:asciiTheme="majorHAnsi" w:hAnsiTheme="majorHAnsi" w:cstheme="majorHAnsi"/>
          <w:lang w:val="ro-RO"/>
        </w:rPr>
        <w:t xml:space="preserve">asupra </w:t>
      </w:r>
      <w:r w:rsidR="00CB2110">
        <w:rPr>
          <w:rFonts w:asciiTheme="majorHAnsi" w:hAnsiTheme="majorHAnsi" w:cstheme="majorHAnsi"/>
          <w:lang w:val="ro-RO"/>
        </w:rPr>
        <w:t>comerțului internațional</w:t>
      </w:r>
      <w:r w:rsidR="00A86095">
        <w:rPr>
          <w:rFonts w:asciiTheme="majorHAnsi" w:hAnsiTheme="majorHAnsi" w:cstheme="majorHAnsi"/>
          <w:lang w:val="ro-RO"/>
        </w:rPr>
        <w:t>,</w:t>
      </w:r>
      <w:r w:rsidR="000277EE">
        <w:rPr>
          <w:rFonts w:asciiTheme="majorHAnsi" w:hAnsiTheme="majorHAnsi" w:cstheme="majorHAnsi"/>
          <w:lang w:val="ro-RO"/>
        </w:rPr>
        <w:t xml:space="preserve"> întrucât </w:t>
      </w:r>
      <w:r w:rsidR="0091317F">
        <w:rPr>
          <w:rFonts w:asciiTheme="majorHAnsi" w:hAnsiTheme="majorHAnsi" w:cstheme="majorHAnsi"/>
          <w:lang w:val="ro-RO"/>
        </w:rPr>
        <w:t>acestea</w:t>
      </w:r>
      <w:r w:rsidR="000277EE">
        <w:rPr>
          <w:rFonts w:asciiTheme="majorHAnsi" w:hAnsiTheme="majorHAnsi" w:cstheme="majorHAnsi"/>
          <w:lang w:val="ro-RO"/>
        </w:rPr>
        <w:t xml:space="preserve"> sunt mai flexibile. Prin urmare</w:t>
      </w:r>
      <w:r w:rsidR="000277EE" w:rsidRPr="000277EE">
        <w:rPr>
          <w:rFonts w:asciiTheme="majorHAnsi" w:hAnsiTheme="majorHAnsi" w:cstheme="majorHAnsi"/>
          <w:lang w:val="ro-RO"/>
        </w:rPr>
        <w:t xml:space="preserve">, </w:t>
      </w:r>
      <w:r>
        <w:rPr>
          <w:rFonts w:asciiTheme="majorHAnsi" w:hAnsiTheme="majorHAnsi" w:cstheme="majorHAnsi"/>
          <w:lang w:val="ro-RO"/>
        </w:rPr>
        <w:t xml:space="preserve">cu mici excepții, </w:t>
      </w:r>
      <w:r w:rsidR="000277EE" w:rsidRPr="000277EE">
        <w:rPr>
          <w:rFonts w:asciiTheme="majorHAnsi" w:hAnsiTheme="majorHAnsi" w:cstheme="majorHAnsi"/>
          <w:lang w:val="ro-RO"/>
        </w:rPr>
        <w:t xml:space="preserve">un produs </w:t>
      </w:r>
      <w:r w:rsidR="000277EE">
        <w:rPr>
          <w:rFonts w:asciiTheme="majorHAnsi" w:hAnsiTheme="majorHAnsi" w:cstheme="majorHAnsi"/>
          <w:lang w:val="ro-RO"/>
        </w:rPr>
        <w:t xml:space="preserve">care </w:t>
      </w:r>
      <w:r>
        <w:rPr>
          <w:rFonts w:asciiTheme="majorHAnsi" w:hAnsiTheme="majorHAnsi" w:cstheme="majorHAnsi"/>
          <w:lang w:val="ro-RO"/>
        </w:rPr>
        <w:t>îndeplinește regulile de origine ale actualei</w:t>
      </w:r>
      <w:r w:rsidR="000277EE" w:rsidRPr="000277EE">
        <w:rPr>
          <w:rFonts w:asciiTheme="majorHAnsi" w:hAnsiTheme="majorHAnsi" w:cstheme="majorHAnsi"/>
          <w:lang w:val="ro-RO"/>
        </w:rPr>
        <w:t xml:space="preserve"> Convenți</w:t>
      </w:r>
      <w:r>
        <w:rPr>
          <w:rFonts w:asciiTheme="majorHAnsi" w:hAnsiTheme="majorHAnsi" w:cstheme="majorHAnsi"/>
          <w:lang w:val="ro-RO"/>
        </w:rPr>
        <w:t>i PEM va îndeplini și regulile de origine</w:t>
      </w:r>
      <w:r w:rsidR="000277EE" w:rsidRPr="000277EE">
        <w:rPr>
          <w:rFonts w:asciiTheme="majorHAnsi" w:hAnsiTheme="majorHAnsi" w:cstheme="majorHAnsi"/>
          <w:lang w:val="ro-RO"/>
        </w:rPr>
        <w:t xml:space="preserve"> tranzitorii.</w:t>
      </w:r>
    </w:p>
    <w:p w14:paraId="110AF9DC" w14:textId="287B3198" w:rsidR="0091210E" w:rsidRPr="00AD5541" w:rsidRDefault="0091210E" w:rsidP="005528EC">
      <w:pPr>
        <w:spacing w:line="264" w:lineRule="auto"/>
        <w:jc w:val="both"/>
        <w:rPr>
          <w:rFonts w:asciiTheme="majorHAnsi" w:hAnsiTheme="majorHAnsi" w:cstheme="majorHAnsi"/>
          <w:lang w:val="ro-RO"/>
        </w:rPr>
      </w:pPr>
    </w:p>
    <w:sectPr w:rsidR="0091210E" w:rsidRPr="00AD5541" w:rsidSect="006D2D98">
      <w:headerReference w:type="default" r:id="rId7"/>
      <w:headerReference w:type="first" r:id="rId8"/>
      <w:footerReference w:type="first" r:id="rId9"/>
      <w:pgSz w:w="11901" w:h="16840" w:code="9"/>
      <w:pgMar w:top="1350" w:right="1134" w:bottom="720"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371A7" w14:textId="77777777" w:rsidR="00116ADE" w:rsidRDefault="00116ADE" w:rsidP="003610D3">
      <w:pPr>
        <w:spacing w:line="240" w:lineRule="auto"/>
      </w:pPr>
      <w:r>
        <w:separator/>
      </w:r>
    </w:p>
  </w:endnote>
  <w:endnote w:type="continuationSeparator" w:id="0">
    <w:p w14:paraId="490106A8" w14:textId="77777777" w:rsidR="00116ADE" w:rsidRDefault="00116ADE" w:rsidP="00361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F194" w14:textId="77777777" w:rsidR="001615F5" w:rsidRPr="001615F5" w:rsidRDefault="00116ADE"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21B4" w14:textId="77777777" w:rsidR="00116ADE" w:rsidRDefault="00116ADE" w:rsidP="003610D3">
      <w:pPr>
        <w:spacing w:line="240" w:lineRule="auto"/>
      </w:pPr>
      <w:r>
        <w:separator/>
      </w:r>
    </w:p>
  </w:footnote>
  <w:footnote w:type="continuationSeparator" w:id="0">
    <w:p w14:paraId="6BCD828F" w14:textId="77777777" w:rsidR="00116ADE" w:rsidRDefault="00116ADE" w:rsidP="00361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DD9B" w14:textId="77777777" w:rsidR="003A0D61" w:rsidRDefault="000844CE"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34591CE8" wp14:editId="59B6BBBC">
          <wp:simplePos x="0" y="0"/>
          <wp:positionH relativeFrom="column">
            <wp:posOffset>0</wp:posOffset>
          </wp:positionH>
          <wp:positionV relativeFrom="paragraph">
            <wp:posOffset>368300</wp:posOffset>
          </wp:positionV>
          <wp:extent cx="1630680" cy="304800"/>
          <wp:effectExtent l="0" t="0" r="7620" b="0"/>
          <wp:wrapNone/>
          <wp:docPr id="14" name="Picture 1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DF81" w14:textId="77777777" w:rsidR="006A0423" w:rsidRDefault="000844CE"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524CF1C3" wp14:editId="6CE3B734">
          <wp:simplePos x="0" y="0"/>
          <wp:positionH relativeFrom="column">
            <wp:posOffset>-312420</wp:posOffset>
          </wp:positionH>
          <wp:positionV relativeFrom="paragraph">
            <wp:posOffset>33020</wp:posOffset>
          </wp:positionV>
          <wp:extent cx="2216150" cy="901700"/>
          <wp:effectExtent l="0" t="0" r="0" b="0"/>
          <wp:wrapNone/>
          <wp:docPr id="1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22FE7" w14:textId="77777777" w:rsidR="006A0423" w:rsidRDefault="00116ADE" w:rsidP="003023E6">
    <w:pPr>
      <w:pStyle w:val="Legalentity"/>
      <w:spacing w:after="140" w:line="240" w:lineRule="auto"/>
      <w:rPr>
        <w:rFonts w:ascii="FrutigerNextPro-Light" w:hAnsi="FrutigerNextPro-Light"/>
        <w:color w:val="002776"/>
      </w:rPr>
    </w:pPr>
  </w:p>
  <w:p w14:paraId="55049B2A" w14:textId="77777777" w:rsidR="006A0423" w:rsidRDefault="00116ADE" w:rsidP="003023E6">
    <w:pPr>
      <w:pStyle w:val="Legalentity"/>
      <w:spacing w:after="140" w:line="240" w:lineRule="auto"/>
      <w:rPr>
        <w:rFonts w:ascii="FrutigerNextPro-Light" w:hAnsi="FrutigerNextPro-Light"/>
        <w:color w:val="002776"/>
      </w:rPr>
    </w:pPr>
  </w:p>
  <w:p w14:paraId="2CC189FA" w14:textId="77777777" w:rsidR="005443B3" w:rsidRPr="001615F5" w:rsidRDefault="000844CE">
    <w:pPr>
      <w:pStyle w:val="Header"/>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76F83F45" wp14:editId="2CA04429">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A9BF" w14:textId="77777777" w:rsidR="006679A3" w:rsidRPr="00E57B68" w:rsidRDefault="00116ADE"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3F45"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1B63A9BF" w14:textId="77777777" w:rsidR="006679A3" w:rsidRPr="00E57B68" w:rsidRDefault="00793CBB"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3B8A"/>
    <w:multiLevelType w:val="hybridMultilevel"/>
    <w:tmpl w:val="951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D3"/>
    <w:rsid w:val="000277EE"/>
    <w:rsid w:val="00030B2C"/>
    <w:rsid w:val="000844CE"/>
    <w:rsid w:val="00116ADE"/>
    <w:rsid w:val="00215237"/>
    <w:rsid w:val="002261E0"/>
    <w:rsid w:val="00250370"/>
    <w:rsid w:val="002A182E"/>
    <w:rsid w:val="002C2CBD"/>
    <w:rsid w:val="00302E7C"/>
    <w:rsid w:val="003610D3"/>
    <w:rsid w:val="003E4853"/>
    <w:rsid w:val="00402332"/>
    <w:rsid w:val="004347F2"/>
    <w:rsid w:val="00456607"/>
    <w:rsid w:val="004841A5"/>
    <w:rsid w:val="004D1F99"/>
    <w:rsid w:val="00502A7A"/>
    <w:rsid w:val="0052791B"/>
    <w:rsid w:val="00550EA4"/>
    <w:rsid w:val="005528EC"/>
    <w:rsid w:val="00586B56"/>
    <w:rsid w:val="00613986"/>
    <w:rsid w:val="00645A0D"/>
    <w:rsid w:val="006C41FB"/>
    <w:rsid w:val="006C5635"/>
    <w:rsid w:val="00723734"/>
    <w:rsid w:val="00776699"/>
    <w:rsid w:val="0078702B"/>
    <w:rsid w:val="00792B93"/>
    <w:rsid w:val="00793CBB"/>
    <w:rsid w:val="007B7653"/>
    <w:rsid w:val="0085581C"/>
    <w:rsid w:val="00873CC9"/>
    <w:rsid w:val="008F4CB0"/>
    <w:rsid w:val="0091210E"/>
    <w:rsid w:val="0091317F"/>
    <w:rsid w:val="00982F43"/>
    <w:rsid w:val="00A1388E"/>
    <w:rsid w:val="00A86095"/>
    <w:rsid w:val="00AB3A95"/>
    <w:rsid w:val="00AB7AF5"/>
    <w:rsid w:val="00AC2AFA"/>
    <w:rsid w:val="00AD5541"/>
    <w:rsid w:val="00AE1373"/>
    <w:rsid w:val="00B27BBA"/>
    <w:rsid w:val="00BA7EA2"/>
    <w:rsid w:val="00BB61DC"/>
    <w:rsid w:val="00BF13D1"/>
    <w:rsid w:val="00C14358"/>
    <w:rsid w:val="00C2485C"/>
    <w:rsid w:val="00CB2110"/>
    <w:rsid w:val="00D42383"/>
    <w:rsid w:val="00DF0CE6"/>
    <w:rsid w:val="00DF4C8B"/>
    <w:rsid w:val="00E43F20"/>
    <w:rsid w:val="00E52521"/>
    <w:rsid w:val="00E52D90"/>
    <w:rsid w:val="00E568A1"/>
    <w:rsid w:val="00E95BA1"/>
    <w:rsid w:val="00F3185D"/>
    <w:rsid w:val="00F420AA"/>
    <w:rsid w:val="00F66951"/>
    <w:rsid w:val="00F92936"/>
    <w:rsid w:val="00FE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E9E7"/>
  <w15:chartTrackingRefBased/>
  <w15:docId w15:val="{3802C472-3E16-457E-A347-37CA87FF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D3"/>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0D3"/>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3610D3"/>
  </w:style>
  <w:style w:type="paragraph" w:styleId="Footer">
    <w:name w:val="footer"/>
    <w:basedOn w:val="Normal"/>
    <w:link w:val="FooterChar"/>
    <w:unhideWhenUsed/>
    <w:rsid w:val="003610D3"/>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rsid w:val="003610D3"/>
  </w:style>
  <w:style w:type="paragraph" w:customStyle="1" w:styleId="Legalentity">
    <w:name w:val="Legal entity"/>
    <w:basedOn w:val="Normal"/>
    <w:rsid w:val="003610D3"/>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paragraph" w:styleId="NormalWeb">
    <w:name w:val="Normal (Web)"/>
    <w:basedOn w:val="Normal"/>
    <w:uiPriority w:val="99"/>
    <w:unhideWhenUsed/>
    <w:rsid w:val="003610D3"/>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3610D3"/>
    <w:rPr>
      <w:i/>
      <w:iCs/>
    </w:rPr>
  </w:style>
  <w:style w:type="paragraph" w:styleId="BalloonText">
    <w:name w:val="Balloon Text"/>
    <w:basedOn w:val="Normal"/>
    <w:link w:val="BalloonTextChar"/>
    <w:uiPriority w:val="99"/>
    <w:semiHidden/>
    <w:unhideWhenUsed/>
    <w:rsid w:val="00F31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5D"/>
    <w:rPr>
      <w:rFonts w:ascii="Segoe UI" w:eastAsia="Times" w:hAnsi="Segoe UI" w:cs="Segoe UI"/>
      <w:sz w:val="18"/>
      <w:szCs w:val="18"/>
      <w:lang w:val="en-GB" w:eastAsia="en-GB"/>
    </w:rPr>
  </w:style>
  <w:style w:type="character" w:styleId="CommentReference">
    <w:name w:val="annotation reference"/>
    <w:basedOn w:val="DefaultParagraphFont"/>
    <w:uiPriority w:val="99"/>
    <w:semiHidden/>
    <w:unhideWhenUsed/>
    <w:rsid w:val="00F3185D"/>
    <w:rPr>
      <w:sz w:val="16"/>
      <w:szCs w:val="16"/>
    </w:rPr>
  </w:style>
  <w:style w:type="paragraph" w:styleId="CommentText">
    <w:name w:val="annotation text"/>
    <w:basedOn w:val="Normal"/>
    <w:link w:val="CommentTextChar"/>
    <w:uiPriority w:val="99"/>
    <w:semiHidden/>
    <w:unhideWhenUsed/>
    <w:rsid w:val="00F3185D"/>
    <w:pPr>
      <w:spacing w:line="240" w:lineRule="auto"/>
    </w:pPr>
  </w:style>
  <w:style w:type="character" w:customStyle="1" w:styleId="CommentTextChar">
    <w:name w:val="Comment Text Char"/>
    <w:basedOn w:val="DefaultParagraphFont"/>
    <w:link w:val="CommentText"/>
    <w:uiPriority w:val="99"/>
    <w:semiHidden/>
    <w:rsid w:val="00F3185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185D"/>
    <w:rPr>
      <w:b/>
      <w:bCs/>
    </w:rPr>
  </w:style>
  <w:style w:type="character" w:customStyle="1" w:styleId="CommentSubjectChar">
    <w:name w:val="Comment Subject Char"/>
    <w:basedOn w:val="CommentTextChar"/>
    <w:link w:val="CommentSubject"/>
    <w:uiPriority w:val="99"/>
    <w:semiHidden/>
    <w:rsid w:val="00F3185D"/>
    <w:rPr>
      <w:rFonts w:ascii="Helvetica 45 Light" w:eastAsia="Times" w:hAnsi="Helvetica 45 Light" w:cs="Times New Roman"/>
      <w:b/>
      <w:bCs/>
      <w:sz w:val="20"/>
      <w:szCs w:val="20"/>
      <w:lang w:val="en-GB" w:eastAsia="en-GB"/>
    </w:rPr>
  </w:style>
  <w:style w:type="paragraph" w:customStyle="1" w:styleId="Maintext">
    <w:name w:val="Main text"/>
    <w:basedOn w:val="Normal"/>
    <w:rsid w:val="00AD5541"/>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line="240" w:lineRule="atLeast"/>
      <w:textAlignment w:val="center"/>
    </w:pPr>
    <w:rPr>
      <w:rFonts w:ascii="Times New Roman" w:eastAsia="Times New Roman" w:hAnsi="Times New Roman"/>
      <w:color w:val="000000"/>
    </w:rPr>
  </w:style>
  <w:style w:type="paragraph" w:styleId="ListParagraph">
    <w:name w:val="List Paragraph"/>
    <w:basedOn w:val="Normal"/>
    <w:uiPriority w:val="34"/>
    <w:qFormat/>
    <w:rsid w:val="00DF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708</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2021-09-03T07:41:00Z</dcterms:created>
  <dcterms:modified xsi:type="dcterms:W3CDTF">2021-09-06T08:18:00Z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2021-07-26T11:20:24Z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f444ae41-8c5d-455f-bb25-cbed46eea5f9</vt:lpwstr>
  </property>
  <property fmtid="{D5CDD505-2E9C-101B-9397-08002B2CF9AE}" pid="8" name="MSIP_Label_ea60d57e-af5b-4752-ac57-3e4f28ca11dc_ContentBits">
    <vt:lpwstr>0</vt:lpwstr>
  </property>
</Properties>
</file>