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1E935" w14:textId="77777777" w:rsidR="00B23330" w:rsidRPr="009E0FFF" w:rsidRDefault="00EC1438" w:rsidP="005D395E">
      <w:pPr>
        <w:pStyle w:val="NoSpacing"/>
        <w:jc w:val="center"/>
        <w:rPr>
          <w:rFonts w:cstheme="minorHAnsi"/>
          <w:b/>
          <w:sz w:val="24"/>
          <w:szCs w:val="24"/>
        </w:rPr>
      </w:pPr>
      <w:r w:rsidRPr="009E0FFF">
        <w:rPr>
          <w:rFonts w:cstheme="minorHAnsi"/>
          <w:b/>
          <w:sz w:val="24"/>
          <w:szCs w:val="24"/>
        </w:rPr>
        <w:t xml:space="preserve">5G și </w:t>
      </w:r>
      <w:r w:rsidR="00471522" w:rsidRPr="009E0FFF">
        <w:rPr>
          <w:rFonts w:cstheme="minorHAnsi"/>
          <w:b/>
          <w:sz w:val="24"/>
          <w:szCs w:val="24"/>
        </w:rPr>
        <w:t xml:space="preserve">vaccin </w:t>
      </w:r>
      <w:r w:rsidRPr="009E0FFF">
        <w:rPr>
          <w:rFonts w:cstheme="minorHAnsi"/>
          <w:b/>
          <w:sz w:val="24"/>
          <w:szCs w:val="24"/>
        </w:rPr>
        <w:t>COVID: putem evita monopolul acordat prin brevete?</w:t>
      </w:r>
    </w:p>
    <w:p w14:paraId="206C7C15" w14:textId="77777777" w:rsidR="005D395E" w:rsidRPr="009E0FFF" w:rsidRDefault="005D395E" w:rsidP="005D395E">
      <w:pPr>
        <w:pStyle w:val="NoSpacing"/>
        <w:jc w:val="center"/>
        <w:rPr>
          <w:rFonts w:cstheme="minorHAnsi"/>
          <w:sz w:val="24"/>
          <w:szCs w:val="24"/>
        </w:rPr>
      </w:pPr>
    </w:p>
    <w:p w14:paraId="5E6D46A9" w14:textId="77777777" w:rsidR="009E0FFF" w:rsidRDefault="009E0FFF" w:rsidP="009E0FFF">
      <w:pPr>
        <w:pStyle w:val="NoSpacing"/>
        <w:jc w:val="right"/>
        <w:rPr>
          <w:rFonts w:cstheme="minorHAnsi"/>
          <w:sz w:val="24"/>
          <w:szCs w:val="24"/>
        </w:rPr>
      </w:pPr>
    </w:p>
    <w:p w14:paraId="7CE105B2" w14:textId="4089A2D9" w:rsidR="005D395E" w:rsidRPr="009E0FFF" w:rsidRDefault="00EC1438" w:rsidP="009E0FFF">
      <w:pPr>
        <w:pStyle w:val="NoSpacing"/>
        <w:jc w:val="right"/>
        <w:rPr>
          <w:rFonts w:cstheme="minorHAnsi"/>
          <w:sz w:val="24"/>
          <w:szCs w:val="24"/>
        </w:rPr>
      </w:pPr>
      <w:r w:rsidRPr="009E0FFF">
        <w:rPr>
          <w:rFonts w:cstheme="minorHAnsi"/>
          <w:sz w:val="24"/>
          <w:szCs w:val="24"/>
        </w:rPr>
        <w:t>Dragoș Bogdan</w:t>
      </w:r>
      <w:r w:rsidR="000C571F" w:rsidRPr="009E0FFF">
        <w:rPr>
          <w:rFonts w:cstheme="minorHAnsi"/>
          <w:sz w:val="24"/>
          <w:szCs w:val="24"/>
        </w:rPr>
        <w:t xml:space="preserve">, </w:t>
      </w:r>
      <w:r w:rsidRPr="009E0FFF">
        <w:rPr>
          <w:rFonts w:cstheme="minorHAnsi"/>
          <w:sz w:val="24"/>
          <w:szCs w:val="24"/>
        </w:rPr>
        <w:t>Bianca Iamandi</w:t>
      </w:r>
    </w:p>
    <w:p w14:paraId="5FA47639" w14:textId="77777777" w:rsidR="00EC1438" w:rsidRPr="009E0FFF" w:rsidRDefault="00EC1438" w:rsidP="00F46AE8">
      <w:pPr>
        <w:pStyle w:val="NoSpacing"/>
        <w:jc w:val="both"/>
        <w:rPr>
          <w:rFonts w:cstheme="minorHAnsi"/>
          <w:sz w:val="24"/>
          <w:szCs w:val="24"/>
        </w:rPr>
      </w:pPr>
    </w:p>
    <w:p w14:paraId="40E98B56" w14:textId="77777777" w:rsidR="009E0FFF" w:rsidRPr="009E0FFF" w:rsidRDefault="009E0FFF" w:rsidP="009E0FFF">
      <w:pPr>
        <w:pStyle w:val="NoSpacing"/>
        <w:jc w:val="both"/>
        <w:rPr>
          <w:rFonts w:cstheme="minorHAnsi"/>
          <w:sz w:val="24"/>
          <w:szCs w:val="24"/>
        </w:rPr>
      </w:pPr>
    </w:p>
    <w:p w14:paraId="43584C96" w14:textId="77777777" w:rsidR="00E53DE5" w:rsidRPr="009E0FFF" w:rsidRDefault="00EC1438" w:rsidP="009E0FFF">
      <w:pPr>
        <w:pStyle w:val="NoSpacing"/>
        <w:jc w:val="both"/>
        <w:rPr>
          <w:rFonts w:cstheme="minorHAnsi"/>
          <w:b/>
          <w:sz w:val="24"/>
          <w:szCs w:val="24"/>
        </w:rPr>
      </w:pPr>
      <w:r w:rsidRPr="009E0FFF">
        <w:rPr>
          <w:rFonts w:cstheme="minorHAnsi"/>
          <w:b/>
          <w:sz w:val="24"/>
          <w:szCs w:val="24"/>
        </w:rPr>
        <w:t>Există vreo legătura î</w:t>
      </w:r>
      <w:r w:rsidR="00152AEC" w:rsidRPr="009E0FFF">
        <w:rPr>
          <w:rFonts w:cstheme="minorHAnsi"/>
          <w:b/>
          <w:sz w:val="24"/>
          <w:szCs w:val="24"/>
        </w:rPr>
        <w:t xml:space="preserve">ntre tehnologia 5G și vaccinurile împotriva COVID-19? </w:t>
      </w:r>
      <w:r w:rsidRPr="009E0FFF">
        <w:rPr>
          <w:rFonts w:cstheme="minorHAnsi"/>
          <w:b/>
          <w:sz w:val="24"/>
          <w:szCs w:val="24"/>
        </w:rPr>
        <w:t>Ambele sunt protejate prin (multe) brevete și în ambele cazuri se poate pune problema evitării monopolului astfel acordat</w:t>
      </w:r>
      <w:r w:rsidR="00795743" w:rsidRPr="009E0FFF">
        <w:rPr>
          <w:rFonts w:cstheme="minorHAnsi"/>
          <w:b/>
          <w:sz w:val="24"/>
          <w:szCs w:val="24"/>
        </w:rPr>
        <w:t xml:space="preserve">. </w:t>
      </w:r>
    </w:p>
    <w:p w14:paraId="2D7EF534" w14:textId="77777777" w:rsidR="00E53DE5" w:rsidRPr="009E0FFF" w:rsidRDefault="00E53DE5" w:rsidP="00E53DE5">
      <w:pPr>
        <w:pStyle w:val="NoSpacing"/>
        <w:jc w:val="both"/>
        <w:rPr>
          <w:rFonts w:cstheme="minorHAnsi"/>
          <w:sz w:val="24"/>
          <w:szCs w:val="24"/>
        </w:rPr>
      </w:pPr>
    </w:p>
    <w:p w14:paraId="7A919624" w14:textId="01ACAF84" w:rsidR="00152AEC" w:rsidRPr="009E0FFF" w:rsidRDefault="00E53DE5" w:rsidP="009E0FFF">
      <w:pPr>
        <w:pStyle w:val="NoSpacing"/>
        <w:jc w:val="both"/>
        <w:rPr>
          <w:rFonts w:cstheme="minorHAnsi"/>
          <w:sz w:val="24"/>
          <w:szCs w:val="24"/>
        </w:rPr>
      </w:pPr>
      <w:r w:rsidRPr="009E0FFF">
        <w:rPr>
          <w:rFonts w:cstheme="minorHAnsi"/>
          <w:sz w:val="24"/>
          <w:szCs w:val="24"/>
        </w:rPr>
        <w:t xml:space="preserve">Brevetele sunt esențiale pentru cercetare, dezvoltare și avans tehnologic. </w:t>
      </w:r>
      <w:r w:rsidR="00655FCF" w:rsidRPr="009E0FFF">
        <w:rPr>
          <w:rFonts w:cstheme="minorHAnsi"/>
          <w:sz w:val="24"/>
          <w:szCs w:val="24"/>
        </w:rPr>
        <w:t xml:space="preserve">Însă, în unele situații, </w:t>
      </w:r>
      <w:r w:rsidRPr="009E0FFF">
        <w:rPr>
          <w:rFonts w:cstheme="minorHAnsi"/>
          <w:sz w:val="24"/>
          <w:szCs w:val="24"/>
        </w:rPr>
        <w:t>ar putea fi nevoie să se deroge de la monopolul pe care</w:t>
      </w:r>
      <w:r w:rsidR="0034580F" w:rsidRPr="009E0FFF">
        <w:rPr>
          <w:rFonts w:cstheme="minorHAnsi"/>
          <w:sz w:val="24"/>
          <w:szCs w:val="24"/>
        </w:rPr>
        <w:t xml:space="preserve"> acestea</w:t>
      </w:r>
      <w:r w:rsidRPr="009E0FFF">
        <w:rPr>
          <w:rFonts w:cstheme="minorHAnsi"/>
          <w:sz w:val="24"/>
          <w:szCs w:val="24"/>
        </w:rPr>
        <w:t xml:space="preserve"> îl acordă. Spre exemplu, un concurent care nu câștigă o licitație pentru implementarea unei rețele 5G ar putea face uz de monopolul său pentru a împiedica realizarea rețelei respective? Dar titularul unui brevet pentru o parte din tehnologia de vaccin COVID ar putea împiedica un stat să realizeze prin mijloace proprii un vaccin care să înglobeze tehnologia respectivă?</w:t>
      </w:r>
      <w:r w:rsidR="00655FCF" w:rsidRPr="009E0FFF">
        <w:rPr>
          <w:rFonts w:cstheme="minorHAnsi"/>
          <w:sz w:val="24"/>
          <w:szCs w:val="24"/>
        </w:rPr>
        <w:t xml:space="preserve"> Există paralele care se pot face între cele două situații dar există și diferențe care, după cum vom vedea, conduc la soluții diferite.</w:t>
      </w:r>
    </w:p>
    <w:p w14:paraId="3E39E381" w14:textId="77777777" w:rsidR="00471522" w:rsidRPr="009E0FFF" w:rsidRDefault="00471522" w:rsidP="00471522">
      <w:pPr>
        <w:pStyle w:val="NoSpacing"/>
        <w:jc w:val="both"/>
        <w:rPr>
          <w:rFonts w:cstheme="minorHAnsi"/>
          <w:sz w:val="24"/>
          <w:szCs w:val="24"/>
        </w:rPr>
      </w:pPr>
    </w:p>
    <w:p w14:paraId="4DD9B297" w14:textId="77777777" w:rsidR="00471522" w:rsidRPr="009E0FFF" w:rsidRDefault="00471522" w:rsidP="00471522">
      <w:pPr>
        <w:pStyle w:val="NoSpacing"/>
        <w:numPr>
          <w:ilvl w:val="0"/>
          <w:numId w:val="5"/>
        </w:numPr>
        <w:jc w:val="both"/>
        <w:rPr>
          <w:rFonts w:cstheme="minorHAnsi"/>
          <w:b/>
          <w:sz w:val="24"/>
          <w:szCs w:val="24"/>
        </w:rPr>
      </w:pPr>
      <w:r w:rsidRPr="009E0FFF">
        <w:rPr>
          <w:rFonts w:cstheme="minorHAnsi"/>
          <w:b/>
          <w:sz w:val="24"/>
          <w:szCs w:val="24"/>
        </w:rPr>
        <w:t>Tehnologia 5G</w:t>
      </w:r>
    </w:p>
    <w:p w14:paraId="33A525D2" w14:textId="77777777" w:rsidR="00795743" w:rsidRPr="009E0FFF" w:rsidRDefault="00795743" w:rsidP="00795743">
      <w:pPr>
        <w:pStyle w:val="NoSpacing"/>
        <w:jc w:val="both"/>
        <w:rPr>
          <w:rFonts w:cstheme="minorHAnsi"/>
          <w:sz w:val="24"/>
          <w:szCs w:val="24"/>
        </w:rPr>
      </w:pPr>
    </w:p>
    <w:p w14:paraId="61A8B065" w14:textId="5631044F" w:rsidR="00CA6B31" w:rsidRPr="009E0FFF" w:rsidRDefault="00EC1438" w:rsidP="009E0FFF">
      <w:pPr>
        <w:pStyle w:val="NoSpacing"/>
        <w:jc w:val="both"/>
        <w:rPr>
          <w:rFonts w:cstheme="minorHAnsi"/>
          <w:sz w:val="24"/>
          <w:szCs w:val="24"/>
        </w:rPr>
      </w:pPr>
      <w:r w:rsidRPr="009E0FFF">
        <w:rPr>
          <w:rFonts w:cstheme="minorHAnsi"/>
          <w:sz w:val="24"/>
          <w:szCs w:val="24"/>
        </w:rPr>
        <w:t>T</w:t>
      </w:r>
      <w:r w:rsidR="00795743" w:rsidRPr="009E0FFF">
        <w:rPr>
          <w:rFonts w:cstheme="minorHAnsi"/>
          <w:sz w:val="24"/>
          <w:szCs w:val="24"/>
        </w:rPr>
        <w:t xml:space="preserve">ehnologia 5G reprezintă viitoarea generație de rețele mobile ce utilizează undele radio pentru a conecta </w:t>
      </w:r>
      <w:r w:rsidR="00655FCF" w:rsidRPr="009E0FFF">
        <w:rPr>
          <w:rFonts w:cstheme="minorHAnsi"/>
          <w:sz w:val="24"/>
          <w:szCs w:val="24"/>
        </w:rPr>
        <w:t xml:space="preserve">și controla </w:t>
      </w:r>
      <w:r w:rsidR="00795743" w:rsidRPr="009E0FFF">
        <w:rPr>
          <w:rFonts w:cstheme="minorHAnsi"/>
          <w:sz w:val="24"/>
          <w:szCs w:val="24"/>
        </w:rPr>
        <w:t>diferite dispozitive</w:t>
      </w:r>
      <w:r w:rsidRPr="009E0FFF">
        <w:rPr>
          <w:rFonts w:cstheme="minorHAnsi"/>
          <w:sz w:val="24"/>
          <w:szCs w:val="24"/>
        </w:rPr>
        <w:t>: de la umilele aparate casnice, la utilajele dintr-o uzină sau un șantier, mașinile care vor circula pe autostrăzi ori semafoarele din orașe</w:t>
      </w:r>
      <w:r w:rsidR="00655FCF" w:rsidRPr="009E0FFF">
        <w:rPr>
          <w:rFonts w:cstheme="minorHAnsi"/>
          <w:sz w:val="24"/>
          <w:szCs w:val="24"/>
        </w:rPr>
        <w:t>,</w:t>
      </w:r>
      <w:r w:rsidRPr="009E0FFF">
        <w:rPr>
          <w:rFonts w:cstheme="minorHAnsi"/>
          <w:sz w:val="24"/>
          <w:szCs w:val="24"/>
        </w:rPr>
        <w:t xml:space="preserve"> </w:t>
      </w:r>
      <w:r w:rsidR="00655FCF" w:rsidRPr="009E0FFF">
        <w:rPr>
          <w:rFonts w:cstheme="minorHAnsi"/>
          <w:sz w:val="24"/>
          <w:szCs w:val="24"/>
        </w:rPr>
        <w:t>senzori aplicați pe corp în vederea detectării rapide a maladiilor și multe altele</w:t>
      </w:r>
      <w:r w:rsidR="00795743" w:rsidRPr="009E0FFF">
        <w:rPr>
          <w:rFonts w:cstheme="minorHAnsi"/>
          <w:sz w:val="24"/>
          <w:szCs w:val="24"/>
        </w:rPr>
        <w:t>.</w:t>
      </w:r>
      <w:r w:rsidRPr="009E0FFF">
        <w:rPr>
          <w:rFonts w:cstheme="minorHAnsi"/>
          <w:sz w:val="24"/>
          <w:szCs w:val="24"/>
        </w:rPr>
        <w:t xml:space="preserve"> Volumul mult mai mare de date ce poate fi transferat printr-o rețea 5G promite să transforme din rădăcini aspectele normalului de azi. În aceste condiții</w:t>
      </w:r>
      <w:r w:rsidR="00302428" w:rsidRPr="009E0FFF">
        <w:rPr>
          <w:rFonts w:cstheme="minorHAnsi"/>
          <w:sz w:val="24"/>
          <w:szCs w:val="24"/>
        </w:rPr>
        <w:t>,</w:t>
      </w:r>
      <w:r w:rsidRPr="009E0FFF">
        <w:rPr>
          <w:rFonts w:cstheme="minorHAnsi"/>
          <w:sz w:val="24"/>
          <w:szCs w:val="24"/>
        </w:rPr>
        <w:t xml:space="preserve"> nu este surprinzător că există o</w:t>
      </w:r>
      <w:r w:rsidR="00795743" w:rsidRPr="009E0FFF">
        <w:rPr>
          <w:rFonts w:cstheme="minorHAnsi"/>
          <w:sz w:val="24"/>
          <w:szCs w:val="24"/>
        </w:rPr>
        <w:t xml:space="preserve"> </w:t>
      </w:r>
      <w:r w:rsidRPr="009E0FFF">
        <w:rPr>
          <w:rFonts w:cstheme="minorHAnsi"/>
          <w:sz w:val="24"/>
          <w:szCs w:val="24"/>
        </w:rPr>
        <w:t>c</w:t>
      </w:r>
      <w:r w:rsidR="00C82193" w:rsidRPr="009E0FFF">
        <w:rPr>
          <w:rFonts w:cstheme="minorHAnsi"/>
          <w:sz w:val="24"/>
          <w:szCs w:val="24"/>
        </w:rPr>
        <w:t>urs</w:t>
      </w:r>
      <w:r w:rsidR="00170ED5" w:rsidRPr="009E0FFF">
        <w:rPr>
          <w:rFonts w:cstheme="minorHAnsi"/>
          <w:sz w:val="24"/>
          <w:szCs w:val="24"/>
        </w:rPr>
        <w:t>ă</w:t>
      </w:r>
      <w:r w:rsidR="00C82193" w:rsidRPr="009E0FFF">
        <w:rPr>
          <w:rFonts w:cstheme="minorHAnsi"/>
          <w:sz w:val="24"/>
          <w:szCs w:val="24"/>
        </w:rPr>
        <w:t xml:space="preserve"> </w:t>
      </w:r>
      <w:r w:rsidR="00170ED5" w:rsidRPr="009E0FFF">
        <w:rPr>
          <w:rFonts w:cstheme="minorHAnsi"/>
          <w:sz w:val="24"/>
          <w:szCs w:val="24"/>
        </w:rPr>
        <w:t xml:space="preserve">în plină desfășurare </w:t>
      </w:r>
      <w:r w:rsidR="00C82193" w:rsidRPr="009E0FFF">
        <w:rPr>
          <w:rFonts w:cstheme="minorHAnsi"/>
          <w:sz w:val="24"/>
          <w:szCs w:val="24"/>
        </w:rPr>
        <w:t xml:space="preserve">pentru brevetele </w:t>
      </w:r>
      <w:r w:rsidR="00795743" w:rsidRPr="009E0FFF">
        <w:rPr>
          <w:rFonts w:cstheme="minorHAnsi"/>
          <w:sz w:val="24"/>
          <w:szCs w:val="24"/>
        </w:rPr>
        <w:t>ce vizează</w:t>
      </w:r>
      <w:r w:rsidR="00170ED5" w:rsidRPr="009E0FFF">
        <w:rPr>
          <w:rFonts w:cstheme="minorHAnsi"/>
          <w:sz w:val="24"/>
          <w:szCs w:val="24"/>
        </w:rPr>
        <w:t xml:space="preserve"> tehnologia 5G</w:t>
      </w:r>
      <w:r w:rsidR="00C82193" w:rsidRPr="009E0FFF">
        <w:rPr>
          <w:rFonts w:cstheme="minorHAnsi"/>
          <w:sz w:val="24"/>
          <w:szCs w:val="24"/>
        </w:rPr>
        <w:t xml:space="preserve">, iar cifrele sunt cel puțin surprinzătoare. </w:t>
      </w:r>
    </w:p>
    <w:p w14:paraId="1F83FAFE" w14:textId="77777777" w:rsidR="00C82193" w:rsidRPr="009E0FFF" w:rsidRDefault="00C82193" w:rsidP="00C82193">
      <w:pPr>
        <w:pStyle w:val="NoSpacing"/>
        <w:jc w:val="both"/>
        <w:rPr>
          <w:rFonts w:cstheme="minorHAnsi"/>
          <w:sz w:val="24"/>
          <w:szCs w:val="24"/>
        </w:rPr>
      </w:pPr>
    </w:p>
    <w:p w14:paraId="2540B61F" w14:textId="0F7DA458" w:rsidR="00CA6B31" w:rsidRPr="009E0FFF" w:rsidRDefault="00C82193" w:rsidP="009E0FFF">
      <w:pPr>
        <w:pStyle w:val="NoSpacing"/>
        <w:jc w:val="both"/>
        <w:rPr>
          <w:rFonts w:cstheme="minorHAnsi"/>
          <w:sz w:val="24"/>
          <w:szCs w:val="24"/>
        </w:rPr>
      </w:pPr>
      <w:r w:rsidRPr="009E0FFF">
        <w:rPr>
          <w:rFonts w:cstheme="minorHAnsi"/>
          <w:sz w:val="24"/>
          <w:szCs w:val="24"/>
        </w:rPr>
        <w:t xml:space="preserve">Conform unui studiu efectuat în luna aprilie 2021 de </w:t>
      </w:r>
      <w:proofErr w:type="spellStart"/>
      <w:r w:rsidRPr="009E0FFF">
        <w:rPr>
          <w:rFonts w:cstheme="minorHAnsi"/>
          <w:sz w:val="24"/>
          <w:szCs w:val="24"/>
        </w:rPr>
        <w:t>IPlytics</w:t>
      </w:r>
      <w:proofErr w:type="spellEnd"/>
      <w:r w:rsidR="00606E38" w:rsidRPr="009E0FFF">
        <w:rPr>
          <w:rStyle w:val="FootnoteReference"/>
          <w:rFonts w:cstheme="minorHAnsi"/>
          <w:sz w:val="24"/>
          <w:szCs w:val="24"/>
        </w:rPr>
        <w:footnoteReference w:id="1"/>
      </w:r>
      <w:r w:rsidRPr="009E0FFF">
        <w:rPr>
          <w:rFonts w:cstheme="minorHAnsi"/>
          <w:sz w:val="24"/>
          <w:szCs w:val="24"/>
        </w:rPr>
        <w:t>, pe baza datelor înregistrate la</w:t>
      </w:r>
      <w:r w:rsidR="007F35D1" w:rsidRPr="009E0FFF">
        <w:rPr>
          <w:rFonts w:cstheme="minorHAnsi"/>
          <w:sz w:val="24"/>
          <w:szCs w:val="24"/>
        </w:rPr>
        <w:t xml:space="preserve"> </w:t>
      </w:r>
      <w:r w:rsidRPr="009E0FFF">
        <w:rPr>
          <w:rFonts w:cstheme="minorHAnsi"/>
          <w:sz w:val="24"/>
          <w:szCs w:val="24"/>
        </w:rPr>
        <w:t xml:space="preserve">Institutul European de </w:t>
      </w:r>
      <w:r w:rsidR="00795743" w:rsidRPr="009E0FFF">
        <w:rPr>
          <w:rFonts w:cstheme="minorHAnsi"/>
          <w:sz w:val="24"/>
          <w:szCs w:val="24"/>
        </w:rPr>
        <w:t>S</w:t>
      </w:r>
      <w:r w:rsidRPr="009E0FFF">
        <w:rPr>
          <w:rFonts w:cstheme="minorHAnsi"/>
          <w:sz w:val="24"/>
          <w:szCs w:val="24"/>
        </w:rPr>
        <w:t>tandardizare</w:t>
      </w:r>
      <w:r w:rsidR="00795743" w:rsidRPr="009E0FFF">
        <w:rPr>
          <w:rFonts w:cstheme="minorHAnsi"/>
          <w:sz w:val="24"/>
          <w:szCs w:val="24"/>
        </w:rPr>
        <w:t xml:space="preserve"> în domeniul T</w:t>
      </w:r>
      <w:r w:rsidRPr="009E0FFF">
        <w:rPr>
          <w:rFonts w:cstheme="minorHAnsi"/>
          <w:sz w:val="24"/>
          <w:szCs w:val="24"/>
        </w:rPr>
        <w:t>elecomunicațiilor</w:t>
      </w:r>
      <w:r w:rsidR="007F35D1" w:rsidRPr="009E0FFF">
        <w:rPr>
          <w:rFonts w:cstheme="minorHAnsi"/>
          <w:sz w:val="24"/>
          <w:szCs w:val="24"/>
        </w:rPr>
        <w:t xml:space="preserve"> (IETS)</w:t>
      </w:r>
      <w:r w:rsidRPr="009E0FFF">
        <w:rPr>
          <w:rFonts w:cstheme="minorHAnsi"/>
          <w:sz w:val="24"/>
          <w:szCs w:val="24"/>
        </w:rPr>
        <w:t xml:space="preserve"> până la </w:t>
      </w:r>
      <w:r w:rsidR="007F35D1" w:rsidRPr="009E0FFF">
        <w:rPr>
          <w:rFonts w:cstheme="minorHAnsi"/>
          <w:sz w:val="24"/>
          <w:szCs w:val="24"/>
        </w:rPr>
        <w:t xml:space="preserve">data de 1 februarie 2021, </w:t>
      </w:r>
      <w:proofErr w:type="spellStart"/>
      <w:r w:rsidR="007F35D1" w:rsidRPr="009E0FFF">
        <w:rPr>
          <w:rFonts w:cstheme="minorHAnsi"/>
          <w:sz w:val="24"/>
          <w:szCs w:val="24"/>
        </w:rPr>
        <w:t>Huawei</w:t>
      </w:r>
      <w:proofErr w:type="spellEnd"/>
      <w:r w:rsidR="007F35D1" w:rsidRPr="009E0FFF">
        <w:rPr>
          <w:rFonts w:cstheme="minorHAnsi"/>
          <w:sz w:val="24"/>
          <w:szCs w:val="24"/>
        </w:rPr>
        <w:t xml:space="preserve"> deține</w:t>
      </w:r>
      <w:r w:rsidRPr="009E0FFF">
        <w:rPr>
          <w:rFonts w:cstheme="minorHAnsi"/>
          <w:sz w:val="24"/>
          <w:szCs w:val="24"/>
        </w:rPr>
        <w:t xml:space="preserve"> 15,39% din t</w:t>
      </w:r>
      <w:r w:rsidR="00941C4A" w:rsidRPr="009E0FFF">
        <w:rPr>
          <w:rFonts w:cstheme="minorHAnsi"/>
          <w:sz w:val="24"/>
          <w:szCs w:val="24"/>
        </w:rPr>
        <w:t xml:space="preserve">otalul familiilor de brevete 5G, cuprinzând atât brevetele acordate, cât și cererile de brevete în curs de examinare la oficiile de brevete din întreaga lume. </w:t>
      </w:r>
      <w:proofErr w:type="spellStart"/>
      <w:r w:rsidR="00941C4A" w:rsidRPr="009E0FFF">
        <w:rPr>
          <w:rFonts w:cstheme="minorHAnsi"/>
          <w:sz w:val="24"/>
          <w:szCs w:val="24"/>
        </w:rPr>
        <w:t>Huawei</w:t>
      </w:r>
      <w:proofErr w:type="spellEnd"/>
      <w:r w:rsidR="00941C4A" w:rsidRPr="009E0FFF">
        <w:rPr>
          <w:rFonts w:cstheme="minorHAnsi"/>
          <w:sz w:val="24"/>
          <w:szCs w:val="24"/>
        </w:rPr>
        <w:t xml:space="preserve"> este urmat de </w:t>
      </w:r>
      <w:proofErr w:type="spellStart"/>
      <w:r w:rsidR="00941C4A" w:rsidRPr="009E0FFF">
        <w:rPr>
          <w:rFonts w:cstheme="minorHAnsi"/>
          <w:sz w:val="24"/>
          <w:szCs w:val="24"/>
        </w:rPr>
        <w:t>Qualcomm</w:t>
      </w:r>
      <w:proofErr w:type="spellEnd"/>
      <w:r w:rsidR="00941C4A" w:rsidRPr="009E0FFF">
        <w:rPr>
          <w:rFonts w:cstheme="minorHAnsi"/>
          <w:sz w:val="24"/>
          <w:szCs w:val="24"/>
        </w:rPr>
        <w:t xml:space="preserve"> cu 11,24%</w:t>
      </w:r>
      <w:r w:rsidR="00795743" w:rsidRPr="009E0FFF">
        <w:rPr>
          <w:rFonts w:cstheme="minorHAnsi"/>
          <w:sz w:val="24"/>
          <w:szCs w:val="24"/>
        </w:rPr>
        <w:t xml:space="preserve"> din total</w:t>
      </w:r>
      <w:r w:rsidR="00941C4A" w:rsidRPr="009E0FFF">
        <w:rPr>
          <w:rFonts w:cstheme="minorHAnsi"/>
          <w:sz w:val="24"/>
          <w:szCs w:val="24"/>
        </w:rPr>
        <w:t xml:space="preserve"> și de către ZTE cu 9,81%. </w:t>
      </w:r>
      <w:r w:rsidR="007F35D1" w:rsidRPr="009E0FFF">
        <w:rPr>
          <w:rFonts w:cstheme="minorHAnsi"/>
          <w:sz w:val="24"/>
          <w:szCs w:val="24"/>
        </w:rPr>
        <w:t xml:space="preserve">În ceea ce privește familiile de brevete 5G acordate și actualmente active, tot </w:t>
      </w:r>
      <w:proofErr w:type="spellStart"/>
      <w:r w:rsidR="007F35D1" w:rsidRPr="009E0FFF">
        <w:rPr>
          <w:rFonts w:cstheme="minorHAnsi"/>
          <w:sz w:val="24"/>
          <w:szCs w:val="24"/>
        </w:rPr>
        <w:t>Huawei</w:t>
      </w:r>
      <w:proofErr w:type="spellEnd"/>
      <w:r w:rsidR="007F35D1" w:rsidRPr="009E0FFF">
        <w:rPr>
          <w:rFonts w:cstheme="minorHAnsi"/>
          <w:sz w:val="24"/>
          <w:szCs w:val="24"/>
        </w:rPr>
        <w:t xml:space="preserve"> este compania situată în vârful clasamentului, cu 15,38% din totalul acestor familii de brevete, urmat</w:t>
      </w:r>
      <w:r w:rsidR="00B80992" w:rsidRPr="009E0FFF">
        <w:rPr>
          <w:rFonts w:cstheme="minorHAnsi"/>
          <w:sz w:val="24"/>
          <w:szCs w:val="24"/>
        </w:rPr>
        <w:t>ă</w:t>
      </w:r>
      <w:r w:rsidR="007F35D1" w:rsidRPr="009E0FFF">
        <w:rPr>
          <w:rFonts w:cstheme="minorHAnsi"/>
          <w:sz w:val="24"/>
          <w:szCs w:val="24"/>
        </w:rPr>
        <w:t xml:space="preserve"> de această dată de către Samsung, cu 13,28% și de către Nokia, cu 13,23%. Raportul estimează că primele 10 companii ce activează în această piață dețin 80% din totalul familiilor de brevete 5G acordate, în timp ce primele 20 de companii ajung să dețină cumulat 93% din totalul familiilor de brevete 5G acordate. </w:t>
      </w:r>
    </w:p>
    <w:p w14:paraId="3E97808E" w14:textId="77777777" w:rsidR="00C725C4" w:rsidRPr="009E0FFF" w:rsidRDefault="00C725C4" w:rsidP="00C725C4">
      <w:pPr>
        <w:pStyle w:val="NoSpacing"/>
        <w:jc w:val="both"/>
        <w:rPr>
          <w:rFonts w:cstheme="minorHAnsi"/>
          <w:sz w:val="24"/>
          <w:szCs w:val="24"/>
        </w:rPr>
      </w:pPr>
    </w:p>
    <w:p w14:paraId="552B9164" w14:textId="763FC5F1" w:rsidR="00170ED5" w:rsidRPr="009E0FFF" w:rsidRDefault="00C725C4" w:rsidP="009E0FFF">
      <w:pPr>
        <w:pStyle w:val="NoSpacing"/>
        <w:jc w:val="both"/>
        <w:rPr>
          <w:rFonts w:cstheme="minorHAnsi"/>
          <w:sz w:val="24"/>
          <w:szCs w:val="24"/>
        </w:rPr>
      </w:pPr>
      <w:r w:rsidRPr="009E0FFF">
        <w:rPr>
          <w:rFonts w:cstheme="minorHAnsi"/>
          <w:sz w:val="24"/>
          <w:szCs w:val="24"/>
        </w:rPr>
        <w:t xml:space="preserve">Cu toate acestea, </w:t>
      </w:r>
      <w:r w:rsidR="00170ED5" w:rsidRPr="009E0FFF">
        <w:rPr>
          <w:rFonts w:cstheme="minorHAnsi"/>
          <w:sz w:val="24"/>
          <w:szCs w:val="24"/>
        </w:rPr>
        <w:t xml:space="preserve">nu toate brevetele sau familiile de brevete menționate anterior sunt la fel de importante. Unele din aceste brevete (între 20% și 30% conform unor estimări) sunt </w:t>
      </w:r>
      <w:r w:rsidRPr="009E0FFF">
        <w:rPr>
          <w:rFonts w:cstheme="minorHAnsi"/>
          <w:sz w:val="24"/>
          <w:szCs w:val="24"/>
        </w:rPr>
        <w:t>esențiale pentru un standard</w:t>
      </w:r>
      <w:r w:rsidR="00170ED5" w:rsidRPr="009E0FFF">
        <w:rPr>
          <w:rFonts w:cstheme="minorHAnsi"/>
          <w:sz w:val="24"/>
          <w:szCs w:val="24"/>
        </w:rPr>
        <w:t xml:space="preserve"> de comunicare implementat deja în tehnologia 5G</w:t>
      </w:r>
      <w:r w:rsidRPr="009E0FFF">
        <w:rPr>
          <w:rFonts w:cstheme="minorHAnsi"/>
          <w:sz w:val="24"/>
          <w:szCs w:val="24"/>
        </w:rPr>
        <w:t>.</w:t>
      </w:r>
      <w:r w:rsidR="00170ED5" w:rsidRPr="009E0FFF">
        <w:rPr>
          <w:rFonts w:cstheme="minorHAnsi"/>
          <w:sz w:val="24"/>
          <w:szCs w:val="24"/>
        </w:rPr>
        <w:t xml:space="preserve"> </w:t>
      </w:r>
      <w:r w:rsidR="00606E38" w:rsidRPr="009E0FFF">
        <w:rPr>
          <w:rFonts w:cstheme="minorHAnsi"/>
          <w:b/>
          <w:sz w:val="24"/>
          <w:szCs w:val="24"/>
        </w:rPr>
        <w:t>Cum funcționează brevetele esențiale pentru un standard</w:t>
      </w:r>
      <w:r w:rsidR="00606E38" w:rsidRPr="009E0FFF">
        <w:rPr>
          <w:rFonts w:cstheme="minorHAnsi"/>
          <w:sz w:val="24"/>
          <w:szCs w:val="24"/>
        </w:rPr>
        <w:t>?</w:t>
      </w:r>
      <w:r w:rsidR="00EE40C2" w:rsidRPr="009E0FFF">
        <w:rPr>
          <w:rFonts w:cstheme="minorHAnsi"/>
          <w:sz w:val="24"/>
          <w:szCs w:val="24"/>
        </w:rPr>
        <w:t xml:space="preserve"> Membrii industriei </w:t>
      </w:r>
      <w:r w:rsidR="00170ED5" w:rsidRPr="009E0FFF">
        <w:rPr>
          <w:rFonts w:cstheme="minorHAnsi"/>
          <w:sz w:val="24"/>
          <w:szCs w:val="24"/>
        </w:rPr>
        <w:t>– adică repreze</w:t>
      </w:r>
      <w:r w:rsidR="0034580F" w:rsidRPr="009E0FFF">
        <w:rPr>
          <w:rFonts w:cstheme="minorHAnsi"/>
          <w:sz w:val="24"/>
          <w:szCs w:val="24"/>
        </w:rPr>
        <w:t xml:space="preserve">ntanții firmelor din industrie - </w:t>
      </w:r>
      <w:r w:rsidR="00C6361C" w:rsidRPr="009E0FFF">
        <w:rPr>
          <w:rFonts w:cstheme="minorHAnsi"/>
          <w:sz w:val="24"/>
          <w:szCs w:val="24"/>
        </w:rPr>
        <w:t xml:space="preserve">spre exemplu </w:t>
      </w:r>
      <w:proofErr w:type="spellStart"/>
      <w:r w:rsidR="00170ED5" w:rsidRPr="009E0FFF">
        <w:rPr>
          <w:rFonts w:cstheme="minorHAnsi"/>
          <w:sz w:val="24"/>
          <w:szCs w:val="24"/>
        </w:rPr>
        <w:t>Huawei</w:t>
      </w:r>
      <w:proofErr w:type="spellEnd"/>
      <w:r w:rsidR="00170ED5" w:rsidRPr="009E0FFF">
        <w:rPr>
          <w:rFonts w:cstheme="minorHAnsi"/>
          <w:sz w:val="24"/>
          <w:szCs w:val="24"/>
        </w:rPr>
        <w:t xml:space="preserve">, </w:t>
      </w:r>
      <w:proofErr w:type="spellStart"/>
      <w:r w:rsidR="00170ED5" w:rsidRPr="009E0FFF">
        <w:rPr>
          <w:rFonts w:cstheme="minorHAnsi"/>
          <w:sz w:val="24"/>
          <w:szCs w:val="24"/>
        </w:rPr>
        <w:t>Qualcomm</w:t>
      </w:r>
      <w:proofErr w:type="spellEnd"/>
      <w:r w:rsidR="00170ED5" w:rsidRPr="009E0FFF">
        <w:rPr>
          <w:rFonts w:cstheme="minorHAnsi"/>
          <w:sz w:val="24"/>
          <w:szCs w:val="24"/>
        </w:rPr>
        <w:t>,</w:t>
      </w:r>
      <w:r w:rsidR="0034580F" w:rsidRPr="009E0FFF">
        <w:rPr>
          <w:rFonts w:cstheme="minorHAnsi"/>
          <w:sz w:val="24"/>
          <w:szCs w:val="24"/>
        </w:rPr>
        <w:t xml:space="preserve"> Sony, Ericsson, Nokia, Samsung</w:t>
      </w:r>
      <w:r w:rsidR="00170ED5" w:rsidRPr="009E0FFF">
        <w:rPr>
          <w:rFonts w:cstheme="minorHAnsi"/>
          <w:sz w:val="24"/>
          <w:szCs w:val="24"/>
        </w:rPr>
        <w:t xml:space="preserve"> etc. - </w:t>
      </w:r>
      <w:r w:rsidR="00EE40C2" w:rsidRPr="009E0FFF">
        <w:rPr>
          <w:rFonts w:cstheme="minorHAnsi"/>
          <w:sz w:val="24"/>
          <w:szCs w:val="24"/>
        </w:rPr>
        <w:t xml:space="preserve">conlucrează </w:t>
      </w:r>
      <w:r w:rsidR="00170ED5" w:rsidRPr="009E0FFF">
        <w:rPr>
          <w:rFonts w:cstheme="minorHAnsi"/>
          <w:sz w:val="24"/>
          <w:szCs w:val="24"/>
        </w:rPr>
        <w:t>î</w:t>
      </w:r>
      <w:r w:rsidR="00EE40C2" w:rsidRPr="009E0FFF">
        <w:rPr>
          <w:rFonts w:cstheme="minorHAnsi"/>
          <w:sz w:val="24"/>
          <w:szCs w:val="24"/>
        </w:rPr>
        <w:t>n</w:t>
      </w:r>
      <w:r w:rsidR="00170ED5" w:rsidRPr="009E0FFF">
        <w:rPr>
          <w:rFonts w:cstheme="minorHAnsi"/>
          <w:sz w:val="24"/>
          <w:szCs w:val="24"/>
        </w:rPr>
        <w:t xml:space="preserve"> cadrul unor</w:t>
      </w:r>
      <w:r w:rsidR="00EE40C2" w:rsidRPr="009E0FFF">
        <w:rPr>
          <w:rFonts w:cstheme="minorHAnsi"/>
          <w:sz w:val="24"/>
          <w:szCs w:val="24"/>
        </w:rPr>
        <w:t xml:space="preserve"> </w:t>
      </w:r>
      <w:r w:rsidR="00EE40C2" w:rsidRPr="009E0FFF">
        <w:rPr>
          <w:rFonts w:cstheme="minorHAnsi"/>
          <w:b/>
          <w:sz w:val="24"/>
          <w:szCs w:val="24"/>
        </w:rPr>
        <w:t>organizații de stabilire a standardelor</w:t>
      </w:r>
      <w:r w:rsidR="00EE40C2" w:rsidRPr="009E0FFF">
        <w:rPr>
          <w:rFonts w:cstheme="minorHAnsi"/>
          <w:sz w:val="24"/>
          <w:szCs w:val="24"/>
        </w:rPr>
        <w:t xml:space="preserve"> (SSO), în scopul de a </w:t>
      </w:r>
      <w:r w:rsidR="00170ED5" w:rsidRPr="009E0FFF">
        <w:rPr>
          <w:rFonts w:cstheme="minorHAnsi"/>
          <w:sz w:val="24"/>
          <w:szCs w:val="24"/>
        </w:rPr>
        <w:t>adopta cele mai bune soluții tehnice sub formă de</w:t>
      </w:r>
      <w:r w:rsidR="00EE40C2" w:rsidRPr="009E0FFF">
        <w:rPr>
          <w:rFonts w:cstheme="minorHAnsi"/>
          <w:sz w:val="24"/>
          <w:szCs w:val="24"/>
        </w:rPr>
        <w:t xml:space="preserve"> standarde tehnologice. Pe plan european, </w:t>
      </w:r>
      <w:r w:rsidR="00170ED5" w:rsidRPr="009E0FFF">
        <w:rPr>
          <w:rFonts w:cstheme="minorHAnsi"/>
          <w:sz w:val="24"/>
          <w:szCs w:val="24"/>
        </w:rPr>
        <w:t xml:space="preserve">organismul care acționează în sectorul telecomunicațiilor din UE și </w:t>
      </w:r>
      <w:r w:rsidR="00170ED5" w:rsidRPr="009E0FFF">
        <w:rPr>
          <w:rFonts w:cstheme="minorHAnsi"/>
          <w:sz w:val="24"/>
          <w:szCs w:val="24"/>
        </w:rPr>
        <w:lastRenderedPageBreak/>
        <w:t xml:space="preserve">permite membrilor industriei să includă tehnologia lor brevetată în cadrul unui standard este </w:t>
      </w:r>
      <w:r w:rsidR="00EE40C2" w:rsidRPr="009E0FFF">
        <w:rPr>
          <w:rFonts w:cstheme="minorHAnsi"/>
          <w:sz w:val="24"/>
          <w:szCs w:val="24"/>
        </w:rPr>
        <w:t>IETS</w:t>
      </w:r>
      <w:r w:rsidR="00170ED5" w:rsidRPr="009E0FFF">
        <w:rPr>
          <w:rFonts w:cstheme="minorHAnsi"/>
          <w:sz w:val="24"/>
          <w:szCs w:val="24"/>
        </w:rPr>
        <w:t>. Marea majoritate a SSO, inclusiv IETS, acceptă participarea firmelor la activitatea de standardizare</w:t>
      </w:r>
      <w:r w:rsidR="009E1784" w:rsidRPr="009E0FFF">
        <w:rPr>
          <w:rFonts w:cstheme="minorHAnsi"/>
          <w:sz w:val="24"/>
          <w:szCs w:val="24"/>
        </w:rPr>
        <w:t xml:space="preserve"> sub condiția angajamentului irevocabil de a fi dispuși să acorde </w:t>
      </w:r>
      <w:r w:rsidR="009E1784" w:rsidRPr="009E0FFF">
        <w:rPr>
          <w:rFonts w:cstheme="minorHAnsi"/>
          <w:b/>
          <w:sz w:val="24"/>
          <w:szCs w:val="24"/>
        </w:rPr>
        <w:t>licențe pentru această tehnologie brevetată în condiții echitabile, rezonabile și nediscriminatorii (licențe în condiții FRAND</w:t>
      </w:r>
      <w:r w:rsidR="00170ED5" w:rsidRPr="009E0FFF">
        <w:rPr>
          <w:rFonts w:cstheme="minorHAnsi"/>
          <w:b/>
          <w:sz w:val="24"/>
          <w:szCs w:val="24"/>
        </w:rPr>
        <w:t xml:space="preserve"> – fair, </w:t>
      </w:r>
      <w:proofErr w:type="spellStart"/>
      <w:r w:rsidR="00170ED5" w:rsidRPr="009E0FFF">
        <w:rPr>
          <w:rFonts w:cstheme="minorHAnsi"/>
          <w:b/>
          <w:sz w:val="24"/>
          <w:szCs w:val="24"/>
        </w:rPr>
        <w:t>reasonable</w:t>
      </w:r>
      <w:proofErr w:type="spellEnd"/>
      <w:r w:rsidR="00170ED5" w:rsidRPr="009E0FFF">
        <w:rPr>
          <w:rFonts w:cstheme="minorHAnsi"/>
          <w:b/>
          <w:sz w:val="24"/>
          <w:szCs w:val="24"/>
        </w:rPr>
        <w:t xml:space="preserve"> </w:t>
      </w:r>
      <w:proofErr w:type="spellStart"/>
      <w:r w:rsidR="00170ED5" w:rsidRPr="009E0FFF">
        <w:rPr>
          <w:rFonts w:cstheme="minorHAnsi"/>
          <w:b/>
          <w:sz w:val="24"/>
          <w:szCs w:val="24"/>
        </w:rPr>
        <w:t>and</w:t>
      </w:r>
      <w:proofErr w:type="spellEnd"/>
      <w:r w:rsidR="00170ED5" w:rsidRPr="009E0FFF">
        <w:rPr>
          <w:rFonts w:cstheme="minorHAnsi"/>
          <w:b/>
          <w:sz w:val="24"/>
          <w:szCs w:val="24"/>
        </w:rPr>
        <w:t xml:space="preserve"> non-</w:t>
      </w:r>
      <w:proofErr w:type="spellStart"/>
      <w:r w:rsidR="00170ED5" w:rsidRPr="009E0FFF">
        <w:rPr>
          <w:rFonts w:cstheme="minorHAnsi"/>
          <w:b/>
          <w:sz w:val="24"/>
          <w:szCs w:val="24"/>
        </w:rPr>
        <w:t>discriminatory</w:t>
      </w:r>
      <w:proofErr w:type="spellEnd"/>
      <w:r w:rsidR="009E1784" w:rsidRPr="009E0FFF">
        <w:rPr>
          <w:rFonts w:cstheme="minorHAnsi"/>
          <w:b/>
          <w:sz w:val="24"/>
          <w:szCs w:val="24"/>
        </w:rPr>
        <w:t>).</w:t>
      </w:r>
      <w:r w:rsidR="009E1784" w:rsidRPr="009E0FFF">
        <w:rPr>
          <w:rFonts w:cstheme="minorHAnsi"/>
          <w:sz w:val="24"/>
          <w:szCs w:val="24"/>
        </w:rPr>
        <w:t xml:space="preserve"> </w:t>
      </w:r>
      <w:r w:rsidR="00170ED5" w:rsidRPr="009E0FFF">
        <w:rPr>
          <w:rFonts w:cstheme="minorHAnsi"/>
          <w:sz w:val="24"/>
          <w:szCs w:val="24"/>
        </w:rPr>
        <w:t xml:space="preserve">Altfel spus, toți participanții la activitatea de stabilire a standardelor au obligația de a se declara dispuși să acorde licențe oricui ar fi interesant să folosească standardul în care este încorporat brevetul în condiții FRAND. </w:t>
      </w:r>
    </w:p>
    <w:p w14:paraId="03757FF3" w14:textId="77777777" w:rsidR="00170ED5" w:rsidRPr="009E0FFF" w:rsidRDefault="00170ED5" w:rsidP="00170ED5">
      <w:pPr>
        <w:pStyle w:val="NoSpacing"/>
        <w:jc w:val="both"/>
        <w:rPr>
          <w:rFonts w:cstheme="minorHAnsi"/>
          <w:sz w:val="24"/>
          <w:szCs w:val="24"/>
        </w:rPr>
      </w:pPr>
    </w:p>
    <w:p w14:paraId="4DBA3FDA" w14:textId="53D63C19" w:rsidR="009E1784" w:rsidRPr="009E0FFF" w:rsidRDefault="00170ED5" w:rsidP="009E0FFF">
      <w:pPr>
        <w:pStyle w:val="NoSpacing"/>
        <w:jc w:val="both"/>
        <w:rPr>
          <w:rFonts w:cstheme="minorHAnsi"/>
          <w:sz w:val="24"/>
          <w:szCs w:val="24"/>
        </w:rPr>
      </w:pPr>
      <w:r w:rsidRPr="009E0FFF">
        <w:rPr>
          <w:rFonts w:cstheme="minorHAnsi"/>
          <w:sz w:val="24"/>
          <w:szCs w:val="24"/>
        </w:rPr>
        <w:t xml:space="preserve">Aceste declarații sunt esențiale pentru a </w:t>
      </w:r>
      <w:r w:rsidRPr="009E0FFF">
        <w:rPr>
          <w:rFonts w:cstheme="minorHAnsi"/>
          <w:b/>
          <w:sz w:val="24"/>
          <w:szCs w:val="24"/>
        </w:rPr>
        <w:t>permite coexistența și eficiența a două  sisteme aparent ireconciliabile</w:t>
      </w:r>
      <w:r w:rsidRPr="009E0FFF">
        <w:rPr>
          <w:rFonts w:cstheme="minorHAnsi"/>
          <w:sz w:val="24"/>
          <w:szCs w:val="24"/>
        </w:rPr>
        <w:t xml:space="preserve">: </w:t>
      </w:r>
      <w:r w:rsidR="00EA68FD" w:rsidRPr="009E0FFF">
        <w:rPr>
          <w:rFonts w:cstheme="minorHAnsi"/>
          <w:sz w:val="24"/>
          <w:szCs w:val="24"/>
        </w:rPr>
        <w:t xml:space="preserve">pe de o parte </w:t>
      </w:r>
      <w:r w:rsidRPr="009E0FFF">
        <w:rPr>
          <w:rFonts w:cstheme="minorHAnsi"/>
          <w:sz w:val="24"/>
          <w:szCs w:val="24"/>
        </w:rPr>
        <w:t>monopolul dat de brevet</w:t>
      </w:r>
      <w:r w:rsidR="00EA68FD" w:rsidRPr="009E0FFF">
        <w:rPr>
          <w:rFonts w:cstheme="minorHAnsi"/>
          <w:sz w:val="24"/>
          <w:szCs w:val="24"/>
        </w:rPr>
        <w:t xml:space="preserve"> </w:t>
      </w:r>
      <w:r w:rsidRPr="009E0FFF">
        <w:rPr>
          <w:rFonts w:cstheme="minorHAnsi"/>
          <w:sz w:val="24"/>
          <w:szCs w:val="24"/>
        </w:rPr>
        <w:t>și</w:t>
      </w:r>
      <w:r w:rsidR="00EA68FD" w:rsidRPr="009E0FFF">
        <w:rPr>
          <w:rFonts w:cstheme="minorHAnsi"/>
          <w:sz w:val="24"/>
          <w:szCs w:val="24"/>
        </w:rPr>
        <w:t>, pe de altă parte,</w:t>
      </w:r>
      <w:r w:rsidRPr="009E0FFF">
        <w:rPr>
          <w:rFonts w:cstheme="minorHAnsi"/>
          <w:sz w:val="24"/>
          <w:szCs w:val="24"/>
        </w:rPr>
        <w:t xml:space="preserve"> interesul public de a asigura standardizarea (și </w:t>
      </w:r>
      <w:r w:rsidR="00EA68FD" w:rsidRPr="009E0FFF">
        <w:rPr>
          <w:rFonts w:cstheme="minorHAnsi"/>
          <w:sz w:val="24"/>
          <w:szCs w:val="24"/>
        </w:rPr>
        <w:t>creșterile</w:t>
      </w:r>
      <w:r w:rsidRPr="009E0FFF">
        <w:rPr>
          <w:rFonts w:cstheme="minorHAnsi"/>
          <w:sz w:val="24"/>
          <w:szCs w:val="24"/>
        </w:rPr>
        <w:t xml:space="preserve"> enorme de eficiență rezultate</w:t>
      </w:r>
      <w:r w:rsidR="00EA68FD" w:rsidRPr="009E0FFF">
        <w:rPr>
          <w:rFonts w:cstheme="minorHAnsi"/>
          <w:sz w:val="24"/>
          <w:szCs w:val="24"/>
        </w:rPr>
        <w:t xml:space="preserve"> din standardizare</w:t>
      </w:r>
      <w:r w:rsidRPr="009E0FFF">
        <w:rPr>
          <w:rFonts w:cstheme="minorHAnsi"/>
          <w:sz w:val="24"/>
          <w:szCs w:val="24"/>
        </w:rPr>
        <w:t>)</w:t>
      </w:r>
      <w:r w:rsidR="00EA68FD" w:rsidRPr="009E0FFF">
        <w:rPr>
          <w:rFonts w:cstheme="minorHAnsi"/>
          <w:sz w:val="24"/>
          <w:szCs w:val="24"/>
        </w:rPr>
        <w:t xml:space="preserve">. Cum arată chiar Curtea de </w:t>
      </w:r>
      <w:r w:rsidR="00530AB0" w:rsidRPr="009E0FFF">
        <w:rPr>
          <w:rFonts w:cstheme="minorHAnsi"/>
          <w:sz w:val="24"/>
          <w:szCs w:val="24"/>
        </w:rPr>
        <w:t>J</w:t>
      </w:r>
      <w:r w:rsidR="00EA68FD" w:rsidRPr="009E0FFF">
        <w:rPr>
          <w:rFonts w:cstheme="minorHAnsi"/>
          <w:sz w:val="24"/>
          <w:szCs w:val="24"/>
        </w:rPr>
        <w:t xml:space="preserve">ustiție a UE, </w:t>
      </w:r>
      <w:r w:rsidR="009E1784" w:rsidRPr="009E0FFF">
        <w:rPr>
          <w:rFonts w:cstheme="minorHAnsi"/>
          <w:sz w:val="24"/>
          <w:szCs w:val="24"/>
        </w:rPr>
        <w:t>„</w:t>
      </w:r>
      <w:r w:rsidR="009E1784" w:rsidRPr="009E0FFF">
        <w:rPr>
          <w:rFonts w:cstheme="minorHAnsi"/>
          <w:i/>
          <w:sz w:val="24"/>
          <w:szCs w:val="24"/>
        </w:rPr>
        <w:t xml:space="preserve">exploatarea </w:t>
      </w:r>
      <w:r w:rsidR="00EA68FD" w:rsidRPr="009E0FFF">
        <w:rPr>
          <w:rFonts w:cstheme="minorHAnsi"/>
          <w:i/>
          <w:sz w:val="24"/>
          <w:szCs w:val="24"/>
        </w:rPr>
        <w:t>standardului</w:t>
      </w:r>
      <w:r w:rsidR="009E1784" w:rsidRPr="009E0FFF">
        <w:rPr>
          <w:rFonts w:cstheme="minorHAnsi"/>
          <w:i/>
          <w:sz w:val="24"/>
          <w:szCs w:val="24"/>
        </w:rPr>
        <w:t xml:space="preserve"> este indispensabilă oricărui concurent care are în vedere să fabrice produse conforme cu standardul </w:t>
      </w:r>
      <w:r w:rsidR="00BF1598" w:rsidRPr="009E0FFF">
        <w:rPr>
          <w:rFonts w:cstheme="minorHAnsi"/>
          <w:i/>
          <w:sz w:val="24"/>
          <w:szCs w:val="24"/>
        </w:rPr>
        <w:t>cu care are legătură</w:t>
      </w:r>
      <w:r w:rsidR="009E1784" w:rsidRPr="009E0FFF">
        <w:rPr>
          <w:rFonts w:cstheme="minorHAnsi"/>
          <w:i/>
          <w:sz w:val="24"/>
          <w:szCs w:val="24"/>
        </w:rPr>
        <w:t>”</w:t>
      </w:r>
      <w:r w:rsidR="009E1784" w:rsidRPr="009E0FFF">
        <w:rPr>
          <w:rStyle w:val="FootnoteReference"/>
          <w:rFonts w:cstheme="minorHAnsi"/>
          <w:i/>
          <w:sz w:val="24"/>
          <w:szCs w:val="24"/>
        </w:rPr>
        <w:footnoteReference w:id="2"/>
      </w:r>
      <w:r w:rsidR="00EA68FD" w:rsidRPr="009E0FFF">
        <w:rPr>
          <w:rFonts w:cstheme="minorHAnsi"/>
          <w:sz w:val="24"/>
          <w:szCs w:val="24"/>
        </w:rPr>
        <w:t>. Singurul mod de a permite și standardizare</w:t>
      </w:r>
      <w:r w:rsidR="00530AB0" w:rsidRPr="009E0FFF">
        <w:rPr>
          <w:rFonts w:cstheme="minorHAnsi"/>
          <w:sz w:val="24"/>
          <w:szCs w:val="24"/>
        </w:rPr>
        <w:t>,</w:t>
      </w:r>
      <w:r w:rsidR="00EA68FD" w:rsidRPr="009E0FFF">
        <w:rPr>
          <w:rFonts w:cstheme="minorHAnsi"/>
          <w:sz w:val="24"/>
          <w:szCs w:val="24"/>
        </w:rPr>
        <w:t xml:space="preserve"> și monopol este </w:t>
      </w:r>
      <w:r w:rsidR="009E1784" w:rsidRPr="009E0FFF">
        <w:rPr>
          <w:rFonts w:cstheme="minorHAnsi"/>
          <w:sz w:val="24"/>
          <w:szCs w:val="24"/>
        </w:rPr>
        <w:t>licențierea în condiții FRAND</w:t>
      </w:r>
      <w:r w:rsidR="00EA68FD" w:rsidRPr="009E0FFF">
        <w:rPr>
          <w:rFonts w:cstheme="minorHAnsi"/>
          <w:sz w:val="24"/>
          <w:szCs w:val="24"/>
        </w:rPr>
        <w:t xml:space="preserve">: practic vorbind, într-o explicație fără valențe juridice, </w:t>
      </w:r>
      <w:r w:rsidR="00EA68FD" w:rsidRPr="009E0FFF">
        <w:rPr>
          <w:rFonts w:cstheme="minorHAnsi"/>
          <w:b/>
          <w:sz w:val="24"/>
          <w:szCs w:val="24"/>
        </w:rPr>
        <w:t>monopolul de exploatare se transformă într-un drept al titularului de a obține o remunerație echitabilă</w:t>
      </w:r>
      <w:r w:rsidR="00EA68FD" w:rsidRPr="009E0FFF">
        <w:rPr>
          <w:rFonts w:cstheme="minorHAnsi"/>
          <w:sz w:val="24"/>
          <w:szCs w:val="24"/>
        </w:rPr>
        <w:t xml:space="preserve">. Acest </w:t>
      </w:r>
      <w:r w:rsidR="009E1784" w:rsidRPr="009E0FFF">
        <w:rPr>
          <w:rFonts w:cstheme="minorHAnsi"/>
          <w:sz w:val="24"/>
          <w:szCs w:val="24"/>
        </w:rPr>
        <w:t xml:space="preserve">cadru juridic </w:t>
      </w:r>
      <w:r w:rsidR="00EA68FD" w:rsidRPr="009E0FFF">
        <w:rPr>
          <w:rFonts w:cstheme="minorHAnsi"/>
          <w:sz w:val="24"/>
          <w:szCs w:val="24"/>
        </w:rPr>
        <w:t>asigură totodată că</w:t>
      </w:r>
      <w:r w:rsidR="009E1784" w:rsidRPr="009E0FFF">
        <w:rPr>
          <w:rFonts w:cstheme="minorHAnsi"/>
          <w:sz w:val="24"/>
          <w:szCs w:val="24"/>
        </w:rPr>
        <w:t xml:space="preserve"> tehnologia </w:t>
      </w:r>
      <w:r w:rsidR="00EA68FD" w:rsidRPr="009E0FFF">
        <w:rPr>
          <w:rFonts w:cstheme="minorHAnsi"/>
          <w:sz w:val="24"/>
          <w:szCs w:val="24"/>
        </w:rPr>
        <w:t>este</w:t>
      </w:r>
      <w:r w:rsidR="009E1784" w:rsidRPr="009E0FFF">
        <w:rPr>
          <w:rFonts w:cstheme="minorHAnsi"/>
          <w:sz w:val="24"/>
          <w:szCs w:val="24"/>
        </w:rPr>
        <w:t xml:space="preserve"> disponibilă celor ce doresc să implementeze </w:t>
      </w:r>
      <w:r w:rsidR="007349B4" w:rsidRPr="009E0FFF">
        <w:rPr>
          <w:rFonts w:cstheme="minorHAnsi"/>
          <w:sz w:val="24"/>
          <w:szCs w:val="24"/>
        </w:rPr>
        <w:t xml:space="preserve">respectivul standard. </w:t>
      </w:r>
    </w:p>
    <w:p w14:paraId="7D307F55" w14:textId="77777777" w:rsidR="004412F8" w:rsidRPr="009E0FFF" w:rsidRDefault="004412F8" w:rsidP="004412F8">
      <w:pPr>
        <w:pStyle w:val="NoSpacing"/>
        <w:jc w:val="both"/>
        <w:rPr>
          <w:rFonts w:cstheme="minorHAnsi"/>
          <w:sz w:val="24"/>
          <w:szCs w:val="24"/>
        </w:rPr>
      </w:pPr>
    </w:p>
    <w:p w14:paraId="391FCFE5" w14:textId="5611E7E3" w:rsidR="00BF1598" w:rsidRPr="009E0FFF" w:rsidRDefault="00C6361C" w:rsidP="009E0FFF">
      <w:pPr>
        <w:pStyle w:val="NoSpacing"/>
        <w:jc w:val="both"/>
        <w:rPr>
          <w:rFonts w:cstheme="minorHAnsi"/>
          <w:sz w:val="24"/>
          <w:szCs w:val="24"/>
        </w:rPr>
      </w:pPr>
      <w:r w:rsidRPr="009E0FFF">
        <w:rPr>
          <w:rFonts w:cstheme="minorHAnsi"/>
          <w:sz w:val="24"/>
          <w:szCs w:val="24"/>
        </w:rPr>
        <w:t>Totuși, i</w:t>
      </w:r>
      <w:r w:rsidR="004412F8" w:rsidRPr="009E0FFF">
        <w:rPr>
          <w:rFonts w:cstheme="minorHAnsi"/>
          <w:sz w:val="24"/>
          <w:szCs w:val="24"/>
        </w:rPr>
        <w:t xml:space="preserve">mplementarea practică a licențierii în condiții FRAND s-a dovedit </w:t>
      </w:r>
      <w:r w:rsidR="005F49B6" w:rsidRPr="009E0FFF">
        <w:rPr>
          <w:rFonts w:cstheme="minorHAnsi"/>
          <w:sz w:val="24"/>
          <w:szCs w:val="24"/>
        </w:rPr>
        <w:t xml:space="preserve">dificilă </w:t>
      </w:r>
      <w:r w:rsidR="004412F8" w:rsidRPr="009E0FFF">
        <w:rPr>
          <w:rFonts w:cstheme="minorHAnsi"/>
          <w:sz w:val="24"/>
          <w:szCs w:val="24"/>
        </w:rPr>
        <w:t>în absența unor</w:t>
      </w:r>
      <w:r w:rsidR="005F49B6" w:rsidRPr="009E0FFF">
        <w:rPr>
          <w:rFonts w:cstheme="minorHAnsi"/>
          <w:sz w:val="24"/>
          <w:szCs w:val="24"/>
        </w:rPr>
        <w:t xml:space="preserve"> criterii</w:t>
      </w:r>
      <w:r w:rsidR="008E77DF" w:rsidRPr="009E0FFF">
        <w:rPr>
          <w:rFonts w:cstheme="minorHAnsi"/>
          <w:sz w:val="24"/>
          <w:szCs w:val="24"/>
        </w:rPr>
        <w:t xml:space="preserve"> suplimentare</w:t>
      </w:r>
      <w:r w:rsidR="004412F8" w:rsidRPr="009E0FFF">
        <w:rPr>
          <w:rFonts w:cstheme="minorHAnsi"/>
          <w:sz w:val="24"/>
          <w:szCs w:val="24"/>
        </w:rPr>
        <w:t xml:space="preserve"> pentru a defini acest concept. </w:t>
      </w:r>
      <w:r w:rsidR="00EA68FD" w:rsidRPr="009E0FFF">
        <w:rPr>
          <w:rFonts w:cstheme="minorHAnsi"/>
          <w:b/>
          <w:sz w:val="24"/>
          <w:szCs w:val="24"/>
        </w:rPr>
        <w:t>Cum se stabilește caracterul echitabil al remunerației? Poate titularul brevetului să interzică folosirea standardului în care este încorporat brevetul său dacă terțul interesat nu face o ofertă de licență care să respecte condițiile FRAND?</w:t>
      </w:r>
      <w:r w:rsidR="00EA68FD" w:rsidRPr="009E0FFF">
        <w:rPr>
          <w:rFonts w:cstheme="minorHAnsi"/>
          <w:sz w:val="24"/>
          <w:szCs w:val="24"/>
        </w:rPr>
        <w:t xml:space="preserve"> </w:t>
      </w:r>
    </w:p>
    <w:p w14:paraId="59951C57" w14:textId="77777777" w:rsidR="00BF1598" w:rsidRPr="009E0FFF" w:rsidRDefault="00BF1598" w:rsidP="00A350E6">
      <w:pPr>
        <w:pStyle w:val="NoSpacing"/>
        <w:jc w:val="both"/>
        <w:rPr>
          <w:rFonts w:cstheme="minorHAnsi"/>
          <w:sz w:val="24"/>
          <w:szCs w:val="24"/>
        </w:rPr>
      </w:pPr>
    </w:p>
    <w:p w14:paraId="139C0AD6" w14:textId="62AF1913" w:rsidR="00BF1598" w:rsidRPr="009E0FFF" w:rsidRDefault="00F37305" w:rsidP="009E0FFF">
      <w:pPr>
        <w:pStyle w:val="NoSpacing"/>
        <w:jc w:val="both"/>
        <w:rPr>
          <w:rFonts w:cstheme="minorHAnsi"/>
          <w:sz w:val="24"/>
          <w:szCs w:val="24"/>
        </w:rPr>
      </w:pPr>
      <w:r w:rsidRPr="009E0FFF">
        <w:rPr>
          <w:rFonts w:cstheme="minorHAnsi"/>
          <w:sz w:val="24"/>
          <w:szCs w:val="24"/>
        </w:rPr>
        <w:t>Cu privire la prima întrebare, arătăm că, p</w:t>
      </w:r>
      <w:r w:rsidR="005F49B6" w:rsidRPr="009E0FFF">
        <w:rPr>
          <w:rFonts w:cstheme="minorHAnsi"/>
          <w:sz w:val="24"/>
          <w:szCs w:val="24"/>
        </w:rPr>
        <w:t>rintr-o Comunicare formulată de Comisia Europeană</w:t>
      </w:r>
      <w:r w:rsidR="005F49B6" w:rsidRPr="009E0FFF">
        <w:rPr>
          <w:rStyle w:val="FootnoteReference"/>
          <w:rFonts w:cstheme="minorHAnsi"/>
          <w:sz w:val="24"/>
          <w:szCs w:val="24"/>
        </w:rPr>
        <w:footnoteReference w:id="3"/>
      </w:r>
      <w:r w:rsidR="005F49B6" w:rsidRPr="009E0FFF">
        <w:rPr>
          <w:rFonts w:cstheme="minorHAnsi"/>
          <w:sz w:val="24"/>
          <w:szCs w:val="24"/>
        </w:rPr>
        <w:t xml:space="preserve">, </w:t>
      </w:r>
      <w:r w:rsidR="008E77DF" w:rsidRPr="009E0FFF">
        <w:rPr>
          <w:rFonts w:cstheme="minorHAnsi"/>
          <w:sz w:val="24"/>
          <w:szCs w:val="24"/>
        </w:rPr>
        <w:t>instituția europeană</w:t>
      </w:r>
      <w:r w:rsidR="005F49B6" w:rsidRPr="009E0FFF">
        <w:rPr>
          <w:rFonts w:cstheme="minorHAnsi"/>
          <w:sz w:val="24"/>
          <w:szCs w:val="24"/>
        </w:rPr>
        <w:t xml:space="preserve"> a subliniat că „</w:t>
      </w:r>
      <w:r w:rsidR="005F49B6" w:rsidRPr="009E0FFF">
        <w:rPr>
          <w:rFonts w:cstheme="minorHAnsi"/>
          <w:i/>
          <w:sz w:val="24"/>
          <w:szCs w:val="24"/>
        </w:rPr>
        <w:t>părțile sunt cel mai bine plasate pentru a ajunge la o înțelegere comună a ceea ce prezintă condiții echitabile de acordare a licențelor și prețuri echitabile</w:t>
      </w:r>
      <w:r w:rsidR="00302428" w:rsidRPr="009E0FFF">
        <w:rPr>
          <w:rFonts w:cstheme="minorHAnsi"/>
          <w:i/>
          <w:sz w:val="24"/>
          <w:szCs w:val="24"/>
        </w:rPr>
        <w:t>, prin negocieri cu bună-credință</w:t>
      </w:r>
      <w:r w:rsidR="005F49B6" w:rsidRPr="009E0FFF">
        <w:rPr>
          <w:rFonts w:cstheme="minorHAnsi"/>
          <w:sz w:val="24"/>
          <w:szCs w:val="24"/>
        </w:rPr>
        <w:t xml:space="preserve">”, dar că acordarea </w:t>
      </w:r>
      <w:r w:rsidR="00302428" w:rsidRPr="009E0FFF">
        <w:rPr>
          <w:rFonts w:cstheme="minorHAnsi"/>
          <w:sz w:val="24"/>
          <w:szCs w:val="24"/>
        </w:rPr>
        <w:t>licențelor</w:t>
      </w:r>
      <w:r w:rsidR="005F49B6" w:rsidRPr="009E0FFF">
        <w:rPr>
          <w:rFonts w:cstheme="minorHAnsi"/>
          <w:sz w:val="24"/>
          <w:szCs w:val="24"/>
        </w:rPr>
        <w:t xml:space="preserve"> de brevete esențiale pentru un standard „</w:t>
      </w:r>
      <w:r w:rsidR="005F49B6" w:rsidRPr="009E0FFF">
        <w:rPr>
          <w:rFonts w:cstheme="minorHAnsi"/>
          <w:i/>
          <w:sz w:val="24"/>
          <w:szCs w:val="24"/>
        </w:rPr>
        <w:t>este îngreunată de interpretări neclare și divergente cu privire la semnificația FRAND”</w:t>
      </w:r>
      <w:r w:rsidR="005F49B6" w:rsidRPr="009E0FFF">
        <w:rPr>
          <w:rFonts w:cstheme="minorHAnsi"/>
          <w:sz w:val="24"/>
          <w:szCs w:val="24"/>
        </w:rPr>
        <w:t>, dezbaterile fiind extrem de aprinse asupra principiilor de evaluare a remunerației.</w:t>
      </w:r>
    </w:p>
    <w:p w14:paraId="073FCCBB" w14:textId="77777777" w:rsidR="00F8686A" w:rsidRPr="009E0FFF" w:rsidRDefault="00F8686A" w:rsidP="00A350E6">
      <w:pPr>
        <w:pStyle w:val="NoSpacing"/>
        <w:jc w:val="both"/>
        <w:rPr>
          <w:rFonts w:cstheme="minorHAnsi"/>
          <w:sz w:val="24"/>
          <w:szCs w:val="24"/>
        </w:rPr>
      </w:pPr>
    </w:p>
    <w:p w14:paraId="359DC53A" w14:textId="3D541195" w:rsidR="00F8686A" w:rsidRPr="009E0FFF" w:rsidRDefault="00530AB0" w:rsidP="009E0FFF">
      <w:pPr>
        <w:pStyle w:val="NoSpacing"/>
        <w:jc w:val="both"/>
        <w:rPr>
          <w:rFonts w:cstheme="minorHAnsi"/>
          <w:sz w:val="24"/>
          <w:szCs w:val="24"/>
        </w:rPr>
      </w:pPr>
      <w:r w:rsidRPr="009E0FFF">
        <w:rPr>
          <w:rFonts w:cstheme="minorHAnsi"/>
          <w:sz w:val="24"/>
          <w:szCs w:val="24"/>
        </w:rPr>
        <w:t>În ce</w:t>
      </w:r>
      <w:r w:rsidR="00302428" w:rsidRPr="009E0FFF">
        <w:rPr>
          <w:rFonts w:cstheme="minorHAnsi"/>
          <w:sz w:val="24"/>
          <w:szCs w:val="24"/>
        </w:rPr>
        <w:t xml:space="preserve">ea ce privește posibilitatea </w:t>
      </w:r>
      <w:r w:rsidRPr="009E0FFF">
        <w:rPr>
          <w:rFonts w:cstheme="minorHAnsi"/>
          <w:sz w:val="24"/>
          <w:szCs w:val="24"/>
        </w:rPr>
        <w:t xml:space="preserve">a titularului de brevet de </w:t>
      </w:r>
      <w:r w:rsidR="00BF1598" w:rsidRPr="009E0FFF">
        <w:rPr>
          <w:rFonts w:cstheme="minorHAnsi"/>
          <w:sz w:val="24"/>
          <w:szCs w:val="24"/>
        </w:rPr>
        <w:t>interzice folosirea standardului, CJUE</w:t>
      </w:r>
      <w:r w:rsidR="00302428" w:rsidRPr="009E0FFF">
        <w:rPr>
          <w:rFonts w:cstheme="minorHAnsi"/>
          <w:sz w:val="24"/>
          <w:szCs w:val="24"/>
        </w:rPr>
        <w:t xml:space="preserve"> </w:t>
      </w:r>
      <w:r w:rsidR="00BF1598" w:rsidRPr="009E0FFF">
        <w:rPr>
          <w:rFonts w:cstheme="minorHAnsi"/>
          <w:sz w:val="24"/>
          <w:szCs w:val="24"/>
        </w:rPr>
        <w:t xml:space="preserve">este cea care stabilește că o eventuală acțiune în contrafacere, în încetarea atingerii aduse brevetului sau în retragerea produselor pentru fabricarea cărora a fost utilizat brevetul </w:t>
      </w:r>
      <w:r w:rsidR="00F8686A" w:rsidRPr="009E0FFF">
        <w:rPr>
          <w:rFonts w:cstheme="minorHAnsi"/>
          <w:sz w:val="24"/>
          <w:szCs w:val="24"/>
        </w:rPr>
        <w:t>nu indică un abuz de poziție dominantă din partea titularului de brevet, dacă se respectă următoarea procedură</w:t>
      </w:r>
      <w:r w:rsidR="00302428" w:rsidRPr="009E0FFF">
        <w:rPr>
          <w:rStyle w:val="FootnoteReference"/>
          <w:rFonts w:cstheme="minorHAnsi"/>
          <w:sz w:val="24"/>
          <w:szCs w:val="24"/>
        </w:rPr>
        <w:footnoteReference w:id="4"/>
      </w:r>
      <w:r w:rsidR="00F8686A" w:rsidRPr="009E0FFF">
        <w:rPr>
          <w:rFonts w:cstheme="minorHAnsi"/>
          <w:sz w:val="24"/>
          <w:szCs w:val="24"/>
        </w:rPr>
        <w:t xml:space="preserve">: </w:t>
      </w:r>
    </w:p>
    <w:p w14:paraId="6B696F49" w14:textId="36B5EDB2" w:rsidR="00BF1598" w:rsidRPr="009E0FFF" w:rsidRDefault="00F8686A" w:rsidP="00A350E6">
      <w:pPr>
        <w:pStyle w:val="NoSpacing"/>
        <w:numPr>
          <w:ilvl w:val="0"/>
          <w:numId w:val="7"/>
        </w:numPr>
        <w:jc w:val="both"/>
        <w:rPr>
          <w:rFonts w:cstheme="minorHAnsi"/>
          <w:sz w:val="24"/>
          <w:szCs w:val="24"/>
        </w:rPr>
      </w:pPr>
      <w:r w:rsidRPr="009E0FFF">
        <w:rPr>
          <w:rFonts w:cstheme="minorHAnsi"/>
          <w:sz w:val="24"/>
          <w:szCs w:val="24"/>
        </w:rPr>
        <w:t>Titularul n</w:t>
      </w:r>
      <w:r w:rsidR="00BF1598" w:rsidRPr="009E0FFF">
        <w:rPr>
          <w:rFonts w:cstheme="minorHAnsi"/>
          <w:sz w:val="24"/>
          <w:szCs w:val="24"/>
        </w:rPr>
        <w:t xml:space="preserve">otifică pretinsul autor al contrafacerii </w:t>
      </w:r>
      <w:r w:rsidR="00F00FA6" w:rsidRPr="009E0FFF">
        <w:rPr>
          <w:rFonts w:cstheme="minorHAnsi"/>
          <w:sz w:val="24"/>
          <w:szCs w:val="24"/>
        </w:rPr>
        <w:t xml:space="preserve">despre </w:t>
      </w:r>
      <w:r w:rsidRPr="009E0FFF">
        <w:rPr>
          <w:rFonts w:cstheme="minorHAnsi"/>
          <w:sz w:val="24"/>
          <w:szCs w:val="24"/>
        </w:rPr>
        <w:t>conduita</w:t>
      </w:r>
      <w:r w:rsidR="00F00FA6" w:rsidRPr="009E0FFF">
        <w:rPr>
          <w:rFonts w:cstheme="minorHAnsi"/>
          <w:sz w:val="24"/>
          <w:szCs w:val="24"/>
        </w:rPr>
        <w:t xml:space="preserve"> care îi este imputată; </w:t>
      </w:r>
    </w:p>
    <w:p w14:paraId="698B5F83" w14:textId="68241E0B" w:rsidR="00F00FA6" w:rsidRPr="009E0FFF" w:rsidRDefault="00F00FA6" w:rsidP="00A350E6">
      <w:pPr>
        <w:pStyle w:val="NoSpacing"/>
        <w:numPr>
          <w:ilvl w:val="0"/>
          <w:numId w:val="7"/>
        </w:numPr>
        <w:jc w:val="both"/>
        <w:rPr>
          <w:rFonts w:cstheme="minorHAnsi"/>
          <w:sz w:val="24"/>
          <w:szCs w:val="24"/>
        </w:rPr>
      </w:pPr>
      <w:r w:rsidRPr="009E0FFF">
        <w:rPr>
          <w:rFonts w:cstheme="minorHAnsi"/>
          <w:sz w:val="24"/>
          <w:szCs w:val="24"/>
        </w:rPr>
        <w:t xml:space="preserve">Acesta din urmă își exprimă voința de a încheia un contract de licență în condiții FRAND; </w:t>
      </w:r>
    </w:p>
    <w:p w14:paraId="277FAD32" w14:textId="6BB1C63E" w:rsidR="00F00FA6" w:rsidRPr="009E0FFF" w:rsidRDefault="00F00FA6" w:rsidP="00A350E6">
      <w:pPr>
        <w:pStyle w:val="NoSpacing"/>
        <w:numPr>
          <w:ilvl w:val="0"/>
          <w:numId w:val="7"/>
        </w:numPr>
        <w:jc w:val="both"/>
        <w:rPr>
          <w:rFonts w:cstheme="minorHAnsi"/>
          <w:sz w:val="24"/>
          <w:szCs w:val="24"/>
        </w:rPr>
      </w:pPr>
      <w:r w:rsidRPr="009E0FFF">
        <w:rPr>
          <w:rFonts w:cstheme="minorHAnsi"/>
          <w:sz w:val="24"/>
          <w:szCs w:val="24"/>
        </w:rPr>
        <w:t>Titularul brevet</w:t>
      </w:r>
      <w:r w:rsidR="00F8686A" w:rsidRPr="009E0FFF">
        <w:rPr>
          <w:rFonts w:cstheme="minorHAnsi"/>
          <w:sz w:val="24"/>
          <w:szCs w:val="24"/>
        </w:rPr>
        <w:t>ului</w:t>
      </w:r>
      <w:r w:rsidRPr="009E0FFF">
        <w:rPr>
          <w:rFonts w:cstheme="minorHAnsi"/>
          <w:sz w:val="24"/>
          <w:szCs w:val="24"/>
        </w:rPr>
        <w:t xml:space="preserve"> transmite respectivului autor al contrafacerii o ofertă de licență concretă și scrisă în condiții FRAND, în conformitate cu angajamentul pe care și l-a asumat în fata organismului de standardizare, precizând inclusiv cuantumul redevenței și a modalității sale de calcul; </w:t>
      </w:r>
    </w:p>
    <w:p w14:paraId="60AA56E5" w14:textId="1C1849B7" w:rsidR="00F00FA6" w:rsidRPr="009E0FFF" w:rsidRDefault="00F00FA6" w:rsidP="00A350E6">
      <w:pPr>
        <w:pStyle w:val="NoSpacing"/>
        <w:numPr>
          <w:ilvl w:val="0"/>
          <w:numId w:val="7"/>
        </w:numPr>
        <w:jc w:val="both"/>
        <w:rPr>
          <w:rFonts w:cstheme="minorHAnsi"/>
          <w:sz w:val="24"/>
          <w:szCs w:val="24"/>
        </w:rPr>
      </w:pPr>
      <w:r w:rsidRPr="009E0FFF">
        <w:rPr>
          <w:rFonts w:cstheme="minorHAnsi"/>
          <w:sz w:val="24"/>
          <w:szCs w:val="24"/>
        </w:rPr>
        <w:t>Pretinsul autor are obligația de a da curs ofertei cu diligență, în conformitate cu uzanțele comercial recunoscute în materie și cu bună-credință. Dacă nu acceptă oferta transmisă, acesta trebuie să propună titularului o contraofertă care să corespundă condițiilor FRAND, într-un termen scurt și în scris</w:t>
      </w:r>
      <w:r w:rsidR="001A5A82" w:rsidRPr="009E0FFF">
        <w:rPr>
          <w:rFonts w:cstheme="minorHAnsi"/>
          <w:sz w:val="24"/>
          <w:szCs w:val="24"/>
        </w:rPr>
        <w:t xml:space="preserve">; </w:t>
      </w:r>
    </w:p>
    <w:p w14:paraId="100E9FE2" w14:textId="5D334649" w:rsidR="001A5A82" w:rsidRPr="009E0FFF" w:rsidRDefault="001A5A82" w:rsidP="00A350E6">
      <w:pPr>
        <w:pStyle w:val="NoSpacing"/>
        <w:numPr>
          <w:ilvl w:val="0"/>
          <w:numId w:val="7"/>
        </w:numPr>
        <w:jc w:val="both"/>
        <w:rPr>
          <w:rFonts w:cstheme="minorHAnsi"/>
          <w:sz w:val="24"/>
          <w:szCs w:val="24"/>
        </w:rPr>
      </w:pPr>
      <w:r w:rsidRPr="009E0FFF">
        <w:rPr>
          <w:rFonts w:cstheme="minorHAnsi"/>
          <w:sz w:val="24"/>
          <w:szCs w:val="24"/>
        </w:rPr>
        <w:lastRenderedPageBreak/>
        <w:t>Dacă în urma contraofertei nu se ajunge la un acord asupra detaliilor</w:t>
      </w:r>
      <w:r w:rsidR="00302428" w:rsidRPr="009E0FFF">
        <w:rPr>
          <w:rFonts w:cstheme="minorHAnsi"/>
          <w:sz w:val="24"/>
          <w:szCs w:val="24"/>
        </w:rPr>
        <w:t xml:space="preserve"> și a</w:t>
      </w:r>
      <w:r w:rsidRPr="009E0FFF">
        <w:rPr>
          <w:rFonts w:cstheme="minorHAnsi"/>
          <w:sz w:val="24"/>
          <w:szCs w:val="24"/>
        </w:rPr>
        <w:t xml:space="preserve"> condițiilor FRAND, părțile, de comun acord, au posibilitatea de a solicita stabilirea cuantumului redevenței de către un terț independent care să statueze într</w:t>
      </w:r>
      <w:r w:rsidRPr="009E0FFF">
        <w:rPr>
          <w:rFonts w:cstheme="minorHAnsi"/>
          <w:sz w:val="24"/>
          <w:szCs w:val="24"/>
        </w:rPr>
        <w:noBreakHyphen/>
        <w:t>un termen scurt.</w:t>
      </w:r>
    </w:p>
    <w:p w14:paraId="20E68503" w14:textId="77777777" w:rsidR="00473432" w:rsidRPr="009E0FFF" w:rsidRDefault="00473432" w:rsidP="00473432">
      <w:pPr>
        <w:pStyle w:val="NoSpacing"/>
        <w:jc w:val="both"/>
        <w:rPr>
          <w:rFonts w:cstheme="minorHAnsi"/>
          <w:sz w:val="24"/>
          <w:szCs w:val="24"/>
        </w:rPr>
      </w:pPr>
    </w:p>
    <w:p w14:paraId="46899AB5" w14:textId="7D5938A9" w:rsidR="005F49B6" w:rsidRPr="009E0FFF" w:rsidRDefault="00EA68FD" w:rsidP="009E0FFF">
      <w:pPr>
        <w:pStyle w:val="NoSpacing"/>
        <w:jc w:val="both"/>
        <w:rPr>
          <w:rFonts w:cstheme="minorHAnsi"/>
          <w:sz w:val="24"/>
          <w:szCs w:val="24"/>
        </w:rPr>
      </w:pPr>
      <w:r w:rsidRPr="009E0FFF">
        <w:rPr>
          <w:rFonts w:cstheme="minorHAnsi"/>
          <w:sz w:val="24"/>
          <w:szCs w:val="24"/>
        </w:rPr>
        <w:t>Dificultatea problemei provine uneori din caracterul global al tehnologiei utilizate. Tocmai ca urmare a acestui caracter global, p</w:t>
      </w:r>
      <w:r w:rsidR="00473432" w:rsidRPr="009E0FFF">
        <w:rPr>
          <w:rFonts w:cstheme="minorHAnsi"/>
          <w:sz w:val="24"/>
          <w:szCs w:val="24"/>
        </w:rPr>
        <w:t xml:space="preserve">rintr-o </w:t>
      </w:r>
      <w:r w:rsidR="00FB7655" w:rsidRPr="009E0FFF">
        <w:rPr>
          <w:rFonts w:cstheme="minorHAnsi"/>
          <w:sz w:val="24"/>
          <w:szCs w:val="24"/>
        </w:rPr>
        <w:t>hotărâre de referință în materia licențelor în condiții FRAND</w:t>
      </w:r>
      <w:r w:rsidR="00D6507B" w:rsidRPr="009E0FFF">
        <w:rPr>
          <w:rStyle w:val="FootnoteReference"/>
          <w:rFonts w:cstheme="minorHAnsi"/>
          <w:sz w:val="24"/>
          <w:szCs w:val="24"/>
        </w:rPr>
        <w:footnoteReference w:id="5"/>
      </w:r>
      <w:r w:rsidR="00FB7655" w:rsidRPr="009E0FFF">
        <w:rPr>
          <w:rFonts w:cstheme="minorHAnsi"/>
          <w:sz w:val="24"/>
          <w:szCs w:val="24"/>
        </w:rPr>
        <w:t xml:space="preserve">, Curtea Supremă a Marii Britanii a stabilit că </w:t>
      </w:r>
      <w:r w:rsidR="00FB7655" w:rsidRPr="009E0FFF">
        <w:rPr>
          <w:rFonts w:cstheme="minorHAnsi"/>
          <w:b/>
          <w:sz w:val="24"/>
          <w:szCs w:val="24"/>
        </w:rPr>
        <w:t xml:space="preserve">instanțele de judecată engleze au competența de a stabili cuantumul redevențelor pentru o licență </w:t>
      </w:r>
      <w:r w:rsidR="00FB7655" w:rsidRPr="009E0FFF">
        <w:rPr>
          <w:rFonts w:cstheme="minorHAnsi"/>
          <w:b/>
          <w:i/>
          <w:sz w:val="24"/>
          <w:szCs w:val="24"/>
        </w:rPr>
        <w:t>globală</w:t>
      </w:r>
      <w:r w:rsidR="00FB7655" w:rsidRPr="009E0FFF">
        <w:rPr>
          <w:rFonts w:cstheme="minorHAnsi"/>
          <w:b/>
          <w:sz w:val="24"/>
          <w:szCs w:val="24"/>
        </w:rPr>
        <w:t xml:space="preserve"> în condiții FRAND</w:t>
      </w:r>
      <w:r w:rsidR="00FB7655" w:rsidRPr="009E0FFF">
        <w:rPr>
          <w:rFonts w:cstheme="minorHAnsi"/>
          <w:sz w:val="24"/>
          <w:szCs w:val="24"/>
        </w:rPr>
        <w:t xml:space="preserve">, </w:t>
      </w:r>
      <w:r w:rsidR="00987695" w:rsidRPr="009E0FFF">
        <w:rPr>
          <w:rFonts w:cstheme="minorHAnsi"/>
          <w:sz w:val="24"/>
          <w:szCs w:val="24"/>
        </w:rPr>
        <w:t>licență ce viza</w:t>
      </w:r>
      <w:r w:rsidR="00FB7655" w:rsidRPr="009E0FFF">
        <w:rPr>
          <w:rFonts w:cstheme="minorHAnsi"/>
          <w:sz w:val="24"/>
          <w:szCs w:val="24"/>
        </w:rPr>
        <w:t xml:space="preserve"> un </w:t>
      </w:r>
      <w:r w:rsidR="00FB7655" w:rsidRPr="009E0FFF">
        <w:rPr>
          <w:rFonts w:cstheme="minorHAnsi"/>
          <w:b/>
          <w:sz w:val="24"/>
          <w:szCs w:val="24"/>
        </w:rPr>
        <w:t>portofoliu internațional de brevete</w:t>
      </w:r>
      <w:r w:rsidR="00FB7655" w:rsidRPr="009E0FFF">
        <w:rPr>
          <w:rFonts w:cstheme="minorHAnsi"/>
          <w:sz w:val="24"/>
          <w:szCs w:val="24"/>
        </w:rPr>
        <w:t>. Instanța și-a fundamentat raționamentul pe politicile IETS</w:t>
      </w:r>
      <w:r w:rsidR="00D6507B" w:rsidRPr="009E0FFF">
        <w:rPr>
          <w:rFonts w:cstheme="minorHAnsi"/>
          <w:sz w:val="24"/>
          <w:szCs w:val="24"/>
        </w:rPr>
        <w:t xml:space="preserve">, pe care le-a asimilat unui angajament contractual, ce produc efecte pe plan internațional. </w:t>
      </w:r>
      <w:r w:rsidRPr="009E0FFF">
        <w:rPr>
          <w:rFonts w:cstheme="minorHAnsi"/>
          <w:sz w:val="24"/>
          <w:szCs w:val="24"/>
        </w:rPr>
        <w:t xml:space="preserve">Practic, instanțele engleze ar putea judeca litigii globale în materie de licențe FRAND, stabilind pentru toate țările din lume condițiile de licențiere. Desigur, alte țări cu mare putere industrială și experiență în materie de brevete și licențe nu sunt tocmai mulțumite de soluția adoptată în </w:t>
      </w:r>
      <w:r w:rsidR="00C6361C" w:rsidRPr="009E0FFF">
        <w:rPr>
          <w:rFonts w:cstheme="minorHAnsi"/>
          <w:sz w:val="24"/>
          <w:szCs w:val="24"/>
        </w:rPr>
        <w:t>Marea Britanie</w:t>
      </w:r>
      <w:r w:rsidRPr="009E0FFF">
        <w:rPr>
          <w:rFonts w:cstheme="minorHAnsi"/>
          <w:sz w:val="24"/>
          <w:szCs w:val="24"/>
        </w:rPr>
        <w:t xml:space="preserve">. </w:t>
      </w:r>
      <w:r w:rsidR="005E124D" w:rsidRPr="009E0FFF">
        <w:rPr>
          <w:rFonts w:cstheme="minorHAnsi"/>
          <w:sz w:val="24"/>
          <w:szCs w:val="24"/>
        </w:rPr>
        <w:t xml:space="preserve">Problema ar putea fi tranșată prin </w:t>
      </w:r>
      <w:r w:rsidR="005E124D" w:rsidRPr="009E0FFF">
        <w:rPr>
          <w:rFonts w:cstheme="minorHAnsi"/>
          <w:b/>
          <w:sz w:val="24"/>
          <w:szCs w:val="24"/>
        </w:rPr>
        <w:t>intrarea în funcțiune a Curții Unificate a Brevetului</w:t>
      </w:r>
      <w:r w:rsidR="005E124D" w:rsidRPr="009E0FFF">
        <w:rPr>
          <w:rFonts w:cstheme="minorHAnsi"/>
          <w:sz w:val="24"/>
          <w:szCs w:val="24"/>
        </w:rPr>
        <w:t>, o instanță pan-europeană competentă să tranșeze și acest gen de chestiuni.</w:t>
      </w:r>
    </w:p>
    <w:p w14:paraId="2800EAB2" w14:textId="77777777" w:rsidR="00D6507B" w:rsidRPr="009E0FFF" w:rsidRDefault="00D6507B" w:rsidP="00D6507B">
      <w:pPr>
        <w:pStyle w:val="NoSpacing"/>
        <w:jc w:val="both"/>
        <w:rPr>
          <w:rFonts w:cstheme="minorHAnsi"/>
          <w:sz w:val="24"/>
          <w:szCs w:val="24"/>
        </w:rPr>
      </w:pPr>
    </w:p>
    <w:p w14:paraId="07D5BE48" w14:textId="77777777" w:rsidR="008C5D9B" w:rsidRPr="009E0FFF" w:rsidRDefault="00EC7B2F" w:rsidP="009E0FFF">
      <w:pPr>
        <w:pStyle w:val="NoSpacing"/>
        <w:jc w:val="both"/>
        <w:rPr>
          <w:rFonts w:cstheme="minorHAnsi"/>
          <w:sz w:val="24"/>
          <w:szCs w:val="24"/>
        </w:rPr>
      </w:pPr>
      <w:r w:rsidRPr="009E0FFF">
        <w:rPr>
          <w:rFonts w:cstheme="minorHAnsi"/>
          <w:sz w:val="24"/>
          <w:szCs w:val="24"/>
        </w:rPr>
        <w:t>Așadar, în cazul tehnologiilor 5G, licențierea FRAND este o parte din soluția necesară</w:t>
      </w:r>
      <w:r w:rsidR="00E53DE5" w:rsidRPr="009E0FFF">
        <w:rPr>
          <w:rFonts w:cstheme="minorHAnsi"/>
          <w:sz w:val="24"/>
          <w:szCs w:val="24"/>
        </w:rPr>
        <w:t xml:space="preserve">. Rămân însă probleme legate de </w:t>
      </w:r>
      <w:r w:rsidR="00E53DE5" w:rsidRPr="009E0FFF">
        <w:rPr>
          <w:rFonts w:cstheme="minorHAnsi"/>
          <w:b/>
          <w:sz w:val="24"/>
          <w:szCs w:val="24"/>
        </w:rPr>
        <w:t>brevetele care nu au fost incluse în standarde sau care nu vor fi considerate ca fiind esențiale pentru un standard</w:t>
      </w:r>
      <w:r w:rsidR="00E53DE5" w:rsidRPr="009E0FFF">
        <w:rPr>
          <w:rFonts w:cstheme="minorHAnsi"/>
          <w:sz w:val="24"/>
          <w:szCs w:val="24"/>
        </w:rPr>
        <w:t xml:space="preserve"> și pentru care obligația de licențiere FRAND nu se aplică. </w:t>
      </w:r>
    </w:p>
    <w:p w14:paraId="532AB68B" w14:textId="77777777" w:rsidR="008C5D9B" w:rsidRPr="009E0FFF" w:rsidRDefault="008C5D9B" w:rsidP="00A350E6">
      <w:pPr>
        <w:pStyle w:val="NoSpacing"/>
        <w:jc w:val="both"/>
        <w:rPr>
          <w:rFonts w:cstheme="minorHAnsi"/>
          <w:sz w:val="24"/>
          <w:szCs w:val="24"/>
        </w:rPr>
      </w:pPr>
    </w:p>
    <w:p w14:paraId="611CDBAD" w14:textId="51C52DC3" w:rsidR="00F71324" w:rsidRPr="009E0FFF" w:rsidRDefault="00E53DE5" w:rsidP="009E0FFF">
      <w:pPr>
        <w:pStyle w:val="NoSpacing"/>
        <w:jc w:val="both"/>
        <w:rPr>
          <w:rFonts w:cstheme="minorHAnsi"/>
          <w:sz w:val="24"/>
          <w:szCs w:val="24"/>
        </w:rPr>
      </w:pPr>
      <w:r w:rsidRPr="009E0FFF">
        <w:rPr>
          <w:rFonts w:cstheme="minorHAnsi"/>
          <w:sz w:val="24"/>
          <w:szCs w:val="24"/>
        </w:rPr>
        <w:t>În aceste cazuri</w:t>
      </w:r>
      <w:r w:rsidR="008C5D9B" w:rsidRPr="009E0FFF">
        <w:rPr>
          <w:rFonts w:cstheme="minorHAnsi"/>
          <w:sz w:val="24"/>
          <w:szCs w:val="24"/>
        </w:rPr>
        <w:t>, în plan intern,</w:t>
      </w:r>
      <w:r w:rsidRPr="009E0FFF">
        <w:rPr>
          <w:rFonts w:cstheme="minorHAnsi"/>
          <w:sz w:val="24"/>
          <w:szCs w:val="24"/>
        </w:rPr>
        <w:t xml:space="preserve"> va fi nevoie de o altă soluție</w:t>
      </w:r>
      <w:r w:rsidR="00C6361C" w:rsidRPr="009E0FFF">
        <w:rPr>
          <w:rFonts w:cstheme="minorHAnsi"/>
          <w:sz w:val="24"/>
          <w:szCs w:val="24"/>
        </w:rPr>
        <w:t xml:space="preserve">, întrucât, în momentul de față, </w:t>
      </w:r>
      <w:r w:rsidR="00F71324" w:rsidRPr="009E0FFF">
        <w:rPr>
          <w:rFonts w:cstheme="minorHAnsi"/>
          <w:sz w:val="24"/>
          <w:szCs w:val="24"/>
        </w:rPr>
        <w:t>L</w:t>
      </w:r>
      <w:r w:rsidR="00655FCF" w:rsidRPr="009E0FFF">
        <w:rPr>
          <w:rFonts w:cstheme="minorHAnsi"/>
          <w:sz w:val="24"/>
          <w:szCs w:val="24"/>
        </w:rPr>
        <w:t xml:space="preserve">egea </w:t>
      </w:r>
      <w:r w:rsidR="00F71324" w:rsidRPr="009E0FFF">
        <w:rPr>
          <w:rFonts w:cstheme="minorHAnsi"/>
          <w:sz w:val="24"/>
          <w:szCs w:val="24"/>
        </w:rPr>
        <w:t xml:space="preserve">nr. </w:t>
      </w:r>
      <w:r w:rsidR="00655FCF" w:rsidRPr="009E0FFF">
        <w:rPr>
          <w:rFonts w:cstheme="minorHAnsi"/>
          <w:sz w:val="24"/>
          <w:szCs w:val="24"/>
        </w:rPr>
        <w:t>64/1991 privind brevetele de invenții nu oferă sprijin pentru asemenea situații (de altfel</w:t>
      </w:r>
      <w:r w:rsidR="00F71324" w:rsidRPr="009E0FFF">
        <w:rPr>
          <w:rFonts w:cstheme="minorHAnsi"/>
          <w:sz w:val="24"/>
          <w:szCs w:val="24"/>
        </w:rPr>
        <w:t xml:space="preserve">, este neclar dacă și cum poate fi aplicat mecanismul FRAND, descris anterior, de către instanțele sau autoritățile din România). </w:t>
      </w:r>
    </w:p>
    <w:p w14:paraId="1E9978FC" w14:textId="77777777" w:rsidR="008C5D9B" w:rsidRPr="009E0FFF" w:rsidRDefault="008C5D9B" w:rsidP="00A350E6">
      <w:pPr>
        <w:pStyle w:val="NoSpacing"/>
        <w:jc w:val="both"/>
        <w:rPr>
          <w:rFonts w:cstheme="minorHAnsi"/>
          <w:sz w:val="24"/>
          <w:szCs w:val="24"/>
        </w:rPr>
      </w:pPr>
    </w:p>
    <w:p w14:paraId="46387971" w14:textId="0D892353" w:rsidR="00471522" w:rsidRPr="009E0FFF" w:rsidRDefault="008C5D9B" w:rsidP="009E0FFF">
      <w:pPr>
        <w:pStyle w:val="NoSpacing"/>
        <w:jc w:val="both"/>
        <w:rPr>
          <w:rFonts w:cstheme="minorHAnsi"/>
          <w:sz w:val="24"/>
          <w:szCs w:val="24"/>
        </w:rPr>
      </w:pPr>
      <w:r w:rsidRPr="009E0FFF">
        <w:rPr>
          <w:rFonts w:cstheme="minorHAnsi"/>
          <w:sz w:val="24"/>
          <w:szCs w:val="24"/>
        </w:rPr>
        <w:t>Astfel, în concepți</w:t>
      </w:r>
      <w:r w:rsidR="0034580F" w:rsidRPr="009E0FFF">
        <w:rPr>
          <w:rFonts w:cstheme="minorHAnsi"/>
          <w:sz w:val="24"/>
          <w:szCs w:val="24"/>
        </w:rPr>
        <w:t>a inițială a L</w:t>
      </w:r>
      <w:r w:rsidRPr="009E0FFF">
        <w:rPr>
          <w:rFonts w:cstheme="minorHAnsi"/>
          <w:sz w:val="24"/>
          <w:szCs w:val="24"/>
        </w:rPr>
        <w:t xml:space="preserve">egii </w:t>
      </w:r>
      <w:r w:rsidR="0034580F" w:rsidRPr="009E0FFF">
        <w:rPr>
          <w:rFonts w:cstheme="minorHAnsi"/>
          <w:sz w:val="24"/>
          <w:szCs w:val="24"/>
        </w:rPr>
        <w:t xml:space="preserve">nr. </w:t>
      </w:r>
      <w:r w:rsidRPr="009E0FFF">
        <w:rPr>
          <w:rFonts w:cstheme="minorHAnsi"/>
          <w:sz w:val="24"/>
          <w:szCs w:val="24"/>
        </w:rPr>
        <w:t>64/1991, acordarea licențelor obligatorii era condiționată exclusiv de conduita titularului de brevet, în sensul că acesta</w:t>
      </w:r>
      <w:r w:rsidR="005E124D" w:rsidRPr="009E0FFF">
        <w:rPr>
          <w:rFonts w:cstheme="minorHAnsi"/>
          <w:sz w:val="24"/>
          <w:szCs w:val="24"/>
        </w:rPr>
        <w:t>, în mod nejustificat,</w:t>
      </w:r>
      <w:r w:rsidRPr="009E0FFF">
        <w:rPr>
          <w:rFonts w:cstheme="minorHAnsi"/>
          <w:sz w:val="24"/>
          <w:szCs w:val="24"/>
        </w:rPr>
        <w:t xml:space="preserve"> </w:t>
      </w:r>
      <w:r w:rsidR="005E124D" w:rsidRPr="009E0FFF">
        <w:rPr>
          <w:rFonts w:cstheme="minorHAnsi"/>
          <w:sz w:val="24"/>
          <w:szCs w:val="24"/>
        </w:rPr>
        <w:t xml:space="preserve">timp de cel puțin 3 ani de la acordarea brevetului, </w:t>
      </w:r>
      <w:r w:rsidRPr="009E0FFF">
        <w:rPr>
          <w:rFonts w:cstheme="minorHAnsi"/>
          <w:sz w:val="24"/>
          <w:szCs w:val="24"/>
        </w:rPr>
        <w:t>nu aplic</w:t>
      </w:r>
      <w:r w:rsidR="0034580F" w:rsidRPr="009E0FFF">
        <w:rPr>
          <w:rFonts w:cstheme="minorHAnsi"/>
          <w:sz w:val="24"/>
          <w:szCs w:val="24"/>
        </w:rPr>
        <w:t>a</w:t>
      </w:r>
      <w:r w:rsidRPr="009E0FFF">
        <w:rPr>
          <w:rFonts w:cstheme="minorHAnsi"/>
          <w:sz w:val="24"/>
          <w:szCs w:val="24"/>
        </w:rPr>
        <w:t xml:space="preserve"> sau aplic</w:t>
      </w:r>
      <w:r w:rsidR="0034580F" w:rsidRPr="009E0FFF">
        <w:rPr>
          <w:rFonts w:cstheme="minorHAnsi"/>
          <w:sz w:val="24"/>
          <w:szCs w:val="24"/>
        </w:rPr>
        <w:t>a</w:t>
      </w:r>
      <w:r w:rsidRPr="009E0FFF">
        <w:rPr>
          <w:rFonts w:cstheme="minorHAnsi"/>
          <w:sz w:val="24"/>
          <w:szCs w:val="24"/>
        </w:rPr>
        <w:t xml:space="preserve"> insuficient invenția br</w:t>
      </w:r>
      <w:r w:rsidR="005E124D" w:rsidRPr="009E0FFF">
        <w:rPr>
          <w:rFonts w:cstheme="minorHAnsi"/>
          <w:sz w:val="24"/>
          <w:szCs w:val="24"/>
        </w:rPr>
        <w:t>evetată pe teritoriul României</w:t>
      </w:r>
      <w:r w:rsidR="0034580F" w:rsidRPr="009E0FFF">
        <w:rPr>
          <w:rFonts w:cstheme="minorHAnsi"/>
          <w:sz w:val="24"/>
          <w:szCs w:val="24"/>
        </w:rPr>
        <w:t>,</w:t>
      </w:r>
      <w:r w:rsidR="005E124D" w:rsidRPr="009E0FFF">
        <w:rPr>
          <w:rFonts w:cstheme="minorHAnsi"/>
          <w:sz w:val="24"/>
          <w:szCs w:val="24"/>
        </w:rPr>
        <w:t xml:space="preserve"> iar negocierile pentru acordarea </w:t>
      </w:r>
      <w:r w:rsidR="0034580F" w:rsidRPr="009E0FFF">
        <w:rPr>
          <w:rFonts w:cstheme="minorHAnsi"/>
          <w:sz w:val="24"/>
          <w:szCs w:val="24"/>
        </w:rPr>
        <w:t>unei licențe voluntare nu ajungeau la nici</w:t>
      </w:r>
      <w:r w:rsidR="005E124D" w:rsidRPr="009E0FFF">
        <w:rPr>
          <w:rFonts w:cstheme="minorHAnsi"/>
          <w:sz w:val="24"/>
          <w:szCs w:val="24"/>
        </w:rPr>
        <w:t xml:space="preserve">un rezultat. </w:t>
      </w:r>
      <w:r w:rsidRPr="009E0FFF">
        <w:rPr>
          <w:rFonts w:cstheme="minorHAnsi"/>
          <w:sz w:val="24"/>
          <w:szCs w:val="24"/>
        </w:rPr>
        <w:t>La ora actuală, pe lângă aceste două cazuri, în cuprinsul art. 43 alin. (4) din Lege au mai fost adăugate alte trei ipoteze în care Tribunalul București poate acorda o licență obligatorie: (a) în situații de urgență națională; (b) în alte situații de extremă urgență; (c) în situații de utilizare publică, în scopuri necomerciale.</w:t>
      </w:r>
      <w:r w:rsidR="00A350E6" w:rsidRPr="009E0FFF">
        <w:rPr>
          <w:rFonts w:cstheme="minorHAnsi"/>
          <w:sz w:val="24"/>
          <w:szCs w:val="24"/>
        </w:rPr>
        <w:t xml:space="preserve"> Este greu de crezut că o situație privind tehnologia 5G poate fi încadrată cu ușurință în </w:t>
      </w:r>
      <w:r w:rsidR="005E124D" w:rsidRPr="009E0FFF">
        <w:rPr>
          <w:rFonts w:cstheme="minorHAnsi"/>
          <w:sz w:val="24"/>
          <w:szCs w:val="24"/>
        </w:rPr>
        <w:t xml:space="preserve">oricare din </w:t>
      </w:r>
      <w:r w:rsidR="00A350E6" w:rsidRPr="009E0FFF">
        <w:rPr>
          <w:rFonts w:cstheme="minorHAnsi"/>
          <w:sz w:val="24"/>
          <w:szCs w:val="24"/>
        </w:rPr>
        <w:t>aceste ipoteze de lucru.</w:t>
      </w:r>
      <w:r w:rsidR="005E124D" w:rsidRPr="009E0FFF">
        <w:rPr>
          <w:rFonts w:cstheme="minorHAnsi"/>
          <w:sz w:val="24"/>
          <w:szCs w:val="24"/>
        </w:rPr>
        <w:t xml:space="preserve"> Practic, </w:t>
      </w:r>
      <w:r w:rsidR="0034580F" w:rsidRPr="009E0FFF">
        <w:rPr>
          <w:rFonts w:cstheme="minorHAnsi"/>
          <w:sz w:val="24"/>
          <w:szCs w:val="24"/>
        </w:rPr>
        <w:t xml:space="preserve">în legislația internă, </w:t>
      </w:r>
      <w:r w:rsidR="005E124D" w:rsidRPr="009E0FFF">
        <w:rPr>
          <w:rFonts w:cstheme="minorHAnsi"/>
          <w:sz w:val="24"/>
          <w:szCs w:val="24"/>
        </w:rPr>
        <w:t>nu avem un mecanism funcțional real și eficient pentru acordarea unei l</w:t>
      </w:r>
      <w:r w:rsidR="0034580F" w:rsidRPr="009E0FFF">
        <w:rPr>
          <w:rFonts w:cstheme="minorHAnsi"/>
          <w:sz w:val="24"/>
          <w:szCs w:val="24"/>
        </w:rPr>
        <w:t xml:space="preserve">icențe obligatorii pentru aceste tipuri de </w:t>
      </w:r>
      <w:r w:rsidR="005E124D" w:rsidRPr="009E0FFF">
        <w:rPr>
          <w:rFonts w:cstheme="minorHAnsi"/>
          <w:sz w:val="24"/>
          <w:szCs w:val="24"/>
        </w:rPr>
        <w:t>situații.</w:t>
      </w:r>
    </w:p>
    <w:p w14:paraId="7F97C887" w14:textId="77777777" w:rsidR="00471522" w:rsidRPr="009E0FFF" w:rsidRDefault="00471522" w:rsidP="00471522">
      <w:pPr>
        <w:pStyle w:val="ListParagraph"/>
        <w:rPr>
          <w:rFonts w:cstheme="minorHAnsi"/>
          <w:sz w:val="24"/>
          <w:szCs w:val="24"/>
        </w:rPr>
      </w:pPr>
    </w:p>
    <w:p w14:paraId="7CF4D322" w14:textId="2D4F73A9" w:rsidR="00471522" w:rsidRPr="009E0FFF" w:rsidRDefault="00471522" w:rsidP="00471522">
      <w:pPr>
        <w:pStyle w:val="ListParagraph"/>
        <w:numPr>
          <w:ilvl w:val="0"/>
          <w:numId w:val="5"/>
        </w:numPr>
        <w:rPr>
          <w:rFonts w:cstheme="minorHAnsi"/>
          <w:b/>
          <w:sz w:val="24"/>
          <w:szCs w:val="24"/>
        </w:rPr>
      </w:pPr>
      <w:r w:rsidRPr="009E0FFF">
        <w:rPr>
          <w:rFonts w:cstheme="minorHAnsi"/>
          <w:b/>
          <w:sz w:val="24"/>
          <w:szCs w:val="24"/>
        </w:rPr>
        <w:t>Vaccin</w:t>
      </w:r>
      <w:r w:rsidR="00360F2C" w:rsidRPr="009E0FFF">
        <w:rPr>
          <w:rFonts w:cstheme="minorHAnsi"/>
          <w:b/>
          <w:sz w:val="24"/>
          <w:szCs w:val="24"/>
        </w:rPr>
        <w:t>urile</w:t>
      </w:r>
      <w:r w:rsidRPr="009E0FFF">
        <w:rPr>
          <w:rFonts w:cstheme="minorHAnsi"/>
          <w:b/>
          <w:sz w:val="24"/>
          <w:szCs w:val="24"/>
        </w:rPr>
        <w:t xml:space="preserve"> COVID</w:t>
      </w:r>
    </w:p>
    <w:p w14:paraId="50265EF9" w14:textId="77777777" w:rsidR="00C6361C" w:rsidRPr="009E0FFF" w:rsidRDefault="00471522" w:rsidP="009E0FFF">
      <w:pPr>
        <w:pStyle w:val="NoSpacing"/>
        <w:jc w:val="both"/>
        <w:rPr>
          <w:rFonts w:cstheme="minorHAnsi"/>
          <w:sz w:val="24"/>
          <w:szCs w:val="24"/>
        </w:rPr>
      </w:pPr>
      <w:r w:rsidRPr="009E0FFF">
        <w:rPr>
          <w:rFonts w:cstheme="minorHAnsi"/>
          <w:sz w:val="24"/>
          <w:szCs w:val="24"/>
        </w:rPr>
        <w:t>P</w:t>
      </w:r>
      <w:r w:rsidR="00EA68FD" w:rsidRPr="009E0FFF">
        <w:rPr>
          <w:rFonts w:cstheme="minorHAnsi"/>
          <w:sz w:val="24"/>
          <w:szCs w:val="24"/>
        </w:rPr>
        <w:t xml:space="preserve">roblema eludării monopolului dat de brevet se pune cu mare actualitate într-un alt domeniu, unul în care </w:t>
      </w:r>
      <w:r w:rsidR="00987695" w:rsidRPr="009E0FFF">
        <w:rPr>
          <w:rFonts w:cstheme="minorHAnsi"/>
          <w:sz w:val="24"/>
          <w:szCs w:val="24"/>
        </w:rPr>
        <w:t>divergențele pun în balanță interesele particulare ale companiilor farmaceutice și interesul general d</w:t>
      </w:r>
      <w:r w:rsidR="00EC7B2F" w:rsidRPr="009E0FFF">
        <w:rPr>
          <w:rFonts w:cstheme="minorHAnsi"/>
          <w:sz w:val="24"/>
          <w:szCs w:val="24"/>
        </w:rPr>
        <w:t>e protecție a sănătății publice: vaccinurile COVID.</w:t>
      </w:r>
      <w:r w:rsidR="00987695" w:rsidRPr="009E0FFF">
        <w:rPr>
          <w:rFonts w:cstheme="minorHAnsi"/>
          <w:sz w:val="24"/>
          <w:szCs w:val="24"/>
        </w:rPr>
        <w:t xml:space="preserve">  </w:t>
      </w:r>
    </w:p>
    <w:p w14:paraId="32ED6918" w14:textId="77777777" w:rsidR="006401AD" w:rsidRPr="009E0FFF" w:rsidRDefault="006401AD" w:rsidP="00A350E6">
      <w:pPr>
        <w:pStyle w:val="NoSpacing"/>
        <w:jc w:val="both"/>
        <w:rPr>
          <w:rFonts w:cstheme="minorHAnsi"/>
          <w:sz w:val="24"/>
          <w:szCs w:val="24"/>
        </w:rPr>
      </w:pPr>
    </w:p>
    <w:p w14:paraId="7261D839" w14:textId="77777777" w:rsidR="00F37305" w:rsidRPr="009E0FFF" w:rsidRDefault="006401AD" w:rsidP="009E0FFF">
      <w:pPr>
        <w:pStyle w:val="NoSpacing"/>
        <w:jc w:val="both"/>
        <w:rPr>
          <w:rFonts w:cstheme="minorHAnsi"/>
          <w:sz w:val="24"/>
          <w:szCs w:val="24"/>
        </w:rPr>
      </w:pPr>
      <w:r w:rsidRPr="009E0FFF">
        <w:rPr>
          <w:rFonts w:cstheme="minorHAnsi"/>
          <w:sz w:val="24"/>
          <w:szCs w:val="24"/>
        </w:rPr>
        <w:t>Potrivit unui studiu efectuat pe baza informațiilor existente până la data de 31.01.2021, podiumul companiilor farmaceutice care dețin cel mai puternic portofoliu de vaccinuri bazate pe tehnologia ARN-</w:t>
      </w:r>
      <w:r w:rsidRPr="009E0FFF">
        <w:rPr>
          <w:rFonts w:cstheme="minorHAnsi"/>
          <w:sz w:val="24"/>
          <w:szCs w:val="24"/>
        </w:rPr>
        <w:lastRenderedPageBreak/>
        <w:t xml:space="preserve">ului mesager </w:t>
      </w:r>
      <w:r w:rsidR="006312BF" w:rsidRPr="009E0FFF">
        <w:rPr>
          <w:rFonts w:cstheme="minorHAnsi"/>
          <w:sz w:val="24"/>
          <w:szCs w:val="24"/>
        </w:rPr>
        <w:t>este ocupat de</w:t>
      </w:r>
      <w:r w:rsidRPr="009E0FFF">
        <w:rPr>
          <w:rFonts w:cstheme="minorHAnsi"/>
          <w:sz w:val="24"/>
          <w:szCs w:val="24"/>
        </w:rPr>
        <w:t xml:space="preserve"> </w:t>
      </w:r>
      <w:proofErr w:type="spellStart"/>
      <w:r w:rsidRPr="009E0FFF">
        <w:rPr>
          <w:rFonts w:cstheme="minorHAnsi"/>
          <w:sz w:val="24"/>
          <w:szCs w:val="24"/>
        </w:rPr>
        <w:t>CureVac</w:t>
      </w:r>
      <w:proofErr w:type="spellEnd"/>
      <w:r w:rsidRPr="009E0FFF">
        <w:rPr>
          <w:rFonts w:cstheme="minorHAnsi"/>
          <w:sz w:val="24"/>
          <w:szCs w:val="24"/>
        </w:rPr>
        <w:t xml:space="preserve"> (cu aproximativ 1.000 de astfel de brevete), </w:t>
      </w:r>
      <w:r w:rsidR="006312BF" w:rsidRPr="009E0FFF">
        <w:rPr>
          <w:rFonts w:cstheme="minorHAnsi"/>
          <w:sz w:val="24"/>
          <w:szCs w:val="24"/>
        </w:rPr>
        <w:t xml:space="preserve">urmat de </w:t>
      </w:r>
      <w:proofErr w:type="spellStart"/>
      <w:r w:rsidRPr="009E0FFF">
        <w:rPr>
          <w:rFonts w:cstheme="minorHAnsi"/>
          <w:sz w:val="24"/>
          <w:szCs w:val="24"/>
        </w:rPr>
        <w:t>Gilead</w:t>
      </w:r>
      <w:proofErr w:type="spellEnd"/>
      <w:r w:rsidRPr="009E0FFF">
        <w:rPr>
          <w:rFonts w:cstheme="minorHAnsi"/>
          <w:sz w:val="24"/>
          <w:szCs w:val="24"/>
        </w:rPr>
        <w:t xml:space="preserve"> </w:t>
      </w:r>
      <w:proofErr w:type="spellStart"/>
      <w:r w:rsidRPr="009E0FFF">
        <w:rPr>
          <w:rFonts w:cstheme="minorHAnsi"/>
          <w:sz w:val="24"/>
          <w:szCs w:val="24"/>
        </w:rPr>
        <w:t>Sciences</w:t>
      </w:r>
      <w:proofErr w:type="spellEnd"/>
      <w:r w:rsidR="006312BF" w:rsidRPr="009E0FFF">
        <w:rPr>
          <w:rFonts w:cstheme="minorHAnsi"/>
          <w:sz w:val="24"/>
          <w:szCs w:val="24"/>
        </w:rPr>
        <w:t xml:space="preserve"> (cu aproximativ 650 de brevete)</w:t>
      </w:r>
      <w:r w:rsidRPr="009E0FFF">
        <w:rPr>
          <w:rFonts w:cstheme="minorHAnsi"/>
          <w:sz w:val="24"/>
          <w:szCs w:val="24"/>
        </w:rPr>
        <w:t xml:space="preserve"> și </w:t>
      </w:r>
      <w:r w:rsidR="006312BF" w:rsidRPr="009E0FFF">
        <w:rPr>
          <w:rFonts w:cstheme="minorHAnsi"/>
          <w:sz w:val="24"/>
          <w:szCs w:val="24"/>
        </w:rPr>
        <w:t xml:space="preserve">de </w:t>
      </w:r>
      <w:r w:rsidRPr="009E0FFF">
        <w:rPr>
          <w:rFonts w:cstheme="minorHAnsi"/>
          <w:sz w:val="24"/>
          <w:szCs w:val="24"/>
        </w:rPr>
        <w:t>Moderna</w:t>
      </w:r>
      <w:r w:rsidR="006312BF" w:rsidRPr="009E0FFF">
        <w:rPr>
          <w:rFonts w:cstheme="minorHAnsi"/>
          <w:sz w:val="24"/>
          <w:szCs w:val="24"/>
        </w:rPr>
        <w:t xml:space="preserve"> </w:t>
      </w:r>
      <w:proofErr w:type="spellStart"/>
      <w:r w:rsidR="006312BF" w:rsidRPr="009E0FFF">
        <w:rPr>
          <w:rFonts w:cstheme="minorHAnsi"/>
          <w:sz w:val="24"/>
          <w:szCs w:val="24"/>
        </w:rPr>
        <w:t>Therapeutics</w:t>
      </w:r>
      <w:proofErr w:type="spellEnd"/>
      <w:r w:rsidR="006312BF" w:rsidRPr="009E0FFF">
        <w:rPr>
          <w:rFonts w:cstheme="minorHAnsi"/>
          <w:sz w:val="24"/>
          <w:szCs w:val="24"/>
        </w:rPr>
        <w:t xml:space="preserve"> (cu aproximativ 550 de brevete)</w:t>
      </w:r>
      <w:r w:rsidRPr="009E0FFF">
        <w:rPr>
          <w:rStyle w:val="FootnoteReference"/>
          <w:rFonts w:cstheme="minorHAnsi"/>
          <w:sz w:val="24"/>
          <w:szCs w:val="24"/>
        </w:rPr>
        <w:footnoteReference w:id="6"/>
      </w:r>
      <w:r w:rsidRPr="009E0FFF">
        <w:rPr>
          <w:rFonts w:cstheme="minorHAnsi"/>
          <w:sz w:val="24"/>
          <w:szCs w:val="24"/>
        </w:rPr>
        <w:t xml:space="preserve">. </w:t>
      </w:r>
    </w:p>
    <w:p w14:paraId="55573EA9" w14:textId="77777777" w:rsidR="00F37305" w:rsidRPr="009E0FFF" w:rsidRDefault="00F37305" w:rsidP="00F37305">
      <w:pPr>
        <w:pStyle w:val="NoSpacing"/>
        <w:jc w:val="both"/>
        <w:rPr>
          <w:rFonts w:cstheme="minorHAnsi"/>
          <w:sz w:val="24"/>
          <w:szCs w:val="24"/>
        </w:rPr>
      </w:pPr>
    </w:p>
    <w:p w14:paraId="479D220D" w14:textId="2EB0F93F" w:rsidR="006401AD" w:rsidRPr="009E0FFF" w:rsidRDefault="00655FCF" w:rsidP="009E0FFF">
      <w:pPr>
        <w:pStyle w:val="NoSpacing"/>
        <w:jc w:val="both"/>
        <w:rPr>
          <w:rFonts w:cstheme="minorHAnsi"/>
          <w:sz w:val="24"/>
          <w:szCs w:val="24"/>
        </w:rPr>
      </w:pPr>
      <w:r w:rsidRPr="009E0FFF">
        <w:rPr>
          <w:rFonts w:cstheme="minorHAnsi"/>
          <w:sz w:val="24"/>
          <w:szCs w:val="24"/>
        </w:rPr>
        <w:t>Pe de altă parte</w:t>
      </w:r>
      <w:r w:rsidR="006401AD" w:rsidRPr="009E0FFF">
        <w:rPr>
          <w:rFonts w:cstheme="minorHAnsi"/>
          <w:sz w:val="24"/>
          <w:szCs w:val="24"/>
        </w:rPr>
        <w:t xml:space="preserve">, </w:t>
      </w:r>
      <w:r w:rsidR="00987695" w:rsidRPr="009E0FFF">
        <w:rPr>
          <w:rFonts w:cstheme="minorHAnsi"/>
          <w:sz w:val="24"/>
          <w:szCs w:val="24"/>
        </w:rPr>
        <w:t xml:space="preserve"> c</w:t>
      </w:r>
      <w:r w:rsidR="00F46AE8" w:rsidRPr="009E0FFF">
        <w:rPr>
          <w:rFonts w:cstheme="minorHAnsi"/>
          <w:sz w:val="24"/>
          <w:szCs w:val="24"/>
        </w:rPr>
        <w:t>onform datelor publicate de UNICEF</w:t>
      </w:r>
      <w:r w:rsidR="00A53E7A" w:rsidRPr="009E0FFF">
        <w:rPr>
          <w:rStyle w:val="FootnoteReference"/>
          <w:rFonts w:cstheme="minorHAnsi"/>
          <w:sz w:val="24"/>
          <w:szCs w:val="24"/>
        </w:rPr>
        <w:footnoteReference w:id="7"/>
      </w:r>
      <w:r w:rsidR="00F46AE8" w:rsidRPr="009E0FFF">
        <w:rPr>
          <w:rFonts w:cstheme="minorHAnsi"/>
          <w:sz w:val="24"/>
          <w:szCs w:val="24"/>
        </w:rPr>
        <w:t xml:space="preserve">, </w:t>
      </w:r>
      <w:r w:rsidR="007F4D9B" w:rsidRPr="009E0FFF">
        <w:rPr>
          <w:rFonts w:cstheme="minorHAnsi"/>
          <w:b/>
          <w:sz w:val="24"/>
          <w:szCs w:val="24"/>
        </w:rPr>
        <w:t>doar</w:t>
      </w:r>
      <w:r w:rsidR="00F14A6E" w:rsidRPr="009E0FFF">
        <w:rPr>
          <w:rFonts w:cstheme="minorHAnsi"/>
          <w:b/>
          <w:sz w:val="24"/>
          <w:szCs w:val="24"/>
        </w:rPr>
        <w:t xml:space="preserve"> 40</w:t>
      </w:r>
      <w:r w:rsidR="00F46AE8" w:rsidRPr="009E0FFF">
        <w:rPr>
          <w:rFonts w:cstheme="minorHAnsi"/>
          <w:b/>
          <w:sz w:val="24"/>
          <w:szCs w:val="24"/>
        </w:rPr>
        <w:t>% din capacitatea mondială de producție</w:t>
      </w:r>
      <w:r w:rsidR="00A53E7A" w:rsidRPr="009E0FFF">
        <w:rPr>
          <w:rFonts w:cstheme="minorHAnsi"/>
          <w:b/>
          <w:sz w:val="24"/>
          <w:szCs w:val="24"/>
        </w:rPr>
        <w:t xml:space="preserve"> a vaccinurilor împotriva COVID-19 </w:t>
      </w:r>
      <w:r w:rsidR="00F46AE8" w:rsidRPr="009E0FFF">
        <w:rPr>
          <w:rFonts w:cstheme="minorHAnsi"/>
          <w:b/>
          <w:sz w:val="24"/>
          <w:szCs w:val="24"/>
        </w:rPr>
        <w:t>este actualmente exploatată</w:t>
      </w:r>
      <w:r w:rsidR="0034580F" w:rsidRPr="009E0FFF">
        <w:rPr>
          <w:rFonts w:cstheme="minorHAnsi"/>
          <w:b/>
          <w:sz w:val="24"/>
          <w:szCs w:val="24"/>
        </w:rPr>
        <w:t>,</w:t>
      </w:r>
      <w:r w:rsidRPr="009E0FFF">
        <w:rPr>
          <w:rFonts w:cstheme="minorHAnsi"/>
          <w:b/>
          <w:sz w:val="24"/>
          <w:szCs w:val="24"/>
        </w:rPr>
        <w:t xml:space="preserve"> </w:t>
      </w:r>
      <w:r w:rsidRPr="009E0FFF">
        <w:rPr>
          <w:rFonts w:cstheme="minorHAnsi"/>
          <w:sz w:val="24"/>
          <w:szCs w:val="24"/>
        </w:rPr>
        <w:t>iar unele țări duc lipsă de vaccinuri suficiente (nu</w:t>
      </w:r>
      <w:r w:rsidR="0034580F" w:rsidRPr="009E0FFF">
        <w:rPr>
          <w:rFonts w:cstheme="minorHAnsi"/>
          <w:sz w:val="24"/>
          <w:szCs w:val="24"/>
        </w:rPr>
        <w:t xml:space="preserve"> este, desigur, cazul României - </w:t>
      </w:r>
      <w:r w:rsidRPr="009E0FFF">
        <w:rPr>
          <w:rFonts w:cstheme="minorHAnsi"/>
          <w:sz w:val="24"/>
          <w:szCs w:val="24"/>
        </w:rPr>
        <w:t>cel puțin deocamdată)</w:t>
      </w:r>
      <w:r w:rsidR="00A53E7A" w:rsidRPr="009E0FFF">
        <w:rPr>
          <w:rFonts w:cstheme="minorHAnsi"/>
          <w:sz w:val="24"/>
          <w:szCs w:val="24"/>
        </w:rPr>
        <w:t xml:space="preserve">. </w:t>
      </w:r>
    </w:p>
    <w:p w14:paraId="60031057" w14:textId="77777777" w:rsidR="00C6361C" w:rsidRPr="009E0FFF" w:rsidRDefault="00C6361C" w:rsidP="00C13B2B">
      <w:pPr>
        <w:pStyle w:val="NoSpacing"/>
        <w:jc w:val="both"/>
        <w:rPr>
          <w:rFonts w:cstheme="minorHAnsi"/>
          <w:sz w:val="24"/>
          <w:szCs w:val="24"/>
        </w:rPr>
      </w:pPr>
    </w:p>
    <w:p w14:paraId="1457681C" w14:textId="272A7622" w:rsidR="007F4D9B" w:rsidRPr="009E0FFF" w:rsidRDefault="009E0FFF" w:rsidP="009E0FFF">
      <w:pPr>
        <w:pStyle w:val="NoSpacing"/>
        <w:jc w:val="both"/>
        <w:rPr>
          <w:rFonts w:cstheme="minorHAnsi"/>
          <w:sz w:val="24"/>
          <w:szCs w:val="24"/>
        </w:rPr>
      </w:pPr>
      <w:r>
        <w:rPr>
          <w:rFonts w:cstheme="minorHAnsi"/>
          <w:sz w:val="24"/>
          <w:szCs w:val="24"/>
        </w:rPr>
        <w:t>C</w:t>
      </w:r>
      <w:r w:rsidR="00EC7B2F" w:rsidRPr="009E0FFF">
        <w:rPr>
          <w:rFonts w:cstheme="minorHAnsi"/>
          <w:sz w:val="24"/>
          <w:szCs w:val="24"/>
        </w:rPr>
        <w:t xml:space="preserve">onsiderând că această situație este rezultatul exclusiv al intenției producătorilor vaccinurilor aprobate de a-și proteja drepturile de proprietate intelectuală cu privire la formulele și tehnologiile utilizate în procesul de fabricație, </w:t>
      </w:r>
      <w:r w:rsidR="00A53E7A" w:rsidRPr="009E0FFF">
        <w:rPr>
          <w:rFonts w:cstheme="minorHAnsi"/>
          <w:sz w:val="24"/>
          <w:szCs w:val="24"/>
        </w:rPr>
        <w:t xml:space="preserve">în luna octombrie </w:t>
      </w:r>
      <w:r w:rsidR="00DD015B" w:rsidRPr="009E0FFF">
        <w:rPr>
          <w:rFonts w:cstheme="minorHAnsi"/>
          <w:sz w:val="24"/>
          <w:szCs w:val="24"/>
        </w:rPr>
        <w:t>2020</w:t>
      </w:r>
      <w:r w:rsidR="00A53E7A" w:rsidRPr="009E0FFF">
        <w:rPr>
          <w:rFonts w:cstheme="minorHAnsi"/>
          <w:sz w:val="24"/>
          <w:szCs w:val="24"/>
        </w:rPr>
        <w:t xml:space="preserve">, India și Africa de Sud au transmis către </w:t>
      </w:r>
      <w:r w:rsidR="00206251" w:rsidRPr="009E0FFF">
        <w:rPr>
          <w:rFonts w:cstheme="minorHAnsi"/>
          <w:sz w:val="24"/>
          <w:szCs w:val="24"/>
        </w:rPr>
        <w:t>Organizați</w:t>
      </w:r>
      <w:r w:rsidR="00EC7B2F" w:rsidRPr="009E0FFF">
        <w:rPr>
          <w:rFonts w:cstheme="minorHAnsi"/>
          <w:sz w:val="24"/>
          <w:szCs w:val="24"/>
        </w:rPr>
        <w:t>a</w:t>
      </w:r>
      <w:r w:rsidR="00206251" w:rsidRPr="009E0FFF">
        <w:rPr>
          <w:rFonts w:cstheme="minorHAnsi"/>
          <w:sz w:val="24"/>
          <w:szCs w:val="24"/>
        </w:rPr>
        <w:t xml:space="preserve"> Mondial</w:t>
      </w:r>
      <w:r w:rsidR="00EC7B2F" w:rsidRPr="009E0FFF">
        <w:rPr>
          <w:rFonts w:cstheme="minorHAnsi"/>
          <w:sz w:val="24"/>
          <w:szCs w:val="24"/>
        </w:rPr>
        <w:t>ă</w:t>
      </w:r>
      <w:r w:rsidR="00A53E7A" w:rsidRPr="009E0FFF">
        <w:rPr>
          <w:rFonts w:cstheme="minorHAnsi"/>
          <w:sz w:val="24"/>
          <w:szCs w:val="24"/>
        </w:rPr>
        <w:t xml:space="preserve"> a Comerțului o </w:t>
      </w:r>
      <w:r w:rsidR="000314BC" w:rsidRPr="009E0FFF">
        <w:rPr>
          <w:rFonts w:cstheme="minorHAnsi"/>
          <w:b/>
          <w:sz w:val="24"/>
          <w:szCs w:val="24"/>
        </w:rPr>
        <w:t>propunere</w:t>
      </w:r>
      <w:r w:rsidR="00A53E7A" w:rsidRPr="009E0FFF">
        <w:rPr>
          <w:rFonts w:cstheme="minorHAnsi"/>
          <w:b/>
          <w:sz w:val="24"/>
          <w:szCs w:val="24"/>
        </w:rPr>
        <w:t xml:space="preserve"> de</w:t>
      </w:r>
      <w:r w:rsidR="00C13B2B" w:rsidRPr="009E0FFF">
        <w:rPr>
          <w:rFonts w:cstheme="minorHAnsi"/>
          <w:b/>
          <w:sz w:val="24"/>
          <w:szCs w:val="24"/>
        </w:rPr>
        <w:t xml:space="preserve"> exceptare temporară</w:t>
      </w:r>
      <w:r w:rsidR="00AA0058" w:rsidRPr="009E0FFF">
        <w:rPr>
          <w:rStyle w:val="FootnoteReference"/>
          <w:rFonts w:cstheme="minorHAnsi"/>
          <w:b/>
          <w:sz w:val="24"/>
          <w:szCs w:val="24"/>
        </w:rPr>
        <w:footnoteReference w:id="8"/>
      </w:r>
      <w:r w:rsidR="00C13B2B" w:rsidRPr="009E0FFF">
        <w:rPr>
          <w:rFonts w:cstheme="minorHAnsi"/>
          <w:b/>
          <w:sz w:val="24"/>
          <w:szCs w:val="24"/>
        </w:rPr>
        <w:t xml:space="preserve"> de la </w:t>
      </w:r>
      <w:r w:rsidR="00206251" w:rsidRPr="009E0FFF">
        <w:rPr>
          <w:rFonts w:cstheme="minorHAnsi"/>
          <w:b/>
          <w:sz w:val="24"/>
          <w:szCs w:val="24"/>
        </w:rPr>
        <w:t xml:space="preserve">protecția drepturilor de proprietate intelectuală </w:t>
      </w:r>
      <w:r w:rsidR="00E24B69" w:rsidRPr="009E0FFF">
        <w:rPr>
          <w:rFonts w:cstheme="minorHAnsi"/>
          <w:b/>
          <w:sz w:val="24"/>
          <w:szCs w:val="24"/>
        </w:rPr>
        <w:t>recunoscute</w:t>
      </w:r>
      <w:r w:rsidR="00206251" w:rsidRPr="009E0FFF">
        <w:rPr>
          <w:rFonts w:cstheme="minorHAnsi"/>
          <w:b/>
          <w:sz w:val="24"/>
          <w:szCs w:val="24"/>
        </w:rPr>
        <w:t xml:space="preserve"> prin Acordul TRIPS</w:t>
      </w:r>
      <w:r w:rsidR="00EC7B2F" w:rsidRPr="009E0FFF">
        <w:rPr>
          <w:rFonts w:cstheme="minorHAnsi"/>
          <w:b/>
          <w:sz w:val="24"/>
          <w:szCs w:val="24"/>
        </w:rPr>
        <w:t xml:space="preserve"> </w:t>
      </w:r>
      <w:r w:rsidR="00EC7B2F" w:rsidRPr="009E0FFF">
        <w:rPr>
          <w:rFonts w:cstheme="minorHAnsi"/>
          <w:sz w:val="24"/>
          <w:szCs w:val="24"/>
        </w:rPr>
        <w:t>(realizat în cadrul OMC)</w:t>
      </w:r>
      <w:r w:rsidR="00206251" w:rsidRPr="009E0FFF">
        <w:rPr>
          <w:rStyle w:val="FootnoteReference"/>
          <w:rFonts w:cstheme="minorHAnsi"/>
          <w:sz w:val="24"/>
          <w:szCs w:val="24"/>
        </w:rPr>
        <w:footnoteReference w:id="9"/>
      </w:r>
      <w:r w:rsidR="00E24B69" w:rsidRPr="009E0FFF">
        <w:rPr>
          <w:rFonts w:cstheme="minorHAnsi"/>
          <w:sz w:val="24"/>
          <w:szCs w:val="24"/>
        </w:rPr>
        <w:t xml:space="preserve"> în ceea ce privește </w:t>
      </w:r>
      <w:r w:rsidR="005C3773" w:rsidRPr="009E0FFF">
        <w:rPr>
          <w:rFonts w:cstheme="minorHAnsi"/>
          <w:sz w:val="24"/>
          <w:szCs w:val="24"/>
        </w:rPr>
        <w:t xml:space="preserve">tehnologia necesară pentru a preveni, limita și trata COVID-19, </w:t>
      </w:r>
      <w:r w:rsidR="007F4D9B" w:rsidRPr="009E0FFF">
        <w:rPr>
          <w:rFonts w:cstheme="minorHAnsi"/>
          <w:b/>
          <w:sz w:val="24"/>
          <w:szCs w:val="24"/>
        </w:rPr>
        <w:t>derogarea urmând să vizeze inclusiv brevetele de vaccinuri</w:t>
      </w:r>
      <w:r w:rsidR="0043731F" w:rsidRPr="009E0FFF">
        <w:rPr>
          <w:rStyle w:val="FootnoteReference"/>
          <w:rFonts w:cstheme="minorHAnsi"/>
          <w:sz w:val="24"/>
          <w:szCs w:val="24"/>
        </w:rPr>
        <w:footnoteReference w:id="10"/>
      </w:r>
      <w:r w:rsidR="007F4D9B" w:rsidRPr="009E0FFF">
        <w:rPr>
          <w:rFonts w:cstheme="minorHAnsi"/>
          <w:sz w:val="24"/>
          <w:szCs w:val="24"/>
        </w:rPr>
        <w:t xml:space="preserve">. </w:t>
      </w:r>
      <w:r w:rsidR="008C5D9B" w:rsidRPr="009E0FFF">
        <w:rPr>
          <w:rFonts w:cstheme="minorHAnsi"/>
          <w:sz w:val="24"/>
          <w:szCs w:val="24"/>
        </w:rPr>
        <w:t xml:space="preserve">Altfel spus, aceste țări doresc o renunțare temporară de </w:t>
      </w:r>
      <w:r w:rsidR="0034580F" w:rsidRPr="009E0FFF">
        <w:rPr>
          <w:rFonts w:cstheme="minorHAnsi"/>
          <w:sz w:val="24"/>
          <w:szCs w:val="24"/>
        </w:rPr>
        <w:t xml:space="preserve">la </w:t>
      </w:r>
      <w:r w:rsidR="008C5D9B" w:rsidRPr="009E0FFF">
        <w:rPr>
          <w:rFonts w:cstheme="minorHAnsi"/>
          <w:sz w:val="24"/>
          <w:szCs w:val="24"/>
        </w:rPr>
        <w:t xml:space="preserve">protecția </w:t>
      </w:r>
      <w:r w:rsidR="0034580F" w:rsidRPr="009E0FFF">
        <w:rPr>
          <w:rFonts w:cstheme="minorHAnsi"/>
          <w:sz w:val="24"/>
          <w:szCs w:val="24"/>
        </w:rPr>
        <w:t>garantată prin brevete pe terit</w:t>
      </w:r>
      <w:r w:rsidR="00716342" w:rsidRPr="009E0FFF">
        <w:rPr>
          <w:rFonts w:cstheme="minorHAnsi"/>
          <w:sz w:val="24"/>
          <w:szCs w:val="24"/>
        </w:rPr>
        <w:t xml:space="preserve">oriile lor, iar pentru a putea </w:t>
      </w:r>
      <w:r w:rsidR="0034580F" w:rsidRPr="009E0FFF">
        <w:rPr>
          <w:rFonts w:cstheme="minorHAnsi"/>
          <w:sz w:val="24"/>
          <w:szCs w:val="24"/>
        </w:rPr>
        <w:t xml:space="preserve">ajunge la acest rezultat, este nevoie de o derogare de la Acordul TRIPS ce impune acordarea unei atare protecții. </w:t>
      </w:r>
      <w:r w:rsidR="00716342" w:rsidRPr="009E0FFF">
        <w:rPr>
          <w:rFonts w:cstheme="minorHAnsi"/>
          <w:sz w:val="24"/>
          <w:szCs w:val="24"/>
        </w:rPr>
        <w:t>În absența unei derogări generale, o</w:t>
      </w:r>
      <w:r w:rsidR="0034580F" w:rsidRPr="009E0FFF">
        <w:rPr>
          <w:rFonts w:cstheme="minorHAnsi"/>
          <w:sz w:val="24"/>
          <w:szCs w:val="24"/>
        </w:rPr>
        <w:t xml:space="preserve"> conduită unilaterală </w:t>
      </w:r>
      <w:r w:rsidR="00F71324" w:rsidRPr="009E0FFF">
        <w:rPr>
          <w:rFonts w:cstheme="minorHAnsi"/>
          <w:sz w:val="24"/>
          <w:szCs w:val="24"/>
        </w:rPr>
        <w:t>a</w:t>
      </w:r>
      <w:r w:rsidR="0034580F" w:rsidRPr="009E0FFF">
        <w:rPr>
          <w:rFonts w:cstheme="minorHAnsi"/>
          <w:sz w:val="24"/>
          <w:szCs w:val="24"/>
        </w:rPr>
        <w:t xml:space="preserve"> acestor state</w:t>
      </w:r>
      <w:r w:rsidR="00F71324" w:rsidRPr="009E0FFF">
        <w:rPr>
          <w:rFonts w:cstheme="minorHAnsi"/>
          <w:sz w:val="24"/>
          <w:szCs w:val="24"/>
        </w:rPr>
        <w:t xml:space="preserve"> ar putea conduc</w:t>
      </w:r>
      <w:r w:rsidR="00716342" w:rsidRPr="009E0FFF">
        <w:rPr>
          <w:rFonts w:cstheme="minorHAnsi"/>
          <w:sz w:val="24"/>
          <w:szCs w:val="24"/>
        </w:rPr>
        <w:t xml:space="preserve">e la măsuri de răspuns din partea organelor OMC și a altor state membre ale Organizației. </w:t>
      </w:r>
      <w:r w:rsidR="007F4D9B" w:rsidRPr="009E0FFF">
        <w:rPr>
          <w:rFonts w:cstheme="minorHAnsi"/>
          <w:sz w:val="24"/>
          <w:szCs w:val="24"/>
        </w:rPr>
        <w:t>Solicitarea</w:t>
      </w:r>
      <w:r w:rsidR="00716342" w:rsidRPr="009E0FFF">
        <w:rPr>
          <w:rFonts w:cstheme="minorHAnsi"/>
          <w:sz w:val="24"/>
          <w:szCs w:val="24"/>
        </w:rPr>
        <w:t xml:space="preserve"> formulată de India și Africa de Sud</w:t>
      </w:r>
      <w:r w:rsidR="007F4D9B" w:rsidRPr="009E0FFF">
        <w:rPr>
          <w:rFonts w:cstheme="minorHAnsi"/>
          <w:sz w:val="24"/>
          <w:szCs w:val="24"/>
        </w:rPr>
        <w:t xml:space="preserve"> a generat multiple reacții și luări de poziții pe plan internațional, inclusiv din partea instituțiilor europene.</w:t>
      </w:r>
    </w:p>
    <w:p w14:paraId="7841B7AF" w14:textId="77777777" w:rsidR="00740F93" w:rsidRPr="009E0FFF" w:rsidRDefault="00740F93" w:rsidP="00740F93">
      <w:pPr>
        <w:pStyle w:val="NoSpacing"/>
        <w:jc w:val="both"/>
        <w:rPr>
          <w:rFonts w:cstheme="minorHAnsi"/>
          <w:sz w:val="24"/>
          <w:szCs w:val="24"/>
        </w:rPr>
      </w:pPr>
    </w:p>
    <w:p w14:paraId="500BF717" w14:textId="3EBFB2DA" w:rsidR="008C5D9B" w:rsidRPr="009E0FFF" w:rsidRDefault="003D7BC4" w:rsidP="009E0FFF">
      <w:pPr>
        <w:pStyle w:val="NoSpacing"/>
        <w:jc w:val="both"/>
        <w:rPr>
          <w:rFonts w:cstheme="minorHAnsi"/>
          <w:sz w:val="24"/>
          <w:szCs w:val="24"/>
        </w:rPr>
      </w:pPr>
      <w:r w:rsidRPr="009E0FFF">
        <w:rPr>
          <w:rFonts w:cstheme="minorHAnsi"/>
          <w:b/>
          <w:sz w:val="24"/>
          <w:szCs w:val="24"/>
        </w:rPr>
        <w:t>Comisia Europeană</w:t>
      </w:r>
      <w:r w:rsidR="007F4D9B" w:rsidRPr="009E0FFF">
        <w:rPr>
          <w:rFonts w:cstheme="minorHAnsi"/>
          <w:sz w:val="24"/>
          <w:szCs w:val="24"/>
        </w:rPr>
        <w:t xml:space="preserve"> </w:t>
      </w:r>
      <w:r w:rsidRPr="009E0FFF">
        <w:rPr>
          <w:rFonts w:cstheme="minorHAnsi"/>
          <w:sz w:val="24"/>
          <w:szCs w:val="24"/>
        </w:rPr>
        <w:t>a</w:t>
      </w:r>
      <w:r w:rsidR="004156F5" w:rsidRPr="009E0FFF">
        <w:rPr>
          <w:rFonts w:cstheme="minorHAnsi"/>
          <w:sz w:val="24"/>
          <w:szCs w:val="24"/>
        </w:rPr>
        <w:t xml:space="preserve"> fost promotorul protejării drepturilor de proprietate intelectuală, </w:t>
      </w:r>
      <w:r w:rsidR="008C5D9B" w:rsidRPr="009E0FFF">
        <w:rPr>
          <w:rFonts w:cstheme="minorHAnsi"/>
          <w:sz w:val="24"/>
          <w:szCs w:val="24"/>
        </w:rPr>
        <w:t xml:space="preserve">opunându-se unei derogări formale de la TRIPS, </w:t>
      </w:r>
      <w:r w:rsidR="004156F5" w:rsidRPr="009E0FFF">
        <w:rPr>
          <w:rFonts w:cstheme="minorHAnsi"/>
          <w:sz w:val="24"/>
          <w:szCs w:val="24"/>
        </w:rPr>
        <w:t>sens în care a transmis o contrapropunere către OMC</w:t>
      </w:r>
      <w:r w:rsidR="004156F5" w:rsidRPr="009E0FFF">
        <w:rPr>
          <w:rStyle w:val="FootnoteReference"/>
          <w:rFonts w:cstheme="minorHAnsi"/>
          <w:sz w:val="24"/>
          <w:szCs w:val="24"/>
        </w:rPr>
        <w:footnoteReference w:id="11"/>
      </w:r>
      <w:r w:rsidR="004156F5" w:rsidRPr="009E0FFF">
        <w:rPr>
          <w:rFonts w:cstheme="minorHAnsi"/>
          <w:sz w:val="24"/>
          <w:szCs w:val="24"/>
        </w:rPr>
        <w:t xml:space="preserve"> și a subliniat, printre altele, faptul că Acordul TRIPS prevede o serie de mecanisme legale ce ar putea fi folosite pentru a accelera producția de vaccinuri pe plan mondial, respectiv </w:t>
      </w:r>
      <w:r w:rsidR="004156F5" w:rsidRPr="009E0FFF">
        <w:rPr>
          <w:rFonts w:cstheme="minorHAnsi"/>
          <w:b/>
          <w:sz w:val="24"/>
          <w:szCs w:val="24"/>
        </w:rPr>
        <w:t>licențele voluntare sau licențele obligatorii</w:t>
      </w:r>
      <w:r w:rsidR="004156F5" w:rsidRPr="009E0FFF">
        <w:rPr>
          <w:rFonts w:cstheme="minorHAnsi"/>
          <w:sz w:val="24"/>
          <w:szCs w:val="24"/>
        </w:rPr>
        <w:t xml:space="preserve">. </w:t>
      </w:r>
    </w:p>
    <w:p w14:paraId="286FF962" w14:textId="77777777" w:rsidR="003F757A" w:rsidRPr="009E0FFF" w:rsidRDefault="003F757A" w:rsidP="003F757A">
      <w:pPr>
        <w:pStyle w:val="NoSpacing"/>
        <w:jc w:val="both"/>
        <w:rPr>
          <w:rFonts w:cstheme="minorHAnsi"/>
          <w:sz w:val="24"/>
          <w:szCs w:val="24"/>
        </w:rPr>
      </w:pPr>
    </w:p>
    <w:p w14:paraId="0C30B9A6" w14:textId="34B85200" w:rsidR="00015C79" w:rsidRPr="009E0FFF" w:rsidRDefault="00015C79" w:rsidP="009E0FFF">
      <w:pPr>
        <w:pStyle w:val="NoSpacing"/>
        <w:jc w:val="both"/>
        <w:rPr>
          <w:rFonts w:cstheme="minorHAnsi"/>
          <w:sz w:val="24"/>
          <w:szCs w:val="24"/>
        </w:rPr>
      </w:pPr>
      <w:r w:rsidRPr="009E0FFF">
        <w:rPr>
          <w:rFonts w:cstheme="minorHAnsi"/>
          <w:sz w:val="24"/>
          <w:szCs w:val="24"/>
        </w:rPr>
        <w:t xml:space="preserve">Într-o notă diferită, </w:t>
      </w:r>
      <w:r w:rsidR="00DD015B" w:rsidRPr="009E0FFF">
        <w:rPr>
          <w:rFonts w:cstheme="minorHAnsi"/>
          <w:sz w:val="24"/>
          <w:szCs w:val="24"/>
        </w:rPr>
        <w:t>prin Rezoluția din data de 10.0</w:t>
      </w:r>
      <w:r w:rsidR="008E7EE9" w:rsidRPr="009E0FFF">
        <w:rPr>
          <w:rFonts w:cstheme="minorHAnsi"/>
          <w:sz w:val="24"/>
          <w:szCs w:val="24"/>
        </w:rPr>
        <w:t>6</w:t>
      </w:r>
      <w:r w:rsidR="00DD015B" w:rsidRPr="009E0FFF">
        <w:rPr>
          <w:rFonts w:cstheme="minorHAnsi"/>
          <w:sz w:val="24"/>
          <w:szCs w:val="24"/>
        </w:rPr>
        <w:t>.2021</w:t>
      </w:r>
      <w:r w:rsidR="00DD015B" w:rsidRPr="009E0FFF">
        <w:rPr>
          <w:rStyle w:val="FootnoteReference"/>
          <w:rFonts w:cstheme="minorHAnsi"/>
          <w:sz w:val="24"/>
          <w:szCs w:val="24"/>
        </w:rPr>
        <w:footnoteReference w:id="12"/>
      </w:r>
      <w:r w:rsidR="00DD015B" w:rsidRPr="009E0FFF">
        <w:rPr>
          <w:rFonts w:cstheme="minorHAnsi"/>
          <w:sz w:val="24"/>
          <w:szCs w:val="24"/>
        </w:rPr>
        <w:t xml:space="preserve"> </w:t>
      </w:r>
      <w:r w:rsidR="00DD015B" w:rsidRPr="009E0FFF">
        <w:rPr>
          <w:rFonts w:cstheme="minorHAnsi"/>
          <w:bCs/>
          <w:sz w:val="24"/>
          <w:szCs w:val="24"/>
        </w:rPr>
        <w:t xml:space="preserve">referitoare la răspunsul la provocarea globală reprezentată de pandemia de COVID-19, </w:t>
      </w:r>
      <w:r w:rsidRPr="009E0FFF">
        <w:rPr>
          <w:rFonts w:cstheme="minorHAnsi"/>
          <w:b/>
          <w:sz w:val="24"/>
          <w:szCs w:val="24"/>
        </w:rPr>
        <w:t xml:space="preserve">Parlamentul European </w:t>
      </w:r>
      <w:r w:rsidR="00CC224E" w:rsidRPr="009E0FFF">
        <w:rPr>
          <w:rFonts w:cstheme="minorHAnsi"/>
          <w:b/>
          <w:bCs/>
          <w:sz w:val="24"/>
          <w:szCs w:val="24"/>
        </w:rPr>
        <w:t xml:space="preserve">a </w:t>
      </w:r>
      <w:r w:rsidR="00DD015B" w:rsidRPr="009E0FFF">
        <w:rPr>
          <w:rFonts w:cstheme="minorHAnsi"/>
          <w:b/>
          <w:bCs/>
          <w:sz w:val="24"/>
          <w:szCs w:val="24"/>
        </w:rPr>
        <w:t xml:space="preserve">votat </w:t>
      </w:r>
      <w:r w:rsidR="004156F5" w:rsidRPr="009E0FFF">
        <w:rPr>
          <w:rFonts w:cstheme="minorHAnsi"/>
          <w:b/>
          <w:bCs/>
          <w:sz w:val="24"/>
          <w:szCs w:val="24"/>
        </w:rPr>
        <w:t>în sensul</w:t>
      </w:r>
      <w:r w:rsidR="00890311" w:rsidRPr="009E0FFF">
        <w:rPr>
          <w:rFonts w:cstheme="minorHAnsi"/>
          <w:b/>
          <w:bCs/>
          <w:sz w:val="24"/>
          <w:szCs w:val="24"/>
        </w:rPr>
        <w:t xml:space="preserve"> începerii</w:t>
      </w:r>
      <w:r w:rsidR="00CC224E" w:rsidRPr="009E0FFF">
        <w:rPr>
          <w:rFonts w:cstheme="minorHAnsi"/>
          <w:b/>
          <w:bCs/>
          <w:sz w:val="24"/>
          <w:szCs w:val="24"/>
        </w:rPr>
        <w:t xml:space="preserve"> negocierilor pentru derogarea temporară de la Acordul TRIPS al OMC</w:t>
      </w:r>
      <w:r w:rsidR="00DD015B" w:rsidRPr="009E0FFF">
        <w:rPr>
          <w:rFonts w:cstheme="minorHAnsi"/>
          <w:bCs/>
          <w:sz w:val="24"/>
          <w:szCs w:val="24"/>
        </w:rPr>
        <w:t xml:space="preserve">. </w:t>
      </w:r>
      <w:r w:rsidR="00CC224E" w:rsidRPr="009E0FFF">
        <w:rPr>
          <w:rFonts w:cstheme="minorHAnsi"/>
          <w:bCs/>
          <w:sz w:val="24"/>
          <w:szCs w:val="24"/>
        </w:rPr>
        <w:t xml:space="preserve">Conform punctului 9 din </w:t>
      </w:r>
      <w:r w:rsidR="00DD015B" w:rsidRPr="009E0FFF">
        <w:rPr>
          <w:rFonts w:cstheme="minorHAnsi"/>
          <w:bCs/>
          <w:sz w:val="24"/>
          <w:szCs w:val="24"/>
        </w:rPr>
        <w:t>rezoluție</w:t>
      </w:r>
      <w:r w:rsidR="00CC224E" w:rsidRPr="009E0FFF">
        <w:rPr>
          <w:rFonts w:cstheme="minorHAnsi"/>
          <w:bCs/>
          <w:sz w:val="24"/>
          <w:szCs w:val="24"/>
        </w:rPr>
        <w:t xml:space="preserve">, legislativul european a invitat Comisia să furnizeze criterii obiective pe baza cărora se va stabili dacă, în ce cazuri și când va recurge la licențe obligatorii și </w:t>
      </w:r>
      <w:r w:rsidR="00CC224E" w:rsidRPr="009E0FFF">
        <w:rPr>
          <w:rFonts w:cstheme="minorHAnsi"/>
          <w:b/>
          <w:bCs/>
          <w:sz w:val="24"/>
          <w:szCs w:val="24"/>
        </w:rPr>
        <w:t>a subliniat că licențele obligatorii necesită un cadru juridic eficace și ar putea conduce la dificultăți juridice în țările în curs de dezvoltare</w:t>
      </w:r>
      <w:r w:rsidR="00C649BC" w:rsidRPr="009E0FFF">
        <w:rPr>
          <w:rFonts w:cstheme="minorHAnsi"/>
          <w:bCs/>
          <w:sz w:val="24"/>
          <w:szCs w:val="24"/>
        </w:rPr>
        <w:t xml:space="preserve">. </w:t>
      </w:r>
      <w:r w:rsidR="008C5D9B" w:rsidRPr="009E0FFF">
        <w:rPr>
          <w:rFonts w:cstheme="minorHAnsi"/>
          <w:bCs/>
          <w:sz w:val="24"/>
          <w:szCs w:val="24"/>
        </w:rPr>
        <w:t>Altfel spus</w:t>
      </w:r>
      <w:r w:rsidR="00716342" w:rsidRPr="009E0FFF">
        <w:rPr>
          <w:rFonts w:cstheme="minorHAnsi"/>
          <w:bCs/>
          <w:sz w:val="24"/>
          <w:szCs w:val="24"/>
        </w:rPr>
        <w:t>,</w:t>
      </w:r>
      <w:r w:rsidR="008C5D9B" w:rsidRPr="009E0FFF">
        <w:rPr>
          <w:rFonts w:cstheme="minorHAnsi"/>
          <w:bCs/>
          <w:sz w:val="24"/>
          <w:szCs w:val="24"/>
        </w:rPr>
        <w:t xml:space="preserve"> </w:t>
      </w:r>
      <w:r w:rsidR="00F71324" w:rsidRPr="009E0FFF">
        <w:rPr>
          <w:rFonts w:cstheme="minorHAnsi"/>
          <w:b/>
          <w:bCs/>
          <w:sz w:val="24"/>
          <w:szCs w:val="24"/>
        </w:rPr>
        <w:t xml:space="preserve">Parlamentul European consideră că </w:t>
      </w:r>
      <w:r w:rsidR="008C5D9B" w:rsidRPr="009E0FFF">
        <w:rPr>
          <w:rFonts w:cstheme="minorHAnsi"/>
          <w:b/>
          <w:bCs/>
          <w:sz w:val="24"/>
          <w:szCs w:val="24"/>
        </w:rPr>
        <w:t xml:space="preserve">derogarea de la TRIPS ar trebui permisă tocmai </w:t>
      </w:r>
      <w:r w:rsidR="00716342" w:rsidRPr="009E0FFF">
        <w:rPr>
          <w:rFonts w:cstheme="minorHAnsi"/>
          <w:b/>
          <w:bCs/>
          <w:sz w:val="24"/>
          <w:szCs w:val="24"/>
        </w:rPr>
        <w:t>motivat de faptul că</w:t>
      </w:r>
      <w:r w:rsidR="008C5D9B" w:rsidRPr="009E0FFF">
        <w:rPr>
          <w:rFonts w:cstheme="minorHAnsi"/>
          <w:b/>
          <w:bCs/>
          <w:sz w:val="24"/>
          <w:szCs w:val="24"/>
        </w:rPr>
        <w:t xml:space="preserve"> actualul cadru legal privind licențele obligatorii nu este unul eficace, în special în țările care au cea mai mare nevoie de vaccinuri</w:t>
      </w:r>
      <w:r w:rsidR="008C5D9B" w:rsidRPr="009E0FFF">
        <w:rPr>
          <w:rFonts w:cstheme="minorHAnsi"/>
          <w:bCs/>
          <w:sz w:val="24"/>
          <w:szCs w:val="24"/>
        </w:rPr>
        <w:t>.</w:t>
      </w:r>
    </w:p>
    <w:p w14:paraId="444EDF8F" w14:textId="77777777" w:rsidR="00C649BC" w:rsidRPr="009E0FFF" w:rsidRDefault="00C649BC" w:rsidP="00C649BC">
      <w:pPr>
        <w:pStyle w:val="NoSpacing"/>
        <w:jc w:val="both"/>
        <w:rPr>
          <w:rFonts w:cstheme="minorHAnsi"/>
          <w:sz w:val="24"/>
          <w:szCs w:val="24"/>
        </w:rPr>
      </w:pPr>
    </w:p>
    <w:p w14:paraId="20E34B04" w14:textId="3B18F749" w:rsidR="00DA6027" w:rsidRPr="009E0FFF" w:rsidRDefault="00890311" w:rsidP="009E0FFF">
      <w:pPr>
        <w:pStyle w:val="NoSpacing"/>
        <w:jc w:val="both"/>
        <w:rPr>
          <w:rFonts w:cstheme="minorHAnsi"/>
          <w:sz w:val="24"/>
          <w:szCs w:val="24"/>
        </w:rPr>
      </w:pPr>
      <w:r w:rsidRPr="009E0FFF">
        <w:rPr>
          <w:rFonts w:cstheme="minorHAnsi"/>
          <w:sz w:val="24"/>
          <w:szCs w:val="24"/>
        </w:rPr>
        <w:t>Deși licențele de brevete sunt susceptibile să asigure un echilibru între cele două interese contrare, respectiv interesul titularului brevet</w:t>
      </w:r>
      <w:r w:rsidR="00634E32" w:rsidRPr="009E0FFF">
        <w:rPr>
          <w:rFonts w:cstheme="minorHAnsi"/>
          <w:sz w:val="24"/>
          <w:szCs w:val="24"/>
        </w:rPr>
        <w:t xml:space="preserve">ului de a beneficia de protecție juridică </w:t>
      </w:r>
      <w:r w:rsidRPr="009E0FFF">
        <w:rPr>
          <w:rFonts w:cstheme="minorHAnsi"/>
          <w:sz w:val="24"/>
          <w:szCs w:val="24"/>
        </w:rPr>
        <w:t xml:space="preserve">și de a primi totodată o </w:t>
      </w:r>
      <w:r w:rsidRPr="009E0FFF">
        <w:rPr>
          <w:rFonts w:cstheme="minorHAnsi"/>
          <w:sz w:val="24"/>
          <w:szCs w:val="24"/>
        </w:rPr>
        <w:lastRenderedPageBreak/>
        <w:t>compensație pecuniară</w:t>
      </w:r>
      <w:r w:rsidR="00634E32" w:rsidRPr="009E0FFF">
        <w:rPr>
          <w:rFonts w:cstheme="minorHAnsi"/>
          <w:sz w:val="24"/>
          <w:szCs w:val="24"/>
        </w:rPr>
        <w:t xml:space="preserve"> echitabilă din partea beneficiarului licenței</w:t>
      </w:r>
      <w:r w:rsidRPr="009E0FFF">
        <w:rPr>
          <w:rFonts w:cstheme="minorHAnsi"/>
          <w:sz w:val="24"/>
          <w:szCs w:val="24"/>
        </w:rPr>
        <w:t xml:space="preserve">, pe de-o parte, și </w:t>
      </w:r>
      <w:r w:rsidR="00634E32" w:rsidRPr="009E0FFF">
        <w:rPr>
          <w:rFonts w:cstheme="minorHAnsi"/>
          <w:sz w:val="24"/>
          <w:szCs w:val="24"/>
        </w:rPr>
        <w:t>celor din urmă</w:t>
      </w:r>
      <w:r w:rsidRPr="009E0FFF">
        <w:rPr>
          <w:rFonts w:cstheme="minorHAnsi"/>
          <w:sz w:val="24"/>
          <w:szCs w:val="24"/>
        </w:rPr>
        <w:t xml:space="preserve"> de a avea acces la informațiile necesare </w:t>
      </w:r>
      <w:r w:rsidR="00634E32" w:rsidRPr="009E0FFF">
        <w:rPr>
          <w:rFonts w:cstheme="minorHAnsi"/>
          <w:sz w:val="24"/>
          <w:szCs w:val="24"/>
        </w:rPr>
        <w:t xml:space="preserve">în scopul producerii vaccinurilor, pe de altă parte, </w:t>
      </w:r>
      <w:r w:rsidR="00634E32" w:rsidRPr="009E0FFF">
        <w:rPr>
          <w:rFonts w:cstheme="minorHAnsi"/>
          <w:b/>
          <w:sz w:val="24"/>
          <w:szCs w:val="24"/>
        </w:rPr>
        <w:t>condiționările existente în Acordul TRIPS</w:t>
      </w:r>
      <w:r w:rsidR="008C5D9B" w:rsidRPr="009E0FFF">
        <w:rPr>
          <w:rFonts w:cstheme="minorHAnsi"/>
          <w:b/>
          <w:sz w:val="24"/>
          <w:szCs w:val="24"/>
        </w:rPr>
        <w:t xml:space="preserve"> </w:t>
      </w:r>
      <w:r w:rsidR="00634E32" w:rsidRPr="009E0FFF">
        <w:rPr>
          <w:rFonts w:cstheme="minorHAnsi"/>
          <w:b/>
          <w:sz w:val="24"/>
          <w:szCs w:val="24"/>
        </w:rPr>
        <w:t>par să descurajeze utilizarea unui atare mecanism legal</w:t>
      </w:r>
      <w:r w:rsidR="00634E32" w:rsidRPr="009E0FFF">
        <w:rPr>
          <w:rFonts w:cstheme="minorHAnsi"/>
          <w:sz w:val="24"/>
          <w:szCs w:val="24"/>
        </w:rPr>
        <w:t xml:space="preserve">. </w:t>
      </w:r>
      <w:r w:rsidR="008C5D9B" w:rsidRPr="009E0FFF">
        <w:rPr>
          <w:rFonts w:cstheme="minorHAnsi"/>
          <w:sz w:val="24"/>
          <w:szCs w:val="24"/>
        </w:rPr>
        <w:t>De altfel, dificultățile redate anterior în privința mecanismelor de licențiere FRAND pentru tehnologiile standard</w:t>
      </w:r>
      <w:r w:rsidR="00716342" w:rsidRPr="009E0FFF">
        <w:rPr>
          <w:rFonts w:cstheme="minorHAnsi"/>
          <w:sz w:val="24"/>
          <w:szCs w:val="24"/>
        </w:rPr>
        <w:t xml:space="preserve">izate, în special referitoare la tehnologia 5G, </w:t>
      </w:r>
      <w:r w:rsidR="008C5D9B" w:rsidRPr="009E0FFF">
        <w:rPr>
          <w:rFonts w:cstheme="minorHAnsi"/>
          <w:sz w:val="24"/>
          <w:szCs w:val="24"/>
        </w:rPr>
        <w:t>nu fac decât să sublinieze că un mecanism asemănător este i</w:t>
      </w:r>
      <w:r w:rsidR="00716342" w:rsidRPr="009E0FFF">
        <w:rPr>
          <w:rFonts w:cstheme="minorHAnsi"/>
          <w:sz w:val="24"/>
          <w:szCs w:val="24"/>
        </w:rPr>
        <w:t xml:space="preserve">nadecvat în cazul unei pandemii, în absența unor clarificări pe cale legislativă a condițiilor de aplicare. </w:t>
      </w:r>
    </w:p>
    <w:p w14:paraId="36E7F4D9" w14:textId="77777777" w:rsidR="00A16DC1" w:rsidRPr="009E0FFF" w:rsidRDefault="00A16DC1" w:rsidP="00A16DC1">
      <w:pPr>
        <w:pStyle w:val="NoSpacing"/>
        <w:jc w:val="both"/>
        <w:rPr>
          <w:rFonts w:cstheme="minorHAnsi"/>
          <w:sz w:val="24"/>
          <w:szCs w:val="24"/>
        </w:rPr>
      </w:pPr>
    </w:p>
    <w:p w14:paraId="4B78EBE7" w14:textId="4FBC8DB5" w:rsidR="00807AC3" w:rsidRPr="009E0FFF" w:rsidRDefault="00A350E6" w:rsidP="009E0FFF">
      <w:pPr>
        <w:pStyle w:val="NoSpacing"/>
        <w:jc w:val="both"/>
        <w:rPr>
          <w:rFonts w:cstheme="minorHAnsi"/>
          <w:sz w:val="24"/>
          <w:szCs w:val="24"/>
        </w:rPr>
      </w:pPr>
      <w:r w:rsidRPr="009E0FFF">
        <w:rPr>
          <w:rFonts w:cstheme="minorHAnsi"/>
          <w:sz w:val="24"/>
          <w:szCs w:val="24"/>
        </w:rPr>
        <w:t xml:space="preserve">Din </w:t>
      </w:r>
      <w:r w:rsidR="00716342" w:rsidRPr="009E0FFF">
        <w:rPr>
          <w:rFonts w:cstheme="minorHAnsi"/>
          <w:sz w:val="24"/>
          <w:szCs w:val="24"/>
        </w:rPr>
        <w:t xml:space="preserve">fericire, în România nu se pune - cel puțin deocamdată - </w:t>
      </w:r>
      <w:r w:rsidRPr="009E0FFF">
        <w:rPr>
          <w:rFonts w:cstheme="minorHAnsi"/>
          <w:sz w:val="24"/>
          <w:szCs w:val="24"/>
        </w:rPr>
        <w:t>problema unei penurii de vaccinuri</w:t>
      </w:r>
      <w:r w:rsidR="00211211" w:rsidRPr="009E0FFF">
        <w:rPr>
          <w:rFonts w:cstheme="minorHAnsi"/>
          <w:sz w:val="24"/>
          <w:szCs w:val="24"/>
        </w:rPr>
        <w:t xml:space="preserve"> COVID</w:t>
      </w:r>
      <w:r w:rsidRPr="009E0FFF">
        <w:rPr>
          <w:rFonts w:cstheme="minorHAnsi"/>
          <w:sz w:val="24"/>
          <w:szCs w:val="24"/>
        </w:rPr>
        <w:t>; discuția este așadar valabilă mai degrabă pentru viitor. Tot</w:t>
      </w:r>
      <w:r w:rsidR="00211211" w:rsidRPr="009E0FFF">
        <w:rPr>
          <w:rFonts w:cstheme="minorHAnsi"/>
          <w:sz w:val="24"/>
          <w:szCs w:val="24"/>
        </w:rPr>
        <w:t>uși, nu putem să nu observăm că</w:t>
      </w:r>
      <w:r w:rsidR="00AE4EEE" w:rsidRPr="009E0FFF">
        <w:rPr>
          <w:rFonts w:cstheme="minorHAnsi"/>
          <w:sz w:val="24"/>
          <w:szCs w:val="24"/>
        </w:rPr>
        <w:t>,</w:t>
      </w:r>
      <w:r w:rsidR="00807AC3" w:rsidRPr="009E0FFF">
        <w:rPr>
          <w:rFonts w:cstheme="minorHAnsi"/>
          <w:sz w:val="24"/>
          <w:szCs w:val="24"/>
        </w:rPr>
        <w:t xml:space="preserve"> în încercarea de aplicare a mecanismului licențelor obligatorii prevăzut de Legea nr. 64/1991,</w:t>
      </w:r>
      <w:r w:rsidR="00AE4EEE" w:rsidRPr="009E0FFF">
        <w:rPr>
          <w:rFonts w:cstheme="minorHAnsi"/>
          <w:sz w:val="24"/>
          <w:szCs w:val="24"/>
        </w:rPr>
        <w:t xml:space="preserve"> </w:t>
      </w:r>
      <w:r w:rsidR="00807AC3" w:rsidRPr="009E0FFF">
        <w:rPr>
          <w:rFonts w:cstheme="minorHAnsi"/>
          <w:sz w:val="24"/>
          <w:szCs w:val="24"/>
        </w:rPr>
        <w:t>se ridică</w:t>
      </w:r>
      <w:r w:rsidRPr="009E0FFF">
        <w:rPr>
          <w:rFonts w:cstheme="minorHAnsi"/>
          <w:sz w:val="24"/>
          <w:szCs w:val="24"/>
        </w:rPr>
        <w:t>, pentru moment,</w:t>
      </w:r>
      <w:r w:rsidR="00807AC3" w:rsidRPr="009E0FFF">
        <w:rPr>
          <w:rFonts w:cstheme="minorHAnsi"/>
          <w:sz w:val="24"/>
          <w:szCs w:val="24"/>
        </w:rPr>
        <w:t xml:space="preserve"> cel puțin următoarele neclarități: </w:t>
      </w:r>
    </w:p>
    <w:p w14:paraId="661DBA9D" w14:textId="77777777" w:rsidR="006F120B" w:rsidRPr="009E0FFF" w:rsidRDefault="006F120B" w:rsidP="006F120B">
      <w:pPr>
        <w:pStyle w:val="NoSpacing"/>
        <w:ind w:left="720"/>
        <w:jc w:val="both"/>
        <w:rPr>
          <w:rFonts w:cstheme="minorHAnsi"/>
          <w:sz w:val="24"/>
          <w:szCs w:val="24"/>
        </w:rPr>
      </w:pPr>
    </w:p>
    <w:p w14:paraId="4E20BE92" w14:textId="14B55394" w:rsidR="00807AC3" w:rsidRPr="009E0FFF" w:rsidRDefault="00807AC3" w:rsidP="0064730C">
      <w:pPr>
        <w:pStyle w:val="NoSpacing"/>
        <w:numPr>
          <w:ilvl w:val="0"/>
          <w:numId w:val="3"/>
        </w:numPr>
        <w:jc w:val="both"/>
        <w:rPr>
          <w:rFonts w:cstheme="minorHAnsi"/>
          <w:sz w:val="24"/>
          <w:szCs w:val="24"/>
        </w:rPr>
      </w:pPr>
      <w:r w:rsidRPr="009E0FFF">
        <w:rPr>
          <w:rFonts w:cstheme="minorHAnsi"/>
          <w:sz w:val="24"/>
          <w:szCs w:val="24"/>
        </w:rPr>
        <w:t xml:space="preserve">Absența unor criterii în funcție de care un eveniment se poate subsuma noțiunii de </w:t>
      </w:r>
      <w:r w:rsidRPr="009E0FFF">
        <w:rPr>
          <w:rFonts w:cstheme="minorHAnsi"/>
          <w:i/>
          <w:sz w:val="24"/>
          <w:szCs w:val="24"/>
        </w:rPr>
        <w:t>urgență națională</w:t>
      </w:r>
      <w:r w:rsidRPr="009E0FFF">
        <w:rPr>
          <w:rFonts w:cstheme="minorHAnsi"/>
          <w:sz w:val="24"/>
          <w:szCs w:val="24"/>
        </w:rPr>
        <w:t xml:space="preserve">. </w:t>
      </w:r>
      <w:r w:rsidR="00A350E6" w:rsidRPr="009E0FFF">
        <w:rPr>
          <w:rFonts w:cstheme="minorHAnsi"/>
          <w:sz w:val="24"/>
          <w:szCs w:val="24"/>
        </w:rPr>
        <w:t xml:space="preserve">Lipsa unor măsuri clare de organizare a reacției autorităților poate fi compensată de un mecanism de licență obligatorie? Ar putea fi titularul unui asemenea brevet să fie obligat să suporte incoerența și ineficacitatea măsurilor luate de autorități? </w:t>
      </w:r>
    </w:p>
    <w:p w14:paraId="6E49E82C" w14:textId="1791D34C" w:rsidR="003669B1" w:rsidRPr="009E0FFF" w:rsidRDefault="003669B1" w:rsidP="0064730C">
      <w:pPr>
        <w:pStyle w:val="NoSpacing"/>
        <w:numPr>
          <w:ilvl w:val="0"/>
          <w:numId w:val="3"/>
        </w:numPr>
        <w:jc w:val="both"/>
        <w:rPr>
          <w:rFonts w:cstheme="minorHAnsi"/>
          <w:i/>
          <w:sz w:val="24"/>
          <w:szCs w:val="24"/>
        </w:rPr>
      </w:pPr>
      <w:r w:rsidRPr="009E0FFF">
        <w:rPr>
          <w:rFonts w:cstheme="minorHAnsi"/>
          <w:sz w:val="24"/>
          <w:szCs w:val="24"/>
        </w:rPr>
        <w:t xml:space="preserve">Lipsa unor detalieri în cuprinsul art. 43 alin. (6) și art. 44 alin. (2) din Lege referitoare la categoriile de </w:t>
      </w:r>
      <w:r w:rsidRPr="009E0FFF">
        <w:rPr>
          <w:rFonts w:cstheme="minorHAnsi"/>
          <w:i/>
          <w:sz w:val="24"/>
          <w:szCs w:val="24"/>
        </w:rPr>
        <w:t>terți</w:t>
      </w:r>
      <w:r w:rsidRPr="009E0FFF">
        <w:rPr>
          <w:rFonts w:cstheme="minorHAnsi"/>
          <w:sz w:val="24"/>
          <w:szCs w:val="24"/>
        </w:rPr>
        <w:t xml:space="preserve"> care ar dobândi o licență obligatorie pentru utilizare publică în scopuri necomerciale și la limitele și condițiile </w:t>
      </w:r>
      <w:r w:rsidRPr="009E0FFF">
        <w:rPr>
          <w:rFonts w:cstheme="minorHAnsi"/>
          <w:i/>
          <w:sz w:val="24"/>
          <w:szCs w:val="24"/>
        </w:rPr>
        <w:t>autorizării</w:t>
      </w:r>
      <w:r w:rsidRPr="009E0FFF">
        <w:rPr>
          <w:rFonts w:cstheme="minorHAnsi"/>
          <w:sz w:val="24"/>
          <w:szCs w:val="24"/>
        </w:rPr>
        <w:t xml:space="preserve"> acordate acestora de către Guvern; </w:t>
      </w:r>
    </w:p>
    <w:p w14:paraId="782DAAD1" w14:textId="0E5F20F4" w:rsidR="003669B1" w:rsidRPr="009E0FFF" w:rsidRDefault="003669B1" w:rsidP="0064730C">
      <w:pPr>
        <w:pStyle w:val="NoSpacing"/>
        <w:numPr>
          <w:ilvl w:val="0"/>
          <w:numId w:val="3"/>
        </w:numPr>
        <w:jc w:val="both"/>
        <w:rPr>
          <w:rFonts w:cstheme="minorHAnsi"/>
          <w:i/>
          <w:sz w:val="24"/>
          <w:szCs w:val="24"/>
        </w:rPr>
      </w:pPr>
      <w:r w:rsidRPr="009E0FFF">
        <w:rPr>
          <w:rFonts w:cstheme="minorHAnsi"/>
          <w:sz w:val="24"/>
          <w:szCs w:val="24"/>
        </w:rPr>
        <w:t>Dificultatea de a stabili dacă titularul licenței obligatorii de brevet poate să procedeze inclusiv la exportul produselor obținute pe baza l</w:t>
      </w:r>
      <w:r w:rsidR="0064730C" w:rsidRPr="009E0FFF">
        <w:rPr>
          <w:rFonts w:cstheme="minorHAnsi"/>
          <w:sz w:val="24"/>
          <w:szCs w:val="24"/>
        </w:rPr>
        <w:t xml:space="preserve">icenței, dat fiind caracterul </w:t>
      </w:r>
      <w:r w:rsidRPr="009E0FFF">
        <w:rPr>
          <w:rFonts w:cstheme="minorHAnsi"/>
          <w:sz w:val="24"/>
          <w:szCs w:val="24"/>
        </w:rPr>
        <w:t xml:space="preserve">aparent </w:t>
      </w:r>
      <w:r w:rsidR="0064730C" w:rsidRPr="009E0FFF">
        <w:rPr>
          <w:rFonts w:cstheme="minorHAnsi"/>
          <w:sz w:val="24"/>
          <w:szCs w:val="24"/>
        </w:rPr>
        <w:t>permisiv al</w:t>
      </w:r>
      <w:r w:rsidR="00BC61D4" w:rsidRPr="009E0FFF">
        <w:rPr>
          <w:rFonts w:cstheme="minorHAnsi"/>
          <w:sz w:val="24"/>
          <w:szCs w:val="24"/>
        </w:rPr>
        <w:t xml:space="preserve"> </w:t>
      </w:r>
      <w:r w:rsidR="00716342" w:rsidRPr="009E0FFF">
        <w:rPr>
          <w:rFonts w:cstheme="minorHAnsi"/>
          <w:sz w:val="24"/>
          <w:szCs w:val="24"/>
        </w:rPr>
        <w:t>dispozițiilor</w:t>
      </w:r>
      <w:r w:rsidR="0064730C" w:rsidRPr="009E0FFF">
        <w:rPr>
          <w:rFonts w:cstheme="minorHAnsi"/>
          <w:sz w:val="24"/>
          <w:szCs w:val="24"/>
        </w:rPr>
        <w:t xml:space="preserve"> art. 44 alin. (3) din Lege; </w:t>
      </w:r>
    </w:p>
    <w:p w14:paraId="64C96835" w14:textId="0F0BBBC7" w:rsidR="00CC5647" w:rsidRPr="009E0FFF" w:rsidRDefault="00CC5647" w:rsidP="00CC5647">
      <w:pPr>
        <w:pStyle w:val="NoSpacing"/>
        <w:numPr>
          <w:ilvl w:val="0"/>
          <w:numId w:val="3"/>
        </w:numPr>
        <w:jc w:val="both"/>
        <w:rPr>
          <w:rFonts w:cstheme="minorHAnsi"/>
          <w:sz w:val="24"/>
          <w:szCs w:val="24"/>
        </w:rPr>
      </w:pPr>
      <w:r w:rsidRPr="009E0FFF">
        <w:rPr>
          <w:rFonts w:cstheme="minorHAnsi"/>
          <w:sz w:val="24"/>
          <w:szCs w:val="24"/>
        </w:rPr>
        <w:t>Absența unor indicii în funcție de care Tribunalul București stabilește nivelul remunerației la care este îndreptățit titularul dreptul la brevet din partea beneficiarului licenței obligatorii, independent de „</w:t>
      </w:r>
      <w:r w:rsidRPr="009E0FFF">
        <w:rPr>
          <w:rFonts w:cstheme="minorHAnsi"/>
          <w:i/>
          <w:sz w:val="24"/>
          <w:szCs w:val="24"/>
        </w:rPr>
        <w:t>valoarea comercială a licenței”</w:t>
      </w:r>
      <w:r w:rsidRPr="009E0FFF">
        <w:rPr>
          <w:rFonts w:cstheme="minorHAnsi"/>
          <w:sz w:val="24"/>
          <w:szCs w:val="24"/>
        </w:rPr>
        <w:t>, care este, de altfel, unicul criteriu stabilit de</w:t>
      </w:r>
      <w:r w:rsidR="00F37305" w:rsidRPr="009E0FFF">
        <w:rPr>
          <w:rFonts w:cstheme="minorHAnsi"/>
          <w:sz w:val="24"/>
          <w:szCs w:val="24"/>
        </w:rPr>
        <w:t xml:space="preserve"> art. 44 din</w:t>
      </w:r>
      <w:r w:rsidRPr="009E0FFF">
        <w:rPr>
          <w:rFonts w:cstheme="minorHAnsi"/>
          <w:sz w:val="24"/>
          <w:szCs w:val="24"/>
        </w:rPr>
        <w:t xml:space="preserve"> Lege.  </w:t>
      </w:r>
    </w:p>
    <w:p w14:paraId="33C41962" w14:textId="77777777" w:rsidR="00475D52" w:rsidRPr="009E0FFF" w:rsidRDefault="00475D52" w:rsidP="00475D52">
      <w:pPr>
        <w:pStyle w:val="NoSpacing"/>
        <w:ind w:left="720"/>
        <w:jc w:val="both"/>
        <w:rPr>
          <w:rFonts w:cstheme="minorHAnsi"/>
          <w:sz w:val="24"/>
          <w:szCs w:val="24"/>
        </w:rPr>
      </w:pPr>
    </w:p>
    <w:p w14:paraId="72E46A44" w14:textId="02392E46" w:rsidR="0064730C" w:rsidRPr="009E0FFF" w:rsidRDefault="00CC5647" w:rsidP="009E0FFF">
      <w:pPr>
        <w:pStyle w:val="NoSpacing"/>
        <w:jc w:val="both"/>
        <w:rPr>
          <w:rFonts w:cstheme="minorHAnsi"/>
          <w:sz w:val="24"/>
          <w:szCs w:val="24"/>
        </w:rPr>
      </w:pPr>
      <w:r w:rsidRPr="009E0FFF">
        <w:rPr>
          <w:rFonts w:cstheme="minorHAnsi"/>
          <w:sz w:val="24"/>
          <w:szCs w:val="24"/>
        </w:rPr>
        <w:t>Totodată, a</w:t>
      </w:r>
      <w:r w:rsidR="0064730C" w:rsidRPr="009E0FFF">
        <w:rPr>
          <w:rFonts w:cstheme="minorHAnsi"/>
          <w:sz w:val="24"/>
          <w:szCs w:val="24"/>
        </w:rPr>
        <w:t>rătăm că însăși Comisia Europeană a transmis către Consiliul TRIPS un punct de vedere</w:t>
      </w:r>
      <w:r w:rsidR="00A350E6" w:rsidRPr="009E0FFF">
        <w:rPr>
          <w:rFonts w:cstheme="minorHAnsi"/>
          <w:sz w:val="24"/>
          <w:szCs w:val="24"/>
        </w:rPr>
        <w:t xml:space="preserve"> asemănător </w:t>
      </w:r>
      <w:r w:rsidR="00EF2539" w:rsidRPr="009E0FFF">
        <w:rPr>
          <w:rFonts w:cstheme="minorHAnsi"/>
          <w:sz w:val="24"/>
          <w:szCs w:val="24"/>
        </w:rPr>
        <w:t>celui</w:t>
      </w:r>
      <w:r w:rsidR="00A350E6" w:rsidRPr="009E0FFF">
        <w:rPr>
          <w:rFonts w:cstheme="minorHAnsi"/>
          <w:sz w:val="24"/>
          <w:szCs w:val="24"/>
        </w:rPr>
        <w:t xml:space="preserve"> de mai sus</w:t>
      </w:r>
      <w:r w:rsidR="00716342" w:rsidRPr="009E0FFF">
        <w:rPr>
          <w:rFonts w:cstheme="minorHAnsi"/>
          <w:sz w:val="24"/>
          <w:szCs w:val="24"/>
        </w:rPr>
        <w:t>,</w:t>
      </w:r>
      <w:r w:rsidR="0064730C" w:rsidRPr="009E0FFF">
        <w:rPr>
          <w:rFonts w:cstheme="minorHAnsi"/>
          <w:sz w:val="24"/>
          <w:szCs w:val="24"/>
        </w:rPr>
        <w:t xml:space="preserve"> </w:t>
      </w:r>
      <w:r w:rsidR="00EF2539" w:rsidRPr="009E0FFF">
        <w:rPr>
          <w:rFonts w:cstheme="minorHAnsi"/>
          <w:sz w:val="24"/>
          <w:szCs w:val="24"/>
        </w:rPr>
        <w:t>vizând</w:t>
      </w:r>
      <w:r w:rsidR="0064730C" w:rsidRPr="009E0FFF">
        <w:rPr>
          <w:rFonts w:cstheme="minorHAnsi"/>
          <w:sz w:val="24"/>
          <w:szCs w:val="24"/>
        </w:rPr>
        <w:t xml:space="preserve"> </w:t>
      </w:r>
      <w:r w:rsidR="00B719F2" w:rsidRPr="009E0FFF">
        <w:rPr>
          <w:rFonts w:cstheme="minorHAnsi"/>
          <w:sz w:val="24"/>
          <w:szCs w:val="24"/>
        </w:rPr>
        <w:t xml:space="preserve">necesitatea de </w:t>
      </w:r>
      <w:r w:rsidR="0064730C" w:rsidRPr="009E0FFF">
        <w:rPr>
          <w:rFonts w:cstheme="minorHAnsi"/>
          <w:sz w:val="24"/>
          <w:szCs w:val="24"/>
        </w:rPr>
        <w:t>clarificare</w:t>
      </w:r>
      <w:r w:rsidR="00B719F2" w:rsidRPr="009E0FFF">
        <w:rPr>
          <w:rFonts w:cstheme="minorHAnsi"/>
          <w:sz w:val="24"/>
          <w:szCs w:val="24"/>
        </w:rPr>
        <w:t xml:space="preserve"> </w:t>
      </w:r>
      <w:r w:rsidR="0064730C" w:rsidRPr="009E0FFF">
        <w:rPr>
          <w:rFonts w:cstheme="minorHAnsi"/>
          <w:sz w:val="24"/>
          <w:szCs w:val="24"/>
        </w:rPr>
        <w:t>a anumitor prevederi din Acordul TRIPS</w:t>
      </w:r>
      <w:r w:rsidR="00B719F2" w:rsidRPr="009E0FFF">
        <w:rPr>
          <w:rFonts w:cstheme="minorHAnsi"/>
          <w:sz w:val="24"/>
          <w:szCs w:val="24"/>
        </w:rPr>
        <w:t xml:space="preserve"> </w:t>
      </w:r>
      <w:r w:rsidR="00EF2539" w:rsidRPr="009E0FFF">
        <w:rPr>
          <w:rFonts w:cstheme="minorHAnsi"/>
          <w:sz w:val="24"/>
          <w:szCs w:val="24"/>
        </w:rPr>
        <w:t>referitoare la</w:t>
      </w:r>
      <w:r w:rsidR="0064730C" w:rsidRPr="009E0FFF">
        <w:rPr>
          <w:rFonts w:cstheme="minorHAnsi"/>
          <w:sz w:val="24"/>
          <w:szCs w:val="24"/>
        </w:rPr>
        <w:t xml:space="preserve"> mecanismul licențelor obligatorii</w:t>
      </w:r>
      <w:r w:rsidR="00360F2C" w:rsidRPr="009E0FFF">
        <w:rPr>
          <w:rStyle w:val="FootnoteReference"/>
          <w:rFonts w:cstheme="minorHAnsi"/>
          <w:sz w:val="24"/>
          <w:szCs w:val="24"/>
        </w:rPr>
        <w:footnoteReference w:id="13"/>
      </w:r>
      <w:r w:rsidR="0064730C" w:rsidRPr="009E0FFF">
        <w:rPr>
          <w:rFonts w:cstheme="minorHAnsi"/>
          <w:sz w:val="24"/>
          <w:szCs w:val="24"/>
        </w:rPr>
        <w:t xml:space="preserve">. În esență, Comisia apreciază necesar a se stabili dacă pandemia întrunește o condiția de a fi o urgență națională (art. 31 lit. b) din Acord) și de a se </w:t>
      </w:r>
      <w:r w:rsidR="00716342" w:rsidRPr="009E0FFF">
        <w:rPr>
          <w:rFonts w:cstheme="minorHAnsi"/>
          <w:sz w:val="24"/>
          <w:szCs w:val="24"/>
        </w:rPr>
        <w:t>preciza</w:t>
      </w:r>
      <w:r w:rsidR="0064730C" w:rsidRPr="009E0FFF">
        <w:rPr>
          <w:rFonts w:cstheme="minorHAnsi"/>
          <w:sz w:val="24"/>
          <w:szCs w:val="24"/>
        </w:rPr>
        <w:t xml:space="preserve"> criterii clare pentru determinarea remunerației adecvate la care titularul de brevet este îndreptățit (art. 31 lit. h) din Acord)</w:t>
      </w:r>
      <w:r w:rsidR="00B719F2" w:rsidRPr="009E0FFF">
        <w:rPr>
          <w:rFonts w:cstheme="minorHAnsi"/>
          <w:sz w:val="24"/>
          <w:szCs w:val="24"/>
        </w:rPr>
        <w:t xml:space="preserve">. </w:t>
      </w:r>
    </w:p>
    <w:p w14:paraId="2B3CEDFE" w14:textId="77777777" w:rsidR="0064730C" w:rsidRPr="009E0FFF" w:rsidRDefault="0064730C" w:rsidP="00A350E6">
      <w:pPr>
        <w:pStyle w:val="NoSpacing"/>
        <w:jc w:val="both"/>
        <w:rPr>
          <w:rFonts w:cstheme="minorHAnsi"/>
          <w:sz w:val="24"/>
          <w:szCs w:val="24"/>
        </w:rPr>
      </w:pPr>
    </w:p>
    <w:p w14:paraId="346CCE0E" w14:textId="4F016993" w:rsidR="00EA279E" w:rsidRPr="0043051A" w:rsidRDefault="005A1C9C" w:rsidP="009E0FFF">
      <w:pPr>
        <w:pStyle w:val="NoSpacing"/>
        <w:jc w:val="both"/>
        <w:rPr>
          <w:rFonts w:cstheme="minorHAnsi"/>
          <w:b/>
          <w:bCs/>
          <w:sz w:val="24"/>
          <w:szCs w:val="24"/>
        </w:rPr>
      </w:pPr>
      <w:bookmarkStart w:id="0" w:name="_GoBack"/>
      <w:r w:rsidRPr="0043051A">
        <w:rPr>
          <w:rFonts w:cstheme="minorHAnsi"/>
          <w:b/>
          <w:bCs/>
          <w:sz w:val="24"/>
          <w:szCs w:val="24"/>
        </w:rPr>
        <w:t>Neclaritățile semnalate mai sus ar trebui să constituie un prim pas în direcția unei reforme legislative de natură să transforme prevederile referitoare la licențele obligatorii de brevete într-un mecanism funcțional</w:t>
      </w:r>
      <w:r w:rsidR="002A1641" w:rsidRPr="0043051A">
        <w:rPr>
          <w:rFonts w:cstheme="minorHAnsi"/>
          <w:b/>
          <w:bCs/>
          <w:sz w:val="24"/>
          <w:szCs w:val="24"/>
        </w:rPr>
        <w:t xml:space="preserve"> și efectiv</w:t>
      </w:r>
      <w:r w:rsidRPr="0043051A">
        <w:rPr>
          <w:rFonts w:cstheme="minorHAnsi"/>
          <w:b/>
          <w:bCs/>
          <w:sz w:val="24"/>
          <w:szCs w:val="24"/>
        </w:rPr>
        <w:t xml:space="preserve">, care să fie aplicat cu mai multă ușurință </w:t>
      </w:r>
      <w:r w:rsidR="00A350E6" w:rsidRPr="0043051A">
        <w:rPr>
          <w:rFonts w:cstheme="minorHAnsi"/>
          <w:b/>
          <w:bCs/>
          <w:sz w:val="24"/>
          <w:szCs w:val="24"/>
        </w:rPr>
        <w:t xml:space="preserve">și celeritate </w:t>
      </w:r>
      <w:r w:rsidR="003558D3" w:rsidRPr="0043051A">
        <w:rPr>
          <w:rFonts w:cstheme="minorHAnsi"/>
          <w:b/>
          <w:bCs/>
          <w:sz w:val="24"/>
          <w:szCs w:val="24"/>
        </w:rPr>
        <w:t xml:space="preserve">de către </w:t>
      </w:r>
      <w:r w:rsidR="002A1641" w:rsidRPr="0043051A">
        <w:rPr>
          <w:rFonts w:cstheme="minorHAnsi"/>
          <w:b/>
          <w:bCs/>
          <w:sz w:val="24"/>
          <w:szCs w:val="24"/>
        </w:rPr>
        <w:t xml:space="preserve">cei interesați de obținerea unor </w:t>
      </w:r>
      <w:r w:rsidR="008E77DF" w:rsidRPr="0043051A">
        <w:rPr>
          <w:rFonts w:cstheme="minorHAnsi"/>
          <w:b/>
          <w:bCs/>
          <w:sz w:val="24"/>
          <w:szCs w:val="24"/>
        </w:rPr>
        <w:t xml:space="preserve">astfel de </w:t>
      </w:r>
      <w:r w:rsidR="00A350E6" w:rsidRPr="0043051A">
        <w:rPr>
          <w:rFonts w:cstheme="minorHAnsi"/>
          <w:b/>
          <w:bCs/>
          <w:sz w:val="24"/>
          <w:szCs w:val="24"/>
        </w:rPr>
        <w:t>licențe</w:t>
      </w:r>
      <w:r w:rsidR="002A1641" w:rsidRPr="0043051A">
        <w:rPr>
          <w:rFonts w:cstheme="minorHAnsi"/>
          <w:b/>
          <w:bCs/>
          <w:sz w:val="24"/>
          <w:szCs w:val="24"/>
        </w:rPr>
        <w:t>, fără a fi pierdut din vedere interesul particular al titularului de brevet și dreptul său la o remu</w:t>
      </w:r>
      <w:r w:rsidR="00EA279E" w:rsidRPr="0043051A">
        <w:rPr>
          <w:rFonts w:cstheme="minorHAnsi"/>
          <w:b/>
          <w:bCs/>
          <w:sz w:val="24"/>
          <w:szCs w:val="24"/>
        </w:rPr>
        <w:t xml:space="preserve">nerație adecvată. </w:t>
      </w:r>
      <w:r w:rsidR="005E124D" w:rsidRPr="0043051A">
        <w:rPr>
          <w:rFonts w:cstheme="minorHAnsi"/>
          <w:b/>
          <w:bCs/>
          <w:sz w:val="24"/>
          <w:szCs w:val="24"/>
        </w:rPr>
        <w:t>Uneori sănătatea națională, alteori dezvoltarea tehnologică, ar putea depinde tot mai frecvent de eficiența unor astfel de mecanisme.</w:t>
      </w:r>
    </w:p>
    <w:bookmarkEnd w:id="0"/>
    <w:p w14:paraId="7B8226DC" w14:textId="77777777" w:rsidR="009E0FFF" w:rsidRDefault="009E0FFF" w:rsidP="009E0FFF">
      <w:pPr>
        <w:pStyle w:val="NoSpacing"/>
        <w:jc w:val="both"/>
        <w:rPr>
          <w:rFonts w:cstheme="minorHAnsi"/>
          <w:bCs/>
          <w:sz w:val="24"/>
          <w:szCs w:val="24"/>
        </w:rPr>
      </w:pPr>
    </w:p>
    <w:p w14:paraId="34E7016A" w14:textId="50155BBD" w:rsidR="009E0FFF" w:rsidRPr="0059655F" w:rsidRDefault="009E0FFF" w:rsidP="009E0FFF">
      <w:pPr>
        <w:pStyle w:val="NoSpacing"/>
        <w:jc w:val="both"/>
        <w:rPr>
          <w:i/>
        </w:rPr>
      </w:pPr>
      <w:r w:rsidRPr="0059655F">
        <w:rPr>
          <w:i/>
        </w:rPr>
        <w:t xml:space="preserve">Un articol semnat de </w:t>
      </w:r>
      <w:r>
        <w:rPr>
          <w:i/>
        </w:rPr>
        <w:t xml:space="preserve">Dragoș Bogdan, Senior </w:t>
      </w:r>
      <w:proofErr w:type="spellStart"/>
      <w:r>
        <w:rPr>
          <w:i/>
        </w:rPr>
        <w:t>Partner</w:t>
      </w:r>
      <w:proofErr w:type="spellEnd"/>
      <w:r>
        <w:rPr>
          <w:i/>
        </w:rPr>
        <w:t xml:space="preserve"> -</w:t>
      </w:r>
      <w:hyperlink r:id="rId8" w:history="1">
        <w:r w:rsidRPr="002817AA">
          <w:rPr>
            <w:rStyle w:val="Hyperlink"/>
            <w:i/>
          </w:rPr>
          <w:t xml:space="preserve"> dbogdan@stoica-asociatii.ro</w:t>
        </w:r>
      </w:hyperlink>
      <w:r w:rsidRPr="0059655F">
        <w:rPr>
          <w:i/>
        </w:rPr>
        <w:t xml:space="preserve"> și </w:t>
      </w:r>
      <w:r w:rsidRPr="009E0FFF">
        <w:rPr>
          <w:i/>
        </w:rPr>
        <w:t>Bianca Iamandi</w:t>
      </w:r>
      <w:r>
        <w:rPr>
          <w:i/>
        </w:rPr>
        <w:t xml:space="preserve">, Junior </w:t>
      </w:r>
      <w:proofErr w:type="spellStart"/>
      <w:r>
        <w:rPr>
          <w:i/>
        </w:rPr>
        <w:t>Lawyer</w:t>
      </w:r>
      <w:proofErr w:type="spellEnd"/>
      <w:r>
        <w:rPr>
          <w:i/>
        </w:rPr>
        <w:t xml:space="preserve"> </w:t>
      </w:r>
      <w:hyperlink r:id="rId9" w:history="1">
        <w:r w:rsidRPr="000C04E3">
          <w:rPr>
            <w:rStyle w:val="Hyperlink"/>
            <w:i/>
          </w:rPr>
          <w:t>– biamandi@stoica-asociatii.ro</w:t>
        </w:r>
      </w:hyperlink>
      <w:r>
        <w:rPr>
          <w:i/>
        </w:rPr>
        <w:t xml:space="preserve"> </w:t>
      </w:r>
      <w:r w:rsidRPr="0059655F">
        <w:rPr>
          <w:i/>
        </w:rPr>
        <w:t xml:space="preserve">-  </w:t>
      </w:r>
      <w:hyperlink r:id="rId10" w:history="1">
        <w:r w:rsidRPr="00AD5CF8">
          <w:rPr>
            <w:rStyle w:val="Hyperlink"/>
            <w:i/>
          </w:rPr>
          <w:t>STOICA &amp; Asociații</w:t>
        </w:r>
      </w:hyperlink>
    </w:p>
    <w:p w14:paraId="4B19B950" w14:textId="77777777" w:rsidR="009E0FFF" w:rsidRPr="009E0FFF" w:rsidRDefault="009E0FFF" w:rsidP="009E0FFF">
      <w:pPr>
        <w:pStyle w:val="NoSpacing"/>
        <w:jc w:val="both"/>
        <w:rPr>
          <w:rFonts w:cstheme="minorHAnsi"/>
          <w:sz w:val="24"/>
          <w:szCs w:val="24"/>
        </w:rPr>
      </w:pPr>
    </w:p>
    <w:sectPr w:rsidR="009E0FFF" w:rsidRPr="009E0FFF" w:rsidSect="009E0FFF">
      <w:footerReference w:type="default" r:id="rId11"/>
      <w:pgSz w:w="11906" w:h="16838"/>
      <w:pgMar w:top="1440" w:right="6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9511D" w14:textId="77777777" w:rsidR="006953DA" w:rsidRDefault="006953DA" w:rsidP="00A53E7A">
      <w:pPr>
        <w:spacing w:after="0" w:line="240" w:lineRule="auto"/>
      </w:pPr>
      <w:r>
        <w:separator/>
      </w:r>
    </w:p>
  </w:endnote>
  <w:endnote w:type="continuationSeparator" w:id="0">
    <w:p w14:paraId="20F78576" w14:textId="77777777" w:rsidR="006953DA" w:rsidRDefault="006953DA" w:rsidP="00A5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213440"/>
      <w:docPartObj>
        <w:docPartGallery w:val="Page Numbers (Bottom of Page)"/>
        <w:docPartUnique/>
      </w:docPartObj>
    </w:sdtPr>
    <w:sdtEndPr>
      <w:rPr>
        <w:noProof/>
      </w:rPr>
    </w:sdtEndPr>
    <w:sdtContent>
      <w:p w14:paraId="4848C4B3" w14:textId="77777777" w:rsidR="008E77DF" w:rsidRDefault="008E77DF">
        <w:pPr>
          <w:pStyle w:val="Footer"/>
          <w:jc w:val="center"/>
        </w:pPr>
        <w:r>
          <w:fldChar w:fldCharType="begin"/>
        </w:r>
        <w:r>
          <w:instrText xml:space="preserve"> PAGE   \* MERGEFORMAT </w:instrText>
        </w:r>
        <w:r>
          <w:fldChar w:fldCharType="separate"/>
        </w:r>
        <w:r w:rsidR="0043051A">
          <w:rPr>
            <w:noProof/>
          </w:rPr>
          <w:t>5</w:t>
        </w:r>
        <w:r>
          <w:rPr>
            <w:noProof/>
          </w:rPr>
          <w:fldChar w:fldCharType="end"/>
        </w:r>
      </w:p>
    </w:sdtContent>
  </w:sdt>
  <w:p w14:paraId="2AAED734" w14:textId="77777777" w:rsidR="008E77DF" w:rsidRDefault="008E7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0E655" w14:textId="77777777" w:rsidR="006953DA" w:rsidRDefault="006953DA" w:rsidP="00A53E7A">
      <w:pPr>
        <w:spacing w:after="0" w:line="240" w:lineRule="auto"/>
      </w:pPr>
      <w:r>
        <w:separator/>
      </w:r>
    </w:p>
  </w:footnote>
  <w:footnote w:type="continuationSeparator" w:id="0">
    <w:p w14:paraId="46547876" w14:textId="77777777" w:rsidR="006953DA" w:rsidRDefault="006953DA" w:rsidP="00A53E7A">
      <w:pPr>
        <w:spacing w:after="0" w:line="240" w:lineRule="auto"/>
      </w:pPr>
      <w:r>
        <w:continuationSeparator/>
      </w:r>
    </w:p>
  </w:footnote>
  <w:footnote w:id="1">
    <w:p w14:paraId="60CAA5C7" w14:textId="77777777" w:rsidR="00606E38" w:rsidRPr="008E77DF" w:rsidRDefault="00606E38">
      <w:pPr>
        <w:pStyle w:val="FootnoteText"/>
        <w:rPr>
          <w:rFonts w:ascii="Times New Roman" w:hAnsi="Times New Roman" w:cs="Times New Roman"/>
        </w:rPr>
      </w:pPr>
      <w:r w:rsidRPr="008E77DF">
        <w:rPr>
          <w:rStyle w:val="FootnoteReference"/>
          <w:rFonts w:ascii="Times New Roman" w:hAnsi="Times New Roman" w:cs="Times New Roman"/>
        </w:rPr>
        <w:footnoteRef/>
      </w:r>
      <w:r w:rsidRPr="008E77DF">
        <w:rPr>
          <w:rFonts w:ascii="Times New Roman" w:hAnsi="Times New Roman" w:cs="Times New Roman"/>
        </w:rPr>
        <w:t xml:space="preserve"> </w:t>
      </w:r>
      <w:hyperlink r:id="rId1" w:history="1">
        <w:r w:rsidRPr="008E77DF">
          <w:rPr>
            <w:rStyle w:val="Hyperlink"/>
            <w:rFonts w:ascii="Times New Roman" w:hAnsi="Times New Roman" w:cs="Times New Roman"/>
          </w:rPr>
          <w:t>https://www.iplytics.com/report/5g-patent-race-02-2021/</w:t>
        </w:r>
      </w:hyperlink>
      <w:r w:rsidRPr="008E77DF">
        <w:rPr>
          <w:rFonts w:ascii="Times New Roman" w:hAnsi="Times New Roman" w:cs="Times New Roman"/>
        </w:rPr>
        <w:t xml:space="preserve"> </w:t>
      </w:r>
    </w:p>
  </w:footnote>
  <w:footnote w:id="2">
    <w:p w14:paraId="5946AF6A" w14:textId="66B6A55E" w:rsidR="009E1784" w:rsidRPr="008E77DF" w:rsidRDefault="009E1784">
      <w:pPr>
        <w:pStyle w:val="FootnoteText"/>
        <w:rPr>
          <w:rFonts w:ascii="Times New Roman" w:hAnsi="Times New Roman" w:cs="Times New Roman"/>
        </w:rPr>
      </w:pPr>
      <w:r w:rsidRPr="008E77DF">
        <w:rPr>
          <w:rStyle w:val="FootnoteReference"/>
          <w:rFonts w:ascii="Times New Roman" w:hAnsi="Times New Roman" w:cs="Times New Roman"/>
        </w:rPr>
        <w:footnoteRef/>
      </w:r>
      <w:r w:rsidRPr="008E77DF">
        <w:rPr>
          <w:rFonts w:ascii="Times New Roman" w:hAnsi="Times New Roman" w:cs="Times New Roman"/>
        </w:rPr>
        <w:t xml:space="preserve"> </w:t>
      </w:r>
      <w:r w:rsidRPr="008E77DF">
        <w:rPr>
          <w:rFonts w:ascii="Times New Roman" w:hAnsi="Times New Roman" w:cs="Times New Roman"/>
        </w:rPr>
        <w:t xml:space="preserve">Cauza C-170/13, </w:t>
      </w:r>
      <w:proofErr w:type="spellStart"/>
      <w:r w:rsidRPr="00A350E6">
        <w:rPr>
          <w:rFonts w:ascii="Times New Roman" w:hAnsi="Times New Roman" w:cs="Times New Roman"/>
          <w:bCs/>
        </w:rPr>
        <w:t>Huawei</w:t>
      </w:r>
      <w:proofErr w:type="spellEnd"/>
      <w:r w:rsidRPr="00A350E6">
        <w:rPr>
          <w:rFonts w:ascii="Times New Roman" w:hAnsi="Times New Roman" w:cs="Times New Roman"/>
          <w:bCs/>
        </w:rPr>
        <w:t xml:space="preserve"> Technologies Co. Ltd </w:t>
      </w:r>
      <w:r w:rsidRPr="0064730C">
        <w:rPr>
          <w:rFonts w:ascii="Times New Roman" w:hAnsi="Times New Roman" w:cs="Times New Roman"/>
        </w:rPr>
        <w:t xml:space="preserve">împotriva </w:t>
      </w:r>
      <w:r w:rsidRPr="00A350E6">
        <w:rPr>
          <w:rFonts w:ascii="Times New Roman" w:hAnsi="Times New Roman" w:cs="Times New Roman"/>
          <w:bCs/>
        </w:rPr>
        <w:t xml:space="preserve">ZTE Corp., ZTE </w:t>
      </w:r>
      <w:proofErr w:type="spellStart"/>
      <w:r w:rsidRPr="00A350E6">
        <w:rPr>
          <w:rFonts w:ascii="Times New Roman" w:hAnsi="Times New Roman" w:cs="Times New Roman"/>
          <w:bCs/>
        </w:rPr>
        <w:t>Deutschland</w:t>
      </w:r>
      <w:proofErr w:type="spellEnd"/>
      <w:r w:rsidRPr="00A350E6">
        <w:rPr>
          <w:rFonts w:ascii="Times New Roman" w:hAnsi="Times New Roman" w:cs="Times New Roman"/>
          <w:bCs/>
        </w:rPr>
        <w:t xml:space="preserve"> </w:t>
      </w:r>
      <w:proofErr w:type="spellStart"/>
      <w:r w:rsidRPr="00A350E6">
        <w:rPr>
          <w:rFonts w:ascii="Times New Roman" w:hAnsi="Times New Roman" w:cs="Times New Roman"/>
          <w:bCs/>
        </w:rPr>
        <w:t>GmbH</w:t>
      </w:r>
      <w:proofErr w:type="spellEnd"/>
      <w:r w:rsidR="00530AB0" w:rsidRPr="0064730C">
        <w:rPr>
          <w:rFonts w:ascii="Times New Roman" w:hAnsi="Times New Roman" w:cs="Times New Roman"/>
        </w:rPr>
        <w:t>, par.</w:t>
      </w:r>
      <w:r w:rsidR="00BF1598">
        <w:rPr>
          <w:rFonts w:ascii="Times New Roman" w:hAnsi="Times New Roman" w:cs="Times New Roman"/>
        </w:rPr>
        <w:t xml:space="preserve"> 49</w:t>
      </w:r>
    </w:p>
  </w:footnote>
  <w:footnote w:id="3">
    <w:p w14:paraId="07C45379" w14:textId="0C4394DC" w:rsidR="005F49B6" w:rsidRPr="00582AA2" w:rsidRDefault="005F49B6" w:rsidP="008E77DF">
      <w:pPr>
        <w:pStyle w:val="FootnoteText"/>
        <w:jc w:val="both"/>
        <w:rPr>
          <w:rFonts w:ascii="Times New Roman" w:hAnsi="Times New Roman" w:cs="Times New Roman"/>
        </w:rPr>
      </w:pPr>
      <w:r w:rsidRPr="0064730C">
        <w:rPr>
          <w:rStyle w:val="FootnoteReference"/>
          <w:rFonts w:ascii="Times New Roman" w:hAnsi="Times New Roman" w:cs="Times New Roman"/>
        </w:rPr>
        <w:footnoteRef/>
      </w:r>
      <w:r w:rsidR="00582AA2" w:rsidRPr="0064730C">
        <w:rPr>
          <w:rFonts w:ascii="Times New Roman" w:hAnsi="Times New Roman" w:cs="Times New Roman"/>
        </w:rPr>
        <w:t xml:space="preserve"> </w:t>
      </w:r>
      <w:r w:rsidRPr="00582AA2">
        <w:rPr>
          <w:rFonts w:ascii="Times New Roman" w:hAnsi="Times New Roman" w:cs="Times New Roman"/>
        </w:rPr>
        <w:t>Comunicare a Comisiei către Parlamentul European, Consiliu și Comitetul Economic și Social European – Stabilirea abordării UE a brevetelor esențiale pentru standarde,  Bruxelles, 29.11.2017</w:t>
      </w:r>
    </w:p>
  </w:footnote>
  <w:footnote w:id="4">
    <w:p w14:paraId="70E932F0" w14:textId="77777777" w:rsidR="00302428" w:rsidRPr="00807AC3" w:rsidRDefault="00302428" w:rsidP="00302428">
      <w:pPr>
        <w:pStyle w:val="FootnoteText"/>
      </w:pPr>
      <w:r w:rsidRPr="00A350E6">
        <w:rPr>
          <w:rStyle w:val="FootnoteReference"/>
          <w:rFonts w:ascii="Times New Roman" w:hAnsi="Times New Roman" w:cs="Times New Roman"/>
        </w:rPr>
        <w:footnoteRef/>
      </w:r>
      <w:r w:rsidRPr="00A350E6">
        <w:rPr>
          <w:rFonts w:ascii="Times New Roman" w:hAnsi="Times New Roman" w:cs="Times New Roman"/>
        </w:rPr>
        <w:t xml:space="preserve"> </w:t>
      </w:r>
      <w:r w:rsidRPr="00A350E6">
        <w:rPr>
          <w:rFonts w:ascii="Times New Roman" w:hAnsi="Times New Roman" w:cs="Times New Roman"/>
        </w:rPr>
        <w:t>Cauza C-170/13, par. 60-66</w:t>
      </w:r>
    </w:p>
  </w:footnote>
  <w:footnote w:id="5">
    <w:p w14:paraId="11C2F3E5" w14:textId="77777777" w:rsidR="00D6507B" w:rsidRPr="008E77DF" w:rsidRDefault="00D6507B" w:rsidP="008E77DF">
      <w:pPr>
        <w:pStyle w:val="FootnoteText"/>
        <w:jc w:val="both"/>
        <w:rPr>
          <w:rFonts w:ascii="Times New Roman" w:hAnsi="Times New Roman" w:cs="Times New Roman"/>
        </w:rPr>
      </w:pPr>
      <w:r w:rsidRPr="008E77DF">
        <w:rPr>
          <w:rStyle w:val="FootnoteReference"/>
          <w:rFonts w:ascii="Times New Roman" w:hAnsi="Times New Roman" w:cs="Times New Roman"/>
        </w:rPr>
        <w:footnoteRef/>
      </w:r>
      <w:r w:rsidRPr="008E77DF">
        <w:rPr>
          <w:rFonts w:ascii="Times New Roman" w:hAnsi="Times New Roman" w:cs="Times New Roman"/>
        </w:rPr>
        <w:t xml:space="preserve">  </w:t>
      </w:r>
      <w:hyperlink r:id="rId2" w:history="1">
        <w:r w:rsidRPr="008E77DF">
          <w:rPr>
            <w:rStyle w:val="Hyperlink"/>
            <w:rFonts w:ascii="Times New Roman" w:hAnsi="Times New Roman" w:cs="Times New Roman"/>
          </w:rPr>
          <w:t>https://www.supremecourt.uk/cases/uksc-2018-0214.html</w:t>
        </w:r>
      </w:hyperlink>
      <w:r w:rsidRPr="008E77DF">
        <w:rPr>
          <w:rFonts w:ascii="Times New Roman" w:hAnsi="Times New Roman" w:cs="Times New Roman"/>
        </w:rPr>
        <w:t xml:space="preserve"> </w:t>
      </w:r>
    </w:p>
  </w:footnote>
  <w:footnote w:id="6">
    <w:p w14:paraId="032FBA47" w14:textId="62FE14D5" w:rsidR="006401AD" w:rsidRDefault="006401AD">
      <w:pPr>
        <w:pStyle w:val="FootnoteText"/>
      </w:pPr>
      <w:r>
        <w:rPr>
          <w:rStyle w:val="FootnoteReference"/>
        </w:rPr>
        <w:footnoteRef/>
      </w:r>
      <w:r>
        <w:t xml:space="preserve"> </w:t>
      </w:r>
      <w:hyperlink r:id="rId3" w:history="1">
        <w:r w:rsidRPr="0094354C">
          <w:rPr>
            <w:rStyle w:val="Hyperlink"/>
          </w:rPr>
          <w:t>https://www.patentsight.com/patentsight-press-center/analysis-reveals-companies-with-strongest-patents-related-to-covid-19-vaccines</w:t>
        </w:r>
      </w:hyperlink>
      <w:r>
        <w:t xml:space="preserve"> </w:t>
      </w:r>
    </w:p>
  </w:footnote>
  <w:footnote w:id="7">
    <w:p w14:paraId="7F134EBC" w14:textId="77777777" w:rsidR="00A53E7A" w:rsidRPr="008E77DF" w:rsidRDefault="00A53E7A" w:rsidP="008E77DF">
      <w:pPr>
        <w:pStyle w:val="FootnoteText"/>
        <w:jc w:val="both"/>
        <w:rPr>
          <w:rFonts w:ascii="Times New Roman" w:hAnsi="Times New Roman" w:cs="Times New Roman"/>
        </w:rPr>
      </w:pPr>
      <w:r w:rsidRPr="008E77DF">
        <w:rPr>
          <w:rStyle w:val="FootnoteReference"/>
          <w:rFonts w:ascii="Times New Roman" w:hAnsi="Times New Roman" w:cs="Times New Roman"/>
        </w:rPr>
        <w:footnoteRef/>
      </w:r>
      <w:r w:rsidRPr="008E77DF">
        <w:rPr>
          <w:rFonts w:ascii="Times New Roman" w:hAnsi="Times New Roman" w:cs="Times New Roman"/>
        </w:rPr>
        <w:t xml:space="preserve"> </w:t>
      </w:r>
      <w:hyperlink r:id="rId4" w:history="1">
        <w:r w:rsidRPr="008E77DF">
          <w:rPr>
            <w:rStyle w:val="Hyperlink"/>
            <w:rFonts w:ascii="Times New Roman" w:hAnsi="Times New Roman" w:cs="Times New Roman"/>
          </w:rPr>
          <w:t>https://www.unicef.org/supply/covid-19-vaccine-market-dashboard</w:t>
        </w:r>
      </w:hyperlink>
      <w:r w:rsidRPr="008E77DF">
        <w:rPr>
          <w:rFonts w:ascii="Times New Roman" w:hAnsi="Times New Roman" w:cs="Times New Roman"/>
        </w:rPr>
        <w:t xml:space="preserve"> </w:t>
      </w:r>
    </w:p>
  </w:footnote>
  <w:footnote w:id="8">
    <w:p w14:paraId="22C08B7E" w14:textId="77777777" w:rsidR="00AA0058" w:rsidRPr="008E77DF" w:rsidRDefault="00AA0058" w:rsidP="008E77DF">
      <w:pPr>
        <w:pStyle w:val="FootnoteText"/>
        <w:jc w:val="both"/>
        <w:rPr>
          <w:rFonts w:ascii="Times New Roman" w:hAnsi="Times New Roman" w:cs="Times New Roman"/>
        </w:rPr>
      </w:pPr>
      <w:r w:rsidRPr="008E77DF">
        <w:rPr>
          <w:rStyle w:val="FootnoteReference"/>
          <w:rFonts w:ascii="Times New Roman" w:hAnsi="Times New Roman" w:cs="Times New Roman"/>
        </w:rPr>
        <w:footnoteRef/>
      </w:r>
      <w:r w:rsidRPr="008E77DF">
        <w:rPr>
          <w:rFonts w:ascii="Times New Roman" w:hAnsi="Times New Roman" w:cs="Times New Roman"/>
        </w:rPr>
        <w:t xml:space="preserve"> </w:t>
      </w:r>
      <w:hyperlink r:id="rId5" w:history="1">
        <w:r w:rsidRPr="008E77DF">
          <w:rPr>
            <w:rStyle w:val="Hyperlink"/>
            <w:rFonts w:ascii="Times New Roman" w:hAnsi="Times New Roman" w:cs="Times New Roman"/>
          </w:rPr>
          <w:t>https://docs.wto.org/dol2fe/Pages/SS/directdoc.aspx?filename=q:/IP/C/W669.pdf&amp;Open=True</w:t>
        </w:r>
      </w:hyperlink>
      <w:r w:rsidRPr="008E77DF">
        <w:rPr>
          <w:rFonts w:ascii="Times New Roman" w:hAnsi="Times New Roman" w:cs="Times New Roman"/>
        </w:rPr>
        <w:t xml:space="preserve"> </w:t>
      </w:r>
    </w:p>
  </w:footnote>
  <w:footnote w:id="9">
    <w:p w14:paraId="4FB42ABA" w14:textId="3D54803E" w:rsidR="00206251" w:rsidRPr="008E77DF" w:rsidRDefault="00206251" w:rsidP="008E77DF">
      <w:pPr>
        <w:pStyle w:val="FootnoteText"/>
        <w:jc w:val="both"/>
        <w:rPr>
          <w:rFonts w:ascii="Times New Roman" w:hAnsi="Times New Roman" w:cs="Times New Roman"/>
        </w:rPr>
      </w:pPr>
      <w:r w:rsidRPr="008E77DF">
        <w:rPr>
          <w:rStyle w:val="FootnoteReference"/>
          <w:rFonts w:ascii="Times New Roman" w:hAnsi="Times New Roman" w:cs="Times New Roman"/>
        </w:rPr>
        <w:footnoteRef/>
      </w:r>
      <w:r w:rsidR="00EA279E" w:rsidRPr="008E77DF">
        <w:rPr>
          <w:rFonts w:ascii="Times New Roman" w:hAnsi="Times New Roman" w:cs="Times New Roman"/>
        </w:rPr>
        <w:t xml:space="preserve"> </w:t>
      </w:r>
      <w:r w:rsidR="00EA279E" w:rsidRPr="008E77DF">
        <w:rPr>
          <w:rFonts w:ascii="Times New Roman" w:hAnsi="Times New Roman" w:cs="Times New Roman"/>
        </w:rPr>
        <w:t>Acordul TRIPS (Acordul privind aspectele drepturilor de proprietate intelectuală legate de comerț) este Anexa 1C la Acordul de înființare a Organizației Mondiale a Comerțului semnat la Marrakech în data de 15 aprilie 1994 și ratificat de România prin Legea nr. 133/1994</w:t>
      </w:r>
    </w:p>
  </w:footnote>
  <w:footnote w:id="10">
    <w:p w14:paraId="4DD80620" w14:textId="17B27ED6" w:rsidR="0043731F" w:rsidRPr="008E77DF" w:rsidRDefault="0043731F" w:rsidP="008E77DF">
      <w:pPr>
        <w:pStyle w:val="FootnoteText"/>
        <w:jc w:val="both"/>
        <w:rPr>
          <w:rFonts w:ascii="Times New Roman" w:hAnsi="Times New Roman" w:cs="Times New Roman"/>
        </w:rPr>
      </w:pPr>
      <w:r w:rsidRPr="008E77DF">
        <w:rPr>
          <w:rStyle w:val="FootnoteReference"/>
          <w:rFonts w:ascii="Times New Roman" w:hAnsi="Times New Roman" w:cs="Times New Roman"/>
        </w:rPr>
        <w:footnoteRef/>
      </w:r>
      <w:r w:rsidRPr="008E77DF">
        <w:rPr>
          <w:rFonts w:ascii="Times New Roman" w:hAnsi="Times New Roman" w:cs="Times New Roman"/>
        </w:rPr>
        <w:t xml:space="preserve"> </w:t>
      </w:r>
      <w:r w:rsidRPr="008E77DF">
        <w:rPr>
          <w:rFonts w:ascii="Times New Roman" w:hAnsi="Times New Roman" w:cs="Times New Roman"/>
        </w:rPr>
        <w:t>Conform punctului 12 al propunerii de derogare, aceasta urmează să vizeze protecția recunoscută prin Acordul TRIPS referitoare la drepturile de autor și drepturi conexe, desene industriale și la secretul comercial</w:t>
      </w:r>
    </w:p>
  </w:footnote>
  <w:footnote w:id="11">
    <w:p w14:paraId="736FCA52" w14:textId="77777777" w:rsidR="004156F5" w:rsidRPr="008E77DF" w:rsidRDefault="004156F5" w:rsidP="008E77DF">
      <w:pPr>
        <w:pStyle w:val="FootnoteText"/>
        <w:jc w:val="both"/>
        <w:rPr>
          <w:rFonts w:ascii="Times New Roman" w:hAnsi="Times New Roman" w:cs="Times New Roman"/>
        </w:rPr>
      </w:pPr>
      <w:r w:rsidRPr="008E77DF">
        <w:rPr>
          <w:rStyle w:val="FootnoteReference"/>
          <w:rFonts w:ascii="Times New Roman" w:hAnsi="Times New Roman" w:cs="Times New Roman"/>
        </w:rPr>
        <w:footnoteRef/>
      </w:r>
      <w:r w:rsidRPr="008E77DF">
        <w:rPr>
          <w:rFonts w:ascii="Times New Roman" w:hAnsi="Times New Roman" w:cs="Times New Roman"/>
        </w:rPr>
        <w:t xml:space="preserve"> </w:t>
      </w:r>
      <w:hyperlink r:id="rId6" w:history="1">
        <w:r w:rsidRPr="008E77DF">
          <w:rPr>
            <w:rStyle w:val="Hyperlink"/>
            <w:rFonts w:ascii="Times New Roman" w:hAnsi="Times New Roman" w:cs="Times New Roman"/>
          </w:rPr>
          <w:t>https://ec.europa.eu/commission/presscorner/detail/en/IP_21_2801</w:t>
        </w:r>
      </w:hyperlink>
      <w:r w:rsidRPr="008E77DF">
        <w:rPr>
          <w:rFonts w:ascii="Times New Roman" w:hAnsi="Times New Roman" w:cs="Times New Roman"/>
        </w:rPr>
        <w:t xml:space="preserve"> </w:t>
      </w:r>
    </w:p>
  </w:footnote>
  <w:footnote w:id="12">
    <w:p w14:paraId="22B19DAF" w14:textId="77777777" w:rsidR="00DD015B" w:rsidRPr="008E77DF" w:rsidRDefault="00DD015B" w:rsidP="008E77DF">
      <w:pPr>
        <w:pStyle w:val="FootnoteText"/>
        <w:jc w:val="both"/>
        <w:rPr>
          <w:rFonts w:ascii="Times New Roman" w:hAnsi="Times New Roman" w:cs="Times New Roman"/>
        </w:rPr>
      </w:pPr>
      <w:r w:rsidRPr="008E77DF">
        <w:rPr>
          <w:rStyle w:val="FootnoteReference"/>
          <w:rFonts w:ascii="Times New Roman" w:hAnsi="Times New Roman" w:cs="Times New Roman"/>
        </w:rPr>
        <w:footnoteRef/>
      </w:r>
      <w:r w:rsidRPr="008E77DF">
        <w:rPr>
          <w:rFonts w:ascii="Times New Roman" w:hAnsi="Times New Roman" w:cs="Times New Roman"/>
        </w:rPr>
        <w:t xml:space="preserve"> </w:t>
      </w:r>
      <w:hyperlink r:id="rId7" w:history="1">
        <w:r w:rsidRPr="008E77DF">
          <w:rPr>
            <w:rStyle w:val="Hyperlink"/>
            <w:rFonts w:ascii="Times New Roman" w:hAnsi="Times New Roman" w:cs="Times New Roman"/>
          </w:rPr>
          <w:t>https://www.europarl.europa.eu/doceo/document/TA-9-2021-0283_RO.html</w:t>
        </w:r>
      </w:hyperlink>
      <w:r w:rsidRPr="008E77DF">
        <w:rPr>
          <w:rFonts w:ascii="Times New Roman" w:hAnsi="Times New Roman" w:cs="Times New Roman"/>
        </w:rPr>
        <w:t xml:space="preserve"> </w:t>
      </w:r>
    </w:p>
  </w:footnote>
  <w:footnote w:id="13">
    <w:p w14:paraId="7F68FB36" w14:textId="57EEF1B3" w:rsidR="00360F2C" w:rsidRDefault="00360F2C">
      <w:pPr>
        <w:pStyle w:val="FootnoteText"/>
      </w:pPr>
      <w:r>
        <w:rPr>
          <w:rStyle w:val="FootnoteReference"/>
        </w:rPr>
        <w:footnoteRef/>
      </w:r>
      <w:r>
        <w:t xml:space="preserve"> </w:t>
      </w:r>
      <w:hyperlink r:id="rId8" w:history="1">
        <w:r w:rsidRPr="0094354C">
          <w:rPr>
            <w:rStyle w:val="Hyperlink"/>
          </w:rPr>
          <w:t>https://ec.europa.eu/commission/presscorner/detail/en/IP_21_2801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AAF"/>
    <w:multiLevelType w:val="hybridMultilevel"/>
    <w:tmpl w:val="25E4F0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1304C18"/>
    <w:multiLevelType w:val="hybridMultilevel"/>
    <w:tmpl w:val="CD4209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01A6A14"/>
    <w:multiLevelType w:val="hybridMultilevel"/>
    <w:tmpl w:val="4128156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FA0193"/>
    <w:multiLevelType w:val="hybridMultilevel"/>
    <w:tmpl w:val="D368CBF8"/>
    <w:lvl w:ilvl="0" w:tplc="A1085504">
      <w:start w:val="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DA24D1"/>
    <w:multiLevelType w:val="hybridMultilevel"/>
    <w:tmpl w:val="BD70F1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6465E"/>
    <w:multiLevelType w:val="hybridMultilevel"/>
    <w:tmpl w:val="C04A7486"/>
    <w:lvl w:ilvl="0" w:tplc="693EF23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2075514"/>
    <w:multiLevelType w:val="hybridMultilevel"/>
    <w:tmpl w:val="95A41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5E"/>
    <w:rsid w:val="00015C79"/>
    <w:rsid w:val="000314BC"/>
    <w:rsid w:val="0009060D"/>
    <w:rsid w:val="00097BD1"/>
    <w:rsid w:val="000A3134"/>
    <w:rsid w:val="000C571F"/>
    <w:rsid w:val="000E7826"/>
    <w:rsid w:val="00107C5B"/>
    <w:rsid w:val="00152AEC"/>
    <w:rsid w:val="001625DF"/>
    <w:rsid w:val="00170ED5"/>
    <w:rsid w:val="001A5A82"/>
    <w:rsid w:val="001B6E27"/>
    <w:rsid w:val="00206251"/>
    <w:rsid w:val="00211211"/>
    <w:rsid w:val="00255CE2"/>
    <w:rsid w:val="002A1641"/>
    <w:rsid w:val="00302428"/>
    <w:rsid w:val="003369AE"/>
    <w:rsid w:val="0034580F"/>
    <w:rsid w:val="003558D3"/>
    <w:rsid w:val="00360F2C"/>
    <w:rsid w:val="003669B1"/>
    <w:rsid w:val="00396B26"/>
    <w:rsid w:val="003D7BC4"/>
    <w:rsid w:val="003F757A"/>
    <w:rsid w:val="004156F5"/>
    <w:rsid w:val="0043051A"/>
    <w:rsid w:val="0043731F"/>
    <w:rsid w:val="004412F8"/>
    <w:rsid w:val="00471522"/>
    <w:rsid w:val="00473432"/>
    <w:rsid w:val="00475D52"/>
    <w:rsid w:val="004B40F4"/>
    <w:rsid w:val="004B5F63"/>
    <w:rsid w:val="004C1665"/>
    <w:rsid w:val="00500AB5"/>
    <w:rsid w:val="00507EB9"/>
    <w:rsid w:val="00530AB0"/>
    <w:rsid w:val="0056123A"/>
    <w:rsid w:val="00562B0D"/>
    <w:rsid w:val="00582AA2"/>
    <w:rsid w:val="005A1C9C"/>
    <w:rsid w:val="005C3773"/>
    <w:rsid w:val="005D395E"/>
    <w:rsid w:val="005E124D"/>
    <w:rsid w:val="005E42BA"/>
    <w:rsid w:val="005F49B6"/>
    <w:rsid w:val="00606E38"/>
    <w:rsid w:val="006312BF"/>
    <w:rsid w:val="00634E32"/>
    <w:rsid w:val="006401AD"/>
    <w:rsid w:val="0064730C"/>
    <w:rsid w:val="00647A88"/>
    <w:rsid w:val="00655FCF"/>
    <w:rsid w:val="00682EAE"/>
    <w:rsid w:val="006953DA"/>
    <w:rsid w:val="006E5041"/>
    <w:rsid w:val="006F120B"/>
    <w:rsid w:val="00716342"/>
    <w:rsid w:val="007349B4"/>
    <w:rsid w:val="00740F93"/>
    <w:rsid w:val="007431D0"/>
    <w:rsid w:val="00790F08"/>
    <w:rsid w:val="00795743"/>
    <w:rsid w:val="007A407A"/>
    <w:rsid w:val="007C3E72"/>
    <w:rsid w:val="007F35D1"/>
    <w:rsid w:val="007F4D9B"/>
    <w:rsid w:val="00807AC3"/>
    <w:rsid w:val="00814642"/>
    <w:rsid w:val="00890311"/>
    <w:rsid w:val="008C5D9B"/>
    <w:rsid w:val="008E77DF"/>
    <w:rsid w:val="008E7EE9"/>
    <w:rsid w:val="009069ED"/>
    <w:rsid w:val="00940EF3"/>
    <w:rsid w:val="00941C4A"/>
    <w:rsid w:val="009578AE"/>
    <w:rsid w:val="00987695"/>
    <w:rsid w:val="009E0FFF"/>
    <w:rsid w:val="009E1784"/>
    <w:rsid w:val="009E72A6"/>
    <w:rsid w:val="009F79CF"/>
    <w:rsid w:val="00A0765C"/>
    <w:rsid w:val="00A16DC1"/>
    <w:rsid w:val="00A25CBC"/>
    <w:rsid w:val="00A350E6"/>
    <w:rsid w:val="00A53E7A"/>
    <w:rsid w:val="00A74AF7"/>
    <w:rsid w:val="00AA0058"/>
    <w:rsid w:val="00AE4EEE"/>
    <w:rsid w:val="00B03DD1"/>
    <w:rsid w:val="00B12900"/>
    <w:rsid w:val="00B23169"/>
    <w:rsid w:val="00B23330"/>
    <w:rsid w:val="00B30831"/>
    <w:rsid w:val="00B719F2"/>
    <w:rsid w:val="00B80992"/>
    <w:rsid w:val="00B942A6"/>
    <w:rsid w:val="00BC61D4"/>
    <w:rsid w:val="00BF1598"/>
    <w:rsid w:val="00C13B2B"/>
    <w:rsid w:val="00C6361C"/>
    <w:rsid w:val="00C649BC"/>
    <w:rsid w:val="00C725C4"/>
    <w:rsid w:val="00C82193"/>
    <w:rsid w:val="00CA6B31"/>
    <w:rsid w:val="00CC224E"/>
    <w:rsid w:val="00CC5647"/>
    <w:rsid w:val="00D5550C"/>
    <w:rsid w:val="00D6507B"/>
    <w:rsid w:val="00DA6027"/>
    <w:rsid w:val="00DD015B"/>
    <w:rsid w:val="00E24B69"/>
    <w:rsid w:val="00E53DE5"/>
    <w:rsid w:val="00E923A5"/>
    <w:rsid w:val="00EA279E"/>
    <w:rsid w:val="00EA68FD"/>
    <w:rsid w:val="00EC1438"/>
    <w:rsid w:val="00EC7B2F"/>
    <w:rsid w:val="00EE40C2"/>
    <w:rsid w:val="00EF2539"/>
    <w:rsid w:val="00F00FA6"/>
    <w:rsid w:val="00F1409C"/>
    <w:rsid w:val="00F14A6E"/>
    <w:rsid w:val="00F26D7E"/>
    <w:rsid w:val="00F37305"/>
    <w:rsid w:val="00F46AE8"/>
    <w:rsid w:val="00F71324"/>
    <w:rsid w:val="00F855F4"/>
    <w:rsid w:val="00F8686A"/>
    <w:rsid w:val="00FB76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C4C2"/>
  <w15:chartTrackingRefBased/>
  <w15:docId w15:val="{A0FA81B6-3AC4-4F94-B043-6C76DE6B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C3E72"/>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95E"/>
    <w:pPr>
      <w:spacing w:after="0" w:line="240" w:lineRule="auto"/>
    </w:pPr>
  </w:style>
  <w:style w:type="paragraph" w:styleId="FootnoteText">
    <w:name w:val="footnote text"/>
    <w:basedOn w:val="Normal"/>
    <w:link w:val="FootnoteTextChar"/>
    <w:uiPriority w:val="99"/>
    <w:semiHidden/>
    <w:unhideWhenUsed/>
    <w:rsid w:val="00A53E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E7A"/>
    <w:rPr>
      <w:sz w:val="20"/>
      <w:szCs w:val="20"/>
    </w:rPr>
  </w:style>
  <w:style w:type="character" w:styleId="FootnoteReference">
    <w:name w:val="footnote reference"/>
    <w:basedOn w:val="DefaultParagraphFont"/>
    <w:uiPriority w:val="99"/>
    <w:semiHidden/>
    <w:unhideWhenUsed/>
    <w:rsid w:val="00A53E7A"/>
    <w:rPr>
      <w:vertAlign w:val="superscript"/>
    </w:rPr>
  </w:style>
  <w:style w:type="character" w:styleId="Hyperlink">
    <w:name w:val="Hyperlink"/>
    <w:basedOn w:val="DefaultParagraphFont"/>
    <w:uiPriority w:val="99"/>
    <w:unhideWhenUsed/>
    <w:rsid w:val="00A53E7A"/>
    <w:rPr>
      <w:color w:val="0563C1" w:themeColor="hyperlink"/>
      <w:u w:val="single"/>
    </w:rPr>
  </w:style>
  <w:style w:type="paragraph" w:styleId="ListParagraph">
    <w:name w:val="List Paragraph"/>
    <w:basedOn w:val="Normal"/>
    <w:uiPriority w:val="34"/>
    <w:qFormat/>
    <w:rsid w:val="00AA0058"/>
    <w:pPr>
      <w:ind w:left="720"/>
      <w:contextualSpacing/>
    </w:pPr>
  </w:style>
  <w:style w:type="character" w:styleId="FollowedHyperlink">
    <w:name w:val="FollowedHyperlink"/>
    <w:basedOn w:val="DefaultParagraphFont"/>
    <w:uiPriority w:val="99"/>
    <w:semiHidden/>
    <w:unhideWhenUsed/>
    <w:rsid w:val="00E24B69"/>
    <w:rPr>
      <w:color w:val="954F72" w:themeColor="followedHyperlink"/>
      <w:u w:val="single"/>
    </w:rPr>
  </w:style>
  <w:style w:type="character" w:customStyle="1" w:styleId="Heading4Char">
    <w:name w:val="Heading 4 Char"/>
    <w:basedOn w:val="DefaultParagraphFont"/>
    <w:link w:val="Heading4"/>
    <w:uiPriority w:val="9"/>
    <w:rsid w:val="007C3E72"/>
    <w:rPr>
      <w:rFonts w:ascii="Times New Roman" w:eastAsia="Times New Roman" w:hAnsi="Times New Roman" w:cs="Times New Roman"/>
      <w:b/>
      <w:bCs/>
      <w:sz w:val="24"/>
      <w:szCs w:val="24"/>
      <w:lang w:eastAsia="ro-RO"/>
    </w:rPr>
  </w:style>
  <w:style w:type="paragraph" w:customStyle="1" w:styleId="al">
    <w:name w:val="a_l"/>
    <w:basedOn w:val="Normal"/>
    <w:rsid w:val="007C3E7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cmg">
    <w:name w:val="cmg"/>
    <w:basedOn w:val="DefaultParagraphFont"/>
    <w:rsid w:val="007C3E72"/>
  </w:style>
  <w:style w:type="paragraph" w:customStyle="1" w:styleId="c01pointnumerotealtn">
    <w:name w:val="c01pointnumerotealtn"/>
    <w:basedOn w:val="Normal"/>
    <w:rsid w:val="009F79C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Header">
    <w:name w:val="header"/>
    <w:basedOn w:val="Normal"/>
    <w:link w:val="HeaderChar"/>
    <w:uiPriority w:val="99"/>
    <w:unhideWhenUsed/>
    <w:rsid w:val="008E7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7DF"/>
  </w:style>
  <w:style w:type="paragraph" w:styleId="Footer">
    <w:name w:val="footer"/>
    <w:basedOn w:val="Normal"/>
    <w:link w:val="FooterChar"/>
    <w:uiPriority w:val="99"/>
    <w:unhideWhenUsed/>
    <w:rsid w:val="008E7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7DF"/>
  </w:style>
  <w:style w:type="character" w:styleId="CommentReference">
    <w:name w:val="annotation reference"/>
    <w:basedOn w:val="DefaultParagraphFont"/>
    <w:uiPriority w:val="99"/>
    <w:semiHidden/>
    <w:unhideWhenUsed/>
    <w:rsid w:val="004B40F4"/>
    <w:rPr>
      <w:sz w:val="16"/>
      <w:szCs w:val="16"/>
    </w:rPr>
  </w:style>
  <w:style w:type="paragraph" w:styleId="CommentText">
    <w:name w:val="annotation text"/>
    <w:basedOn w:val="Normal"/>
    <w:link w:val="CommentTextChar"/>
    <w:uiPriority w:val="99"/>
    <w:semiHidden/>
    <w:unhideWhenUsed/>
    <w:rsid w:val="004B40F4"/>
    <w:pPr>
      <w:spacing w:line="240" w:lineRule="auto"/>
    </w:pPr>
    <w:rPr>
      <w:sz w:val="20"/>
      <w:szCs w:val="20"/>
    </w:rPr>
  </w:style>
  <w:style w:type="character" w:customStyle="1" w:styleId="CommentTextChar">
    <w:name w:val="Comment Text Char"/>
    <w:basedOn w:val="DefaultParagraphFont"/>
    <w:link w:val="CommentText"/>
    <w:uiPriority w:val="99"/>
    <w:semiHidden/>
    <w:rsid w:val="004B40F4"/>
    <w:rPr>
      <w:sz w:val="20"/>
      <w:szCs w:val="20"/>
    </w:rPr>
  </w:style>
  <w:style w:type="paragraph" w:styleId="CommentSubject">
    <w:name w:val="annotation subject"/>
    <w:basedOn w:val="CommentText"/>
    <w:next w:val="CommentText"/>
    <w:link w:val="CommentSubjectChar"/>
    <w:uiPriority w:val="99"/>
    <w:semiHidden/>
    <w:unhideWhenUsed/>
    <w:rsid w:val="004B40F4"/>
    <w:rPr>
      <w:b/>
      <w:bCs/>
    </w:rPr>
  </w:style>
  <w:style w:type="character" w:customStyle="1" w:styleId="CommentSubjectChar">
    <w:name w:val="Comment Subject Char"/>
    <w:basedOn w:val="CommentTextChar"/>
    <w:link w:val="CommentSubject"/>
    <w:uiPriority w:val="99"/>
    <w:semiHidden/>
    <w:rsid w:val="004B40F4"/>
    <w:rPr>
      <w:b/>
      <w:bCs/>
      <w:sz w:val="20"/>
      <w:szCs w:val="20"/>
    </w:rPr>
  </w:style>
  <w:style w:type="paragraph" w:styleId="BalloonText">
    <w:name w:val="Balloon Text"/>
    <w:basedOn w:val="Normal"/>
    <w:link w:val="BalloonTextChar"/>
    <w:uiPriority w:val="99"/>
    <w:semiHidden/>
    <w:unhideWhenUsed/>
    <w:rsid w:val="004B40F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B40F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58520">
      <w:bodyDiv w:val="1"/>
      <w:marLeft w:val="0"/>
      <w:marRight w:val="0"/>
      <w:marTop w:val="0"/>
      <w:marBottom w:val="0"/>
      <w:divBdr>
        <w:top w:val="none" w:sz="0" w:space="0" w:color="auto"/>
        <w:left w:val="none" w:sz="0" w:space="0" w:color="auto"/>
        <w:bottom w:val="none" w:sz="0" w:space="0" w:color="auto"/>
        <w:right w:val="none" w:sz="0" w:space="0" w:color="auto"/>
      </w:divBdr>
    </w:div>
    <w:div w:id="779252982">
      <w:bodyDiv w:val="1"/>
      <w:marLeft w:val="0"/>
      <w:marRight w:val="0"/>
      <w:marTop w:val="0"/>
      <w:marBottom w:val="0"/>
      <w:divBdr>
        <w:top w:val="none" w:sz="0" w:space="0" w:color="auto"/>
        <w:left w:val="none" w:sz="0" w:space="0" w:color="auto"/>
        <w:bottom w:val="none" w:sz="0" w:space="0" w:color="auto"/>
        <w:right w:val="none" w:sz="0" w:space="0" w:color="auto"/>
      </w:divBdr>
    </w:div>
    <w:div w:id="862788094">
      <w:bodyDiv w:val="1"/>
      <w:marLeft w:val="0"/>
      <w:marRight w:val="0"/>
      <w:marTop w:val="0"/>
      <w:marBottom w:val="0"/>
      <w:divBdr>
        <w:top w:val="none" w:sz="0" w:space="0" w:color="auto"/>
        <w:left w:val="none" w:sz="0" w:space="0" w:color="auto"/>
        <w:bottom w:val="none" w:sz="0" w:space="0" w:color="auto"/>
        <w:right w:val="none" w:sz="0" w:space="0" w:color="auto"/>
      </w:divBdr>
    </w:div>
    <w:div w:id="914585556">
      <w:bodyDiv w:val="1"/>
      <w:marLeft w:val="0"/>
      <w:marRight w:val="0"/>
      <w:marTop w:val="0"/>
      <w:marBottom w:val="0"/>
      <w:divBdr>
        <w:top w:val="none" w:sz="0" w:space="0" w:color="auto"/>
        <w:left w:val="none" w:sz="0" w:space="0" w:color="auto"/>
        <w:bottom w:val="none" w:sz="0" w:space="0" w:color="auto"/>
        <w:right w:val="none" w:sz="0" w:space="0" w:color="auto"/>
      </w:divBdr>
    </w:div>
    <w:div w:id="993683265">
      <w:bodyDiv w:val="1"/>
      <w:marLeft w:val="0"/>
      <w:marRight w:val="0"/>
      <w:marTop w:val="0"/>
      <w:marBottom w:val="0"/>
      <w:divBdr>
        <w:top w:val="none" w:sz="0" w:space="0" w:color="auto"/>
        <w:left w:val="none" w:sz="0" w:space="0" w:color="auto"/>
        <w:bottom w:val="none" w:sz="0" w:space="0" w:color="auto"/>
        <w:right w:val="none" w:sz="0" w:space="0" w:color="auto"/>
      </w:divBdr>
    </w:div>
    <w:div w:id="1269200061">
      <w:bodyDiv w:val="1"/>
      <w:marLeft w:val="0"/>
      <w:marRight w:val="0"/>
      <w:marTop w:val="0"/>
      <w:marBottom w:val="0"/>
      <w:divBdr>
        <w:top w:val="none" w:sz="0" w:space="0" w:color="auto"/>
        <w:left w:val="none" w:sz="0" w:space="0" w:color="auto"/>
        <w:bottom w:val="none" w:sz="0" w:space="0" w:color="auto"/>
        <w:right w:val="none" w:sz="0" w:space="0" w:color="auto"/>
      </w:divBdr>
    </w:div>
    <w:div w:id="20568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bogdan@stoica-asociatii.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toica-asociatii.ro/Veronica-DOBOZI-a7-en.htm" TargetMode="External"/><Relationship Id="rId4" Type="http://schemas.openxmlformats.org/officeDocument/2006/relationships/settings" Target="settings.xml"/><Relationship Id="rId9" Type="http://schemas.openxmlformats.org/officeDocument/2006/relationships/hyperlink" Target="mailto:&#8211;%20biamandi@stoica-asociatii.r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ommission/presscorner/detail/en/IP_21_2801" TargetMode="External"/><Relationship Id="rId3" Type="http://schemas.openxmlformats.org/officeDocument/2006/relationships/hyperlink" Target="https://www.patentsight.com/patentsight-press-center/analysis-reveals-companies-with-strongest-patents-related-to-covid-19-vaccines" TargetMode="External"/><Relationship Id="rId7" Type="http://schemas.openxmlformats.org/officeDocument/2006/relationships/hyperlink" Target="https://www.europarl.europa.eu/doceo/document/TA-9-2021-0283_RO.html" TargetMode="External"/><Relationship Id="rId2" Type="http://schemas.openxmlformats.org/officeDocument/2006/relationships/hyperlink" Target="https://www.supremecourt.uk/cases/uksc-2018-0214.html" TargetMode="External"/><Relationship Id="rId1" Type="http://schemas.openxmlformats.org/officeDocument/2006/relationships/hyperlink" Target="https://www.iplytics.com/report/5g-patent-race-02-2021/" TargetMode="External"/><Relationship Id="rId6" Type="http://schemas.openxmlformats.org/officeDocument/2006/relationships/hyperlink" Target="https://ec.europa.eu/commission/presscorner/detail/en/IP_21_2801" TargetMode="External"/><Relationship Id="rId5" Type="http://schemas.openxmlformats.org/officeDocument/2006/relationships/hyperlink" Target="https://docs.wto.org/dol2fe/Pages/SS/directdoc.aspx?filename=q:/IP/C/W669.pdf&amp;Open=True" TargetMode="External"/><Relationship Id="rId4" Type="http://schemas.openxmlformats.org/officeDocument/2006/relationships/hyperlink" Target="https://www.unicef.org/supply/covid-19-vaccine-market-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4902D-DE07-4D00-95A0-378B2D38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2578</Words>
  <Characters>14700</Characters>
  <Application>Microsoft Office Word</Application>
  <DocSecurity>0</DocSecurity>
  <Lines>122</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STOICA - Asociatii</dc:creator>
  <cp:keywords/>
  <dc:description/>
  <cp:lastModifiedBy>Windows User</cp:lastModifiedBy>
  <cp:revision>3</cp:revision>
  <dcterms:created xsi:type="dcterms:W3CDTF">2021-09-22T15:19:00Z</dcterms:created>
  <dcterms:modified xsi:type="dcterms:W3CDTF">2021-09-22T15:24:00Z</dcterms:modified>
</cp:coreProperties>
</file>