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DC326" w14:textId="77777777" w:rsidR="00095340" w:rsidRPr="003A0056" w:rsidRDefault="00095340" w:rsidP="009D6DFA">
      <w:pPr>
        <w:spacing w:after="0" w:line="240" w:lineRule="auto"/>
        <w:ind w:firstLine="709"/>
        <w:jc w:val="center"/>
        <w:rPr>
          <w:rFonts w:eastAsia="Times New Roman" w:cstheme="minorHAnsi"/>
          <w:b/>
          <w:color w:val="222222"/>
          <w:lang w:val="ro-RO" w:eastAsia="ro-RO"/>
        </w:rPr>
      </w:pPr>
      <w:r w:rsidRPr="003A0056">
        <w:rPr>
          <w:rFonts w:eastAsia="Times New Roman" w:cstheme="minorHAnsi"/>
          <w:b/>
          <w:color w:val="222222"/>
          <w:lang w:val="ro-RO" w:eastAsia="ro-RO"/>
        </w:rPr>
        <w:t>Dreptul de a refuza proceduri sau manopere medicale</w:t>
      </w:r>
    </w:p>
    <w:p w14:paraId="0719AD06" w14:textId="77777777" w:rsidR="009D6DFA" w:rsidRPr="003A0056" w:rsidRDefault="009D6DFA" w:rsidP="009D6DFA">
      <w:pPr>
        <w:spacing w:after="0" w:line="240" w:lineRule="auto"/>
        <w:ind w:firstLine="709"/>
        <w:jc w:val="center"/>
        <w:rPr>
          <w:rFonts w:eastAsia="Times New Roman" w:cstheme="minorHAnsi"/>
          <w:b/>
          <w:color w:val="222222"/>
          <w:lang w:val="ro-RO" w:eastAsia="ro-RO"/>
        </w:rPr>
      </w:pPr>
    </w:p>
    <w:p w14:paraId="7F0F6ADC" w14:textId="687E1731" w:rsidR="009D6DFA" w:rsidRPr="003A0056" w:rsidRDefault="009D6DFA" w:rsidP="009D6DFA">
      <w:pPr>
        <w:spacing w:after="0" w:line="240" w:lineRule="auto"/>
        <w:ind w:firstLine="709"/>
        <w:jc w:val="right"/>
        <w:rPr>
          <w:rFonts w:eastAsia="Times New Roman" w:cstheme="minorHAnsi"/>
          <w:b/>
          <w:color w:val="222222"/>
          <w:lang w:val="ro-RO" w:eastAsia="ro-RO"/>
        </w:rPr>
      </w:pPr>
      <w:r w:rsidRPr="003A0056">
        <w:rPr>
          <w:rFonts w:eastAsia="Times New Roman" w:cstheme="minorHAnsi"/>
          <w:b/>
          <w:color w:val="222222"/>
          <w:lang w:val="ro-RO" w:eastAsia="ro-RO"/>
        </w:rPr>
        <w:t>Veronica DOBOZI - Partner</w:t>
      </w:r>
    </w:p>
    <w:p w14:paraId="7DFEC6E2" w14:textId="77777777" w:rsidR="00095340" w:rsidRPr="003A0056" w:rsidRDefault="00095340" w:rsidP="009D6DFA">
      <w:pPr>
        <w:spacing w:after="0" w:line="240" w:lineRule="auto"/>
        <w:jc w:val="both"/>
        <w:rPr>
          <w:rFonts w:eastAsia="Calibri" w:cstheme="minorHAnsi"/>
          <w:lang w:val="ro-RO"/>
        </w:rPr>
      </w:pPr>
    </w:p>
    <w:p w14:paraId="38DCE27A" w14:textId="77777777" w:rsidR="009D6DFA" w:rsidRPr="003A0056" w:rsidRDefault="009D6DFA" w:rsidP="009D6DFA">
      <w:pPr>
        <w:spacing w:after="0" w:line="240" w:lineRule="auto"/>
        <w:jc w:val="both"/>
        <w:rPr>
          <w:rFonts w:eastAsia="Calibri" w:cstheme="minorHAnsi"/>
          <w:lang w:val="ro-RO"/>
        </w:rPr>
      </w:pPr>
    </w:p>
    <w:p w14:paraId="3220D5BF" w14:textId="7CD2E41B" w:rsidR="00095340" w:rsidRPr="003A0056" w:rsidRDefault="00095340" w:rsidP="009D6DFA">
      <w:pPr>
        <w:spacing w:after="0" w:line="240" w:lineRule="auto"/>
        <w:jc w:val="both"/>
        <w:rPr>
          <w:rFonts w:eastAsia="Calibri" w:cstheme="minorHAnsi"/>
          <w:lang w:val="ro-RO"/>
        </w:rPr>
      </w:pPr>
      <w:r w:rsidRPr="003A0056">
        <w:rPr>
          <w:rFonts w:eastAsia="Calibri" w:cstheme="minorHAnsi"/>
          <w:lang w:val="ro-RO"/>
        </w:rPr>
        <w:t>Proclama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ia de la Teheran</w:t>
      </w:r>
      <w:r w:rsidRPr="003A0056">
        <w:rPr>
          <w:rFonts w:eastAsia="Calibri" w:cstheme="minorHAnsi"/>
          <w:vertAlign w:val="superscript"/>
          <w:lang w:val="ro-RO"/>
        </w:rPr>
        <w:footnoteReference w:id="1"/>
      </w:r>
      <w:r w:rsidRPr="003A0056">
        <w:rPr>
          <w:rFonts w:eastAsia="Calibri" w:cstheme="minorHAnsi"/>
          <w:lang w:val="ro-RO"/>
        </w:rPr>
        <w:t xml:space="preserve"> atrage aten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 xml:space="preserve">ia asupra caracterului dualist al recentelor descoperiri 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>tiin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 xml:space="preserve">ifice 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 xml:space="preserve">i a avansului tehnologic, în special în biomedicină care, pe de o parte, deschid vaste orizonturi de progres economic, social 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 xml:space="preserve">i cultural, iar de pe de altă parte, pot periclita drepturile 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>i libertă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ile individuale, necesitând o continuă aten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ie pentru men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inerea legisla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 xml:space="preserve">iei în pas cu progresul 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>tiin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 xml:space="preserve">ific. </w:t>
      </w:r>
    </w:p>
    <w:p w14:paraId="0F60B739" w14:textId="77777777" w:rsidR="00717D74" w:rsidRPr="003A0056" w:rsidRDefault="00717D74" w:rsidP="009D6DFA">
      <w:pPr>
        <w:spacing w:after="0" w:line="240" w:lineRule="auto"/>
        <w:jc w:val="both"/>
        <w:rPr>
          <w:rFonts w:eastAsia="Calibri" w:cstheme="minorHAnsi"/>
          <w:lang w:val="ro-RO"/>
        </w:rPr>
      </w:pPr>
    </w:p>
    <w:p w14:paraId="30B4CDCA" w14:textId="453DC3E0" w:rsidR="00095340" w:rsidRPr="003A0056" w:rsidRDefault="00095340" w:rsidP="009D6DFA">
      <w:pPr>
        <w:spacing w:after="0" w:line="240" w:lineRule="auto"/>
        <w:jc w:val="both"/>
        <w:rPr>
          <w:rFonts w:eastAsia="Calibri" w:cstheme="minorHAnsi"/>
          <w:lang w:val="ro-RO"/>
        </w:rPr>
      </w:pPr>
      <w:r w:rsidRPr="003A0056">
        <w:rPr>
          <w:rFonts w:eastAsia="Calibri" w:cstheme="minorHAnsi"/>
          <w:b/>
          <w:lang w:val="ro-RO"/>
        </w:rPr>
        <w:t>În acest context, dreptul individual de a refuza un tratament sau o manoperă medicală este mai actual ca oricând.</w:t>
      </w:r>
      <w:r w:rsidRPr="003A0056">
        <w:rPr>
          <w:rFonts w:eastAsia="Calibri" w:cstheme="minorHAnsi"/>
          <w:lang w:val="ro-RO"/>
        </w:rPr>
        <w:t xml:space="preserve"> Pentru a analiza în ce măsură acest drept se bucură de protec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 xml:space="preserve">ie, să definim mai întâi conceptele de </w:t>
      </w:r>
      <w:r w:rsidRPr="003A0056">
        <w:rPr>
          <w:rFonts w:eastAsia="Calibri" w:cstheme="minorHAnsi"/>
          <w:b/>
          <w:lang w:val="ro-RO"/>
        </w:rPr>
        <w:t>tratame</w:t>
      </w:r>
      <w:r w:rsidR="009D6DFA" w:rsidRPr="003A0056">
        <w:rPr>
          <w:rFonts w:eastAsia="Calibri" w:cstheme="minorHAnsi"/>
          <w:b/>
          <w:lang w:val="ro-RO"/>
        </w:rPr>
        <w:t xml:space="preserve">nt medical </w:t>
      </w:r>
      <w:r w:rsidR="003A0056">
        <w:rPr>
          <w:rFonts w:eastAsia="Calibri" w:cstheme="minorHAnsi"/>
          <w:b/>
          <w:lang w:val="ro-RO"/>
        </w:rPr>
        <w:t>ș</w:t>
      </w:r>
      <w:r w:rsidR="009D6DFA" w:rsidRPr="003A0056">
        <w:rPr>
          <w:rFonts w:eastAsia="Calibri" w:cstheme="minorHAnsi"/>
          <w:b/>
          <w:lang w:val="ro-RO"/>
        </w:rPr>
        <w:t>i manoperă medicală</w:t>
      </w:r>
      <w:r w:rsidRPr="003A0056">
        <w:rPr>
          <w:rFonts w:eastAsia="Calibri" w:cstheme="minorHAnsi"/>
          <w:lang w:val="ro-RO"/>
        </w:rPr>
        <w:t>. Vom în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elege astfel prin tratament medical orice interven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ie în sens larg, care este menită să conducă fie la prevenirea, fie la vindecarea unei boli sau a unei stări care afectează sănătatea unei persoane, iar prin manoperă medicală vom în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elege orice interven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ie asupra unui individ, executată de personal medical calificat, în scopul diagnosticării unei boli, sau a stabilirii poten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ialită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ii existen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ei unei boli în viitor sau în general pentru men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inerea vie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ii unei persoane (de exemplu, hrănirea artificială, intubarea, etc.).</w:t>
      </w:r>
    </w:p>
    <w:p w14:paraId="0C61B597" w14:textId="77777777" w:rsidR="00717D74" w:rsidRPr="003A0056" w:rsidRDefault="00717D74" w:rsidP="009D6DFA">
      <w:pPr>
        <w:spacing w:after="0" w:line="240" w:lineRule="auto"/>
        <w:jc w:val="both"/>
        <w:rPr>
          <w:rFonts w:eastAsia="Calibri" w:cstheme="minorHAnsi"/>
          <w:lang w:val="ro-RO"/>
        </w:rPr>
      </w:pPr>
    </w:p>
    <w:p w14:paraId="23478A36" w14:textId="4A61B111" w:rsidR="00095340" w:rsidRPr="003A0056" w:rsidRDefault="00095340" w:rsidP="009D6DFA">
      <w:pPr>
        <w:spacing w:after="0" w:line="240" w:lineRule="auto"/>
        <w:jc w:val="both"/>
        <w:rPr>
          <w:rFonts w:eastAsia="Calibri" w:cstheme="minorHAnsi"/>
          <w:lang w:val="ro-RO"/>
        </w:rPr>
      </w:pPr>
      <w:r w:rsidRPr="003A0056">
        <w:rPr>
          <w:rFonts w:eastAsia="Calibri" w:cstheme="minorHAnsi"/>
          <w:lang w:val="ro-RO"/>
        </w:rPr>
        <w:t xml:space="preserve">Se desprinde din </w:t>
      </w:r>
      <w:r w:rsidR="009D6DFA" w:rsidRPr="003A0056">
        <w:rPr>
          <w:rFonts w:eastAsia="Calibri" w:cstheme="minorHAnsi"/>
          <w:lang w:val="ro-RO"/>
        </w:rPr>
        <w:t>defini</w:t>
      </w:r>
      <w:r w:rsidR="003A0056">
        <w:rPr>
          <w:rFonts w:eastAsia="Calibri" w:cstheme="minorHAnsi"/>
          <w:lang w:val="ro-RO"/>
        </w:rPr>
        <w:t>ț</w:t>
      </w:r>
      <w:r w:rsidR="009D6DFA" w:rsidRPr="003A0056">
        <w:rPr>
          <w:rFonts w:eastAsia="Calibri" w:cstheme="minorHAnsi"/>
          <w:lang w:val="ro-RO"/>
        </w:rPr>
        <w:t>iile</w:t>
      </w:r>
      <w:r w:rsidRPr="003A0056">
        <w:rPr>
          <w:rFonts w:eastAsia="Calibri" w:cstheme="minorHAnsi"/>
          <w:lang w:val="ro-RO"/>
        </w:rPr>
        <w:t xml:space="preserve"> anterior formulate calitatea de pacient a individului despre ale cărui drepturi 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>i libertă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 xml:space="preserve">i ne întrebăm în ce măsură sunt protejate. Drepturile pacientului au apărut după al </w:t>
      </w:r>
      <w:r w:rsidR="003A0056">
        <w:rPr>
          <w:rFonts w:eastAsia="Calibri" w:cstheme="minorHAnsi"/>
          <w:lang w:val="ro-RO"/>
        </w:rPr>
        <w:t>D</w:t>
      </w:r>
      <w:r w:rsidRPr="003A0056">
        <w:rPr>
          <w:rFonts w:eastAsia="Calibri" w:cstheme="minorHAnsi"/>
          <w:lang w:val="ro-RO"/>
        </w:rPr>
        <w:t xml:space="preserve">oilea </w:t>
      </w:r>
      <w:r w:rsidR="003A0056">
        <w:rPr>
          <w:rFonts w:eastAsia="Calibri" w:cstheme="minorHAnsi"/>
          <w:lang w:val="ro-RO"/>
        </w:rPr>
        <w:t>R</w:t>
      </w:r>
      <w:r w:rsidRPr="003A0056">
        <w:rPr>
          <w:rFonts w:eastAsia="Calibri" w:cstheme="minorHAnsi"/>
          <w:lang w:val="ro-RO"/>
        </w:rPr>
        <w:t xml:space="preserve">ăzboi </w:t>
      </w:r>
      <w:r w:rsidR="003A0056">
        <w:rPr>
          <w:rFonts w:eastAsia="Calibri" w:cstheme="minorHAnsi"/>
          <w:lang w:val="ro-RO"/>
        </w:rPr>
        <w:t>M</w:t>
      </w:r>
      <w:r w:rsidRPr="003A0056">
        <w:rPr>
          <w:rFonts w:eastAsia="Calibri" w:cstheme="minorHAnsi"/>
          <w:lang w:val="ro-RO"/>
        </w:rPr>
        <w:t>ondial, în contextul abuzurilor medicale desfă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 xml:space="preserve">urate de către regimul nazist 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>i au fost pentru prima oară explicate ca atare, de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>i într-o formă mai degrabă simbolică, de</w:t>
      </w:r>
      <w:r w:rsidR="009D6DFA" w:rsidRPr="003A0056">
        <w:rPr>
          <w:rFonts w:eastAsia="Calibri" w:cstheme="minorHAnsi"/>
          <w:lang w:val="ro-RO"/>
        </w:rPr>
        <w:t xml:space="preserve"> declara</w:t>
      </w:r>
      <w:r w:rsidR="003A0056">
        <w:rPr>
          <w:rFonts w:eastAsia="Calibri" w:cstheme="minorHAnsi"/>
          <w:lang w:val="ro-RO"/>
        </w:rPr>
        <w:t>ț</w:t>
      </w:r>
      <w:r w:rsidR="009D6DFA" w:rsidRPr="003A0056">
        <w:rPr>
          <w:rFonts w:eastAsia="Calibri" w:cstheme="minorHAnsi"/>
          <w:lang w:val="ro-RO"/>
        </w:rPr>
        <w:t>iile Tribunalului de la Nürnberg</w:t>
      </w:r>
      <w:r w:rsidRPr="003A0056">
        <w:rPr>
          <w:rFonts w:eastAsia="Calibri" w:cstheme="minorHAnsi"/>
          <w:lang w:val="ro-RO"/>
        </w:rPr>
        <w:t>. T</w:t>
      </w:r>
      <w:r w:rsidR="009D6DFA" w:rsidRPr="003A0056">
        <w:rPr>
          <w:rFonts w:eastAsia="Calibri" w:cstheme="minorHAnsi"/>
          <w:lang w:val="ro-RO"/>
        </w:rPr>
        <w:t>otu</w:t>
      </w:r>
      <w:r w:rsidR="003A0056">
        <w:rPr>
          <w:rFonts w:eastAsia="Calibri" w:cstheme="minorHAnsi"/>
          <w:lang w:val="ro-RO"/>
        </w:rPr>
        <w:t>ș</w:t>
      </w:r>
      <w:r w:rsidR="009D6DFA" w:rsidRPr="003A0056">
        <w:rPr>
          <w:rFonts w:eastAsia="Calibri" w:cstheme="minorHAnsi"/>
          <w:lang w:val="ro-RO"/>
        </w:rPr>
        <w:t>i</w:t>
      </w:r>
      <w:r w:rsidRPr="003A0056">
        <w:rPr>
          <w:rFonts w:eastAsia="Calibri" w:cstheme="minorHAnsi"/>
          <w:lang w:val="ro-RO"/>
        </w:rPr>
        <w:t>, referin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ele sunt strict legate de existen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a unui consim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ământ informat</w:t>
      </w:r>
      <w:r w:rsidR="009D6DFA" w:rsidRPr="003A0056">
        <w:rPr>
          <w:rFonts w:eastAsia="Calibri" w:cstheme="minorHAnsi"/>
          <w:lang w:val="ro-RO"/>
        </w:rPr>
        <w:t>,</w:t>
      </w:r>
      <w:r w:rsidRPr="003A0056">
        <w:rPr>
          <w:rFonts w:eastAsia="Calibri" w:cstheme="minorHAnsi"/>
          <w:lang w:val="ro-RO"/>
        </w:rPr>
        <w:t xml:space="preserve"> în situa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 xml:space="preserve">ia supunerii unei persoane unui experiment 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>tiin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ific sau medical. Ulterior, aceste drepturi ale pacien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ilor, grefate pe principiile majore de etică dezvoltate</w:t>
      </w:r>
      <w:r w:rsidR="009D6DFA" w:rsidRPr="003A0056">
        <w:rPr>
          <w:rFonts w:eastAsia="Calibri" w:cstheme="minorHAnsi"/>
          <w:lang w:val="ro-RO"/>
        </w:rPr>
        <w:t xml:space="preserve"> de organiza</w:t>
      </w:r>
      <w:r w:rsidR="003A0056">
        <w:rPr>
          <w:rFonts w:eastAsia="Calibri" w:cstheme="minorHAnsi"/>
          <w:lang w:val="ro-RO"/>
        </w:rPr>
        <w:t>ț</w:t>
      </w:r>
      <w:r w:rsidR="009D6DFA" w:rsidRPr="003A0056">
        <w:rPr>
          <w:rFonts w:eastAsia="Calibri" w:cstheme="minorHAnsi"/>
          <w:lang w:val="ro-RO"/>
        </w:rPr>
        <w:t>ii interna</w:t>
      </w:r>
      <w:r w:rsidR="003A0056">
        <w:rPr>
          <w:rFonts w:eastAsia="Calibri" w:cstheme="minorHAnsi"/>
          <w:lang w:val="ro-RO"/>
        </w:rPr>
        <w:t>ț</w:t>
      </w:r>
      <w:r w:rsidR="009D6DFA" w:rsidRPr="003A0056">
        <w:rPr>
          <w:rFonts w:eastAsia="Calibri" w:cstheme="minorHAnsi"/>
          <w:lang w:val="ro-RO"/>
        </w:rPr>
        <w:t>ionale</w:t>
      </w:r>
      <w:r w:rsidRPr="003A0056">
        <w:rPr>
          <w:rFonts w:eastAsia="Calibri" w:cstheme="minorHAnsi"/>
          <w:lang w:val="ro-RO"/>
        </w:rPr>
        <w:t>, au fost preluate în tratate interna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 xml:space="preserve">ionale 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 xml:space="preserve">i regionale, precum 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 xml:space="preserve">i în norme cu caracter de recomandare. În acest fel, </w:t>
      </w:r>
      <w:r w:rsidRPr="003A0056">
        <w:rPr>
          <w:rFonts w:eastAsia="Calibri" w:cstheme="minorHAnsi"/>
          <w:b/>
          <w:lang w:val="ro-RO"/>
        </w:rPr>
        <w:t>obliga</w:t>
      </w:r>
      <w:r w:rsidR="003A0056">
        <w:rPr>
          <w:rFonts w:eastAsia="Calibri" w:cstheme="minorHAnsi"/>
          <w:b/>
          <w:lang w:val="ro-RO"/>
        </w:rPr>
        <w:t>ț</w:t>
      </w:r>
      <w:r w:rsidRPr="003A0056">
        <w:rPr>
          <w:rFonts w:eastAsia="Calibri" w:cstheme="minorHAnsi"/>
          <w:b/>
          <w:lang w:val="ro-RO"/>
        </w:rPr>
        <w:t>iile medicilor au fost dublate de drepturile corelative ale pacien</w:t>
      </w:r>
      <w:r w:rsidR="003A0056">
        <w:rPr>
          <w:rFonts w:eastAsia="Calibri" w:cstheme="minorHAnsi"/>
          <w:b/>
          <w:lang w:val="ro-RO"/>
        </w:rPr>
        <w:t>ț</w:t>
      </w:r>
      <w:r w:rsidRPr="003A0056">
        <w:rPr>
          <w:rFonts w:eastAsia="Calibri" w:cstheme="minorHAnsi"/>
          <w:b/>
          <w:lang w:val="ro-RO"/>
        </w:rPr>
        <w:t>ilor</w:t>
      </w:r>
      <w:r w:rsidRPr="003A0056">
        <w:rPr>
          <w:rFonts w:eastAsia="Calibri" w:cstheme="minorHAnsi"/>
          <w:lang w:val="ro-RO"/>
        </w:rPr>
        <w:t>, punându-se capăt unui pate</w:t>
      </w:r>
      <w:r w:rsidR="003A0056">
        <w:rPr>
          <w:rFonts w:eastAsia="Calibri" w:cstheme="minorHAnsi"/>
          <w:lang w:val="ro-RO"/>
        </w:rPr>
        <w:t>r</w:t>
      </w:r>
      <w:r w:rsidRPr="003A0056">
        <w:rPr>
          <w:rFonts w:eastAsia="Calibri" w:cstheme="minorHAnsi"/>
          <w:lang w:val="ro-RO"/>
        </w:rPr>
        <w:t>nalism medical ab</w:t>
      </w:r>
      <w:r w:rsidR="003A0056">
        <w:rPr>
          <w:rFonts w:eastAsia="Calibri" w:cstheme="minorHAnsi"/>
          <w:lang w:val="ro-RO"/>
        </w:rPr>
        <w:t>s</w:t>
      </w:r>
      <w:r w:rsidRPr="003A0056">
        <w:rPr>
          <w:rFonts w:eastAsia="Calibri" w:cstheme="minorHAnsi"/>
          <w:lang w:val="ro-RO"/>
        </w:rPr>
        <w:t>olut, specific profesiei încă din Evul Mediu.</w:t>
      </w:r>
    </w:p>
    <w:p w14:paraId="2BE9CC11" w14:textId="77777777" w:rsidR="009D6DFA" w:rsidRPr="003A0056" w:rsidRDefault="009D6DFA" w:rsidP="009D6DFA">
      <w:pPr>
        <w:spacing w:after="0" w:line="240" w:lineRule="auto"/>
        <w:jc w:val="both"/>
        <w:rPr>
          <w:rFonts w:eastAsia="Calibri" w:cstheme="minorHAnsi"/>
          <w:lang w:val="ro-RO"/>
        </w:rPr>
      </w:pPr>
    </w:p>
    <w:p w14:paraId="0A8E0C91" w14:textId="504C0F62" w:rsidR="00095340" w:rsidRPr="003A0056" w:rsidRDefault="00095340" w:rsidP="009D6DFA">
      <w:pPr>
        <w:spacing w:after="0" w:line="240" w:lineRule="auto"/>
        <w:jc w:val="both"/>
        <w:rPr>
          <w:rFonts w:eastAsia="Calibri" w:cstheme="minorHAnsi"/>
          <w:lang w:val="ro-RO"/>
        </w:rPr>
      </w:pPr>
      <w:r w:rsidRPr="003A0056">
        <w:rPr>
          <w:rFonts w:eastAsia="Calibri" w:cstheme="minorHAnsi"/>
          <w:lang w:val="ro-RO"/>
        </w:rPr>
        <w:t xml:space="preserve">Drepturile </w:t>
      </w:r>
      <w:r w:rsidR="009D6DFA" w:rsidRPr="003A0056">
        <w:rPr>
          <w:rFonts w:eastAsia="Calibri" w:cstheme="minorHAnsi"/>
          <w:lang w:val="ro-RO"/>
        </w:rPr>
        <w:t>pacien</w:t>
      </w:r>
      <w:r w:rsidR="003A0056">
        <w:rPr>
          <w:rFonts w:eastAsia="Calibri" w:cstheme="minorHAnsi"/>
          <w:lang w:val="ro-RO"/>
        </w:rPr>
        <w:t>ț</w:t>
      </w:r>
      <w:r w:rsidR="009D6DFA" w:rsidRPr="003A0056">
        <w:rPr>
          <w:rFonts w:eastAsia="Calibri" w:cstheme="minorHAnsi"/>
          <w:lang w:val="ro-RO"/>
        </w:rPr>
        <w:t>ilor</w:t>
      </w:r>
      <w:r w:rsidRPr="003A0056">
        <w:rPr>
          <w:rFonts w:eastAsia="Calibri" w:cstheme="minorHAnsi"/>
          <w:lang w:val="ro-RO"/>
        </w:rPr>
        <w:t xml:space="preserve"> au la bază două drepturi fundamentale: </w:t>
      </w:r>
      <w:r w:rsidRPr="003A0056">
        <w:rPr>
          <w:rFonts w:eastAsia="Calibri" w:cstheme="minorHAnsi"/>
          <w:b/>
          <w:lang w:val="ro-RO"/>
        </w:rPr>
        <w:t xml:space="preserve">dreptul la îngrijire medicală </w:t>
      </w:r>
      <w:r w:rsidR="003A0056">
        <w:rPr>
          <w:rFonts w:eastAsia="Calibri" w:cstheme="minorHAnsi"/>
          <w:b/>
          <w:lang w:val="ro-RO"/>
        </w:rPr>
        <w:t>ș</w:t>
      </w:r>
      <w:r w:rsidRPr="003A0056">
        <w:rPr>
          <w:rFonts w:eastAsia="Calibri" w:cstheme="minorHAnsi"/>
          <w:b/>
          <w:lang w:val="ro-RO"/>
        </w:rPr>
        <w:t>i dreptul la auto-determinare</w:t>
      </w:r>
      <w:r w:rsidRPr="003A0056">
        <w:rPr>
          <w:rFonts w:eastAsia="Calibri" w:cstheme="minorHAnsi"/>
          <w:lang w:val="ro-RO"/>
        </w:rPr>
        <w:t>. Primul presupune existen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a unei obliga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ii corelative din partea statului de a asigura existen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a unui sistem de sănătate, inclusiv din punct de vedere financiar, a regulilor după care acesta func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 xml:space="preserve">ionează, precum 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>i a personalului calificat. Totodată, dreptul la îngrijire medicală presupune accesul egal la serviciile de sănătate, cu alte cuvinte, interzicerea discriminării, după criteriile consemnate în legisla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ia interna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 xml:space="preserve">ională 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>i europeană de protec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 xml:space="preserve">ie a drepturilor omului. </w:t>
      </w:r>
    </w:p>
    <w:p w14:paraId="1C23CB07" w14:textId="77777777" w:rsidR="00717D74" w:rsidRPr="003A0056" w:rsidRDefault="00717D74" w:rsidP="009D6DFA">
      <w:pPr>
        <w:spacing w:after="0" w:line="240" w:lineRule="auto"/>
        <w:jc w:val="both"/>
        <w:rPr>
          <w:rFonts w:eastAsia="Calibri" w:cstheme="minorHAnsi"/>
          <w:lang w:val="ro-RO"/>
        </w:rPr>
      </w:pPr>
    </w:p>
    <w:p w14:paraId="0684CD14" w14:textId="39249036" w:rsidR="00095340" w:rsidRPr="003A0056" w:rsidRDefault="00095340" w:rsidP="009D6DFA">
      <w:pPr>
        <w:spacing w:after="0" w:line="240" w:lineRule="auto"/>
        <w:jc w:val="both"/>
        <w:rPr>
          <w:rFonts w:eastAsia="Calibri" w:cstheme="minorHAnsi"/>
          <w:lang w:val="ro-RO"/>
        </w:rPr>
      </w:pPr>
      <w:r w:rsidRPr="003A0056">
        <w:rPr>
          <w:rFonts w:eastAsia="Calibri" w:cstheme="minorHAnsi"/>
          <w:lang w:val="ro-RO"/>
        </w:rPr>
        <w:t>Unii autori sunt de părere că nu există un drept la sănătate, întrucât aceasta nu este o no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iune obiectivă, iar nefiind o no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iune ale cărei limite să poată fi stabilite în mod obiectiv, nu ar putea constitui, în sine, obiectul unui drept</w:t>
      </w:r>
      <w:r w:rsidRPr="003A0056">
        <w:rPr>
          <w:rFonts w:eastAsia="Calibri" w:cstheme="minorHAnsi"/>
          <w:vertAlign w:val="superscript"/>
          <w:lang w:val="ro-RO"/>
        </w:rPr>
        <w:footnoteReference w:id="2"/>
      </w:r>
      <w:r w:rsidRPr="003A0056">
        <w:rPr>
          <w:rFonts w:eastAsia="Calibri" w:cstheme="minorHAnsi"/>
          <w:lang w:val="ro-RO"/>
        </w:rPr>
        <w:t>, iar al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ii consideră că nici dreptul la îngrijire medicală nu poate fi considerat un drept al omului</w:t>
      </w:r>
      <w:r w:rsidRPr="003A0056">
        <w:rPr>
          <w:rFonts w:eastAsia="Calibri" w:cstheme="minorHAnsi"/>
          <w:vertAlign w:val="superscript"/>
          <w:lang w:val="ro-RO"/>
        </w:rPr>
        <w:footnoteReference w:id="3"/>
      </w:r>
      <w:r w:rsidRPr="003A0056">
        <w:rPr>
          <w:rFonts w:eastAsia="Calibri" w:cstheme="minorHAnsi"/>
          <w:lang w:val="ro-RO"/>
        </w:rPr>
        <w:t>. Însă majorit</w:t>
      </w:r>
      <w:r w:rsidR="003A0056">
        <w:rPr>
          <w:rFonts w:eastAsia="Calibri" w:cstheme="minorHAnsi"/>
          <w:lang w:val="ro-RO"/>
        </w:rPr>
        <w:t>at</w:t>
      </w:r>
      <w:r w:rsidRPr="003A0056">
        <w:rPr>
          <w:rFonts w:eastAsia="Calibri" w:cstheme="minorHAnsi"/>
          <w:lang w:val="ro-RO"/>
        </w:rPr>
        <w:t>ea înclină spre a recunoa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>te un drept la îngrijirea sănătă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ii (nu la sănătate), ca fiind un drept al omului.</w:t>
      </w:r>
    </w:p>
    <w:p w14:paraId="243087CA" w14:textId="77777777" w:rsidR="00717D74" w:rsidRPr="003A0056" w:rsidRDefault="00717D74" w:rsidP="009D6DFA">
      <w:pPr>
        <w:spacing w:after="0" w:line="240" w:lineRule="auto"/>
        <w:jc w:val="both"/>
        <w:rPr>
          <w:rFonts w:eastAsia="Calibri" w:cstheme="minorHAnsi"/>
          <w:lang w:val="ro-RO"/>
        </w:rPr>
      </w:pPr>
    </w:p>
    <w:p w14:paraId="2FBC26CC" w14:textId="4D425A3D" w:rsidR="00095340" w:rsidRPr="003A0056" w:rsidRDefault="00095340" w:rsidP="009D6DFA">
      <w:pPr>
        <w:spacing w:after="0" w:line="240" w:lineRule="auto"/>
        <w:jc w:val="both"/>
        <w:rPr>
          <w:rFonts w:eastAsia="Calibri" w:cstheme="minorHAnsi"/>
          <w:lang w:val="ro-RO"/>
        </w:rPr>
      </w:pPr>
      <w:r w:rsidRPr="003A0056">
        <w:rPr>
          <w:rFonts w:eastAsia="Calibri" w:cstheme="minorHAnsi"/>
          <w:b/>
          <w:lang w:val="ro-RO"/>
        </w:rPr>
        <w:t>Dreptul la auto-determinare</w:t>
      </w:r>
      <w:r w:rsidRPr="003A0056">
        <w:rPr>
          <w:rFonts w:eastAsia="Calibri" w:cstheme="minorHAnsi"/>
          <w:lang w:val="ro-RO"/>
        </w:rPr>
        <w:t>, chiar dacă nu este prevăzut ca atare în legisla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ia interna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ională sau europeană, derivă dintr-o multitudine de drepturi fundamentale, având aspecte diferite, în func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ie de interferen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a cu fiecare dintre acestea</w:t>
      </w:r>
      <w:r w:rsidRPr="003A0056">
        <w:rPr>
          <w:rFonts w:eastAsia="Calibri" w:cstheme="minorHAnsi"/>
          <w:vertAlign w:val="superscript"/>
          <w:lang w:val="ro-RO"/>
        </w:rPr>
        <w:footnoteReference w:id="4"/>
      </w:r>
      <w:r w:rsidRPr="003A0056">
        <w:rPr>
          <w:rFonts w:eastAsia="Calibri" w:cstheme="minorHAnsi"/>
          <w:lang w:val="ro-RO"/>
        </w:rPr>
        <w:t>. Astfel, în contextul dreptului la via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ă, dreptul la auto-determinare aduce în discu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 xml:space="preserve">ie chestiunile avortului 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 xml:space="preserve">i ale eutanasiei, ambele având o puternică caracteristică de alegere individuală. În contextul dreptului </w:t>
      </w:r>
      <w:r w:rsidRPr="003A0056">
        <w:rPr>
          <w:rFonts w:eastAsia="Calibri" w:cstheme="minorHAnsi"/>
          <w:lang w:val="ro-RO"/>
        </w:rPr>
        <w:lastRenderedPageBreak/>
        <w:t xml:space="preserve">la integritate fizică 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>i psihică, dreptul la auto-determinare oferă posibilitatea refuzului unui tratament, chiar dacă acest refuz poate fi fatal individului sau poate justifica auto-aplicarea unor tratamente periculoase sau degradante. În contextul dreptului la via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 xml:space="preserve">a privată, auto-determinarea este echivalentă cu dreptul fiecăruia de a alege ce să facă cu propriul corp 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>i ce alegeri să facă referitor la modul de desfă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>urare a vie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ii sale.</w:t>
      </w:r>
    </w:p>
    <w:p w14:paraId="74D6055B" w14:textId="77777777" w:rsidR="00717D74" w:rsidRPr="003A0056" w:rsidRDefault="00717D74" w:rsidP="009D6DFA">
      <w:pPr>
        <w:spacing w:after="0" w:line="240" w:lineRule="auto"/>
        <w:jc w:val="both"/>
        <w:rPr>
          <w:rFonts w:eastAsia="Calibri" w:cstheme="minorHAnsi"/>
          <w:lang w:val="ro-RO"/>
        </w:rPr>
      </w:pPr>
    </w:p>
    <w:p w14:paraId="2778DE46" w14:textId="15D2066E" w:rsidR="00095340" w:rsidRPr="003A0056" w:rsidRDefault="00095340" w:rsidP="009D6DFA">
      <w:pPr>
        <w:spacing w:after="0" w:line="240" w:lineRule="auto"/>
        <w:jc w:val="both"/>
        <w:rPr>
          <w:rFonts w:eastAsia="Calibri" w:cstheme="minorHAnsi"/>
          <w:b/>
          <w:lang w:val="ro-RO"/>
        </w:rPr>
      </w:pPr>
      <w:r w:rsidRPr="003A0056">
        <w:rPr>
          <w:rFonts w:eastAsia="Calibri" w:cstheme="minorHAnsi"/>
          <w:b/>
          <w:lang w:val="ro-RO"/>
        </w:rPr>
        <w:t>Fa</w:t>
      </w:r>
      <w:r w:rsidR="003A0056">
        <w:rPr>
          <w:rFonts w:eastAsia="Calibri" w:cstheme="minorHAnsi"/>
          <w:b/>
          <w:lang w:val="ro-RO"/>
        </w:rPr>
        <w:t>ț</w:t>
      </w:r>
      <w:r w:rsidRPr="003A0056">
        <w:rPr>
          <w:rFonts w:eastAsia="Calibri" w:cstheme="minorHAnsi"/>
          <w:b/>
          <w:lang w:val="ro-RO"/>
        </w:rPr>
        <w:t>ă de toate aceste aspecte ale libertă</w:t>
      </w:r>
      <w:r w:rsidR="003A0056">
        <w:rPr>
          <w:rFonts w:eastAsia="Calibri" w:cstheme="minorHAnsi"/>
          <w:b/>
          <w:lang w:val="ro-RO"/>
        </w:rPr>
        <w:t>ț</w:t>
      </w:r>
      <w:r w:rsidRPr="003A0056">
        <w:rPr>
          <w:rFonts w:eastAsia="Calibri" w:cstheme="minorHAnsi"/>
          <w:b/>
          <w:lang w:val="ro-RO"/>
        </w:rPr>
        <w:t xml:space="preserve">ii individuale, este evident că orice tratament, examinare, manoperă medicală sau experiment poate constitui o încălcare a autonomiei individului </w:t>
      </w:r>
      <w:r w:rsidR="003A0056">
        <w:rPr>
          <w:rFonts w:eastAsia="Calibri" w:cstheme="minorHAnsi"/>
          <w:b/>
          <w:lang w:val="ro-RO"/>
        </w:rPr>
        <w:t>ș</w:t>
      </w:r>
      <w:r w:rsidRPr="003A0056">
        <w:rPr>
          <w:rFonts w:eastAsia="Calibri" w:cstheme="minorHAnsi"/>
          <w:b/>
          <w:lang w:val="ro-RO"/>
        </w:rPr>
        <w:t>i a dreptului său la auto-determinare.</w:t>
      </w:r>
      <w:r w:rsidR="009D6DFA" w:rsidRPr="003A0056">
        <w:rPr>
          <w:rFonts w:eastAsia="Calibri" w:cstheme="minorHAnsi"/>
          <w:b/>
          <w:lang w:val="ro-RO"/>
        </w:rPr>
        <w:t xml:space="preserve"> </w:t>
      </w:r>
      <w:r w:rsidRPr="003A0056">
        <w:rPr>
          <w:rFonts w:eastAsia="Calibri" w:cstheme="minorHAnsi"/>
          <w:b/>
          <w:lang w:val="ro-RO"/>
        </w:rPr>
        <w:t>În absen</w:t>
      </w:r>
      <w:r w:rsidR="003A0056">
        <w:rPr>
          <w:rFonts w:eastAsia="Calibri" w:cstheme="minorHAnsi"/>
          <w:b/>
          <w:lang w:val="ro-RO"/>
        </w:rPr>
        <w:t>ț</w:t>
      </w:r>
      <w:r w:rsidRPr="003A0056">
        <w:rPr>
          <w:rFonts w:eastAsia="Calibri" w:cstheme="minorHAnsi"/>
          <w:b/>
          <w:lang w:val="ro-RO"/>
        </w:rPr>
        <w:t xml:space="preserve">a unor </w:t>
      </w:r>
      <w:r w:rsidR="009D6DFA" w:rsidRPr="003A0056">
        <w:rPr>
          <w:rFonts w:eastAsia="Calibri" w:cstheme="minorHAnsi"/>
          <w:b/>
          <w:lang w:val="ro-RO"/>
        </w:rPr>
        <w:t>restric</w:t>
      </w:r>
      <w:r w:rsidR="003A0056">
        <w:rPr>
          <w:rFonts w:eastAsia="Calibri" w:cstheme="minorHAnsi"/>
          <w:b/>
          <w:lang w:val="ro-RO"/>
        </w:rPr>
        <w:t>ț</w:t>
      </w:r>
      <w:r w:rsidR="009D6DFA" w:rsidRPr="003A0056">
        <w:rPr>
          <w:rFonts w:eastAsia="Calibri" w:cstheme="minorHAnsi"/>
          <w:b/>
          <w:lang w:val="ro-RO"/>
        </w:rPr>
        <w:t>ii</w:t>
      </w:r>
      <w:r w:rsidRPr="003A0056">
        <w:rPr>
          <w:rFonts w:eastAsia="Calibri" w:cstheme="minorHAnsi"/>
          <w:b/>
          <w:lang w:val="ro-RO"/>
        </w:rPr>
        <w:t xml:space="preserve"> prevăzute de lege </w:t>
      </w:r>
      <w:r w:rsidR="003A0056">
        <w:rPr>
          <w:rFonts w:eastAsia="Calibri" w:cstheme="minorHAnsi"/>
          <w:b/>
          <w:lang w:val="ro-RO"/>
        </w:rPr>
        <w:t>ș</w:t>
      </w:r>
      <w:r w:rsidRPr="003A0056">
        <w:rPr>
          <w:rFonts w:eastAsia="Calibri" w:cstheme="minorHAnsi"/>
          <w:b/>
          <w:lang w:val="ro-RO"/>
        </w:rPr>
        <w:t>i propor</w:t>
      </w:r>
      <w:r w:rsidR="003A0056">
        <w:rPr>
          <w:rFonts w:eastAsia="Calibri" w:cstheme="minorHAnsi"/>
          <w:b/>
          <w:lang w:val="ro-RO"/>
        </w:rPr>
        <w:t>ț</w:t>
      </w:r>
      <w:r w:rsidRPr="003A0056">
        <w:rPr>
          <w:rFonts w:eastAsia="Calibri" w:cstheme="minorHAnsi"/>
          <w:b/>
          <w:lang w:val="ro-RO"/>
        </w:rPr>
        <w:t>ionale cu scopul legitim urmărit, orice tratament, manoperă medicală sau experiment, poate fi efectuat numai după ob</w:t>
      </w:r>
      <w:r w:rsidR="003A0056">
        <w:rPr>
          <w:rFonts w:eastAsia="Calibri" w:cstheme="minorHAnsi"/>
          <w:b/>
          <w:lang w:val="ro-RO"/>
        </w:rPr>
        <w:t>ț</w:t>
      </w:r>
      <w:r w:rsidRPr="003A0056">
        <w:rPr>
          <w:rFonts w:eastAsia="Calibri" w:cstheme="minorHAnsi"/>
          <w:b/>
          <w:lang w:val="ro-RO"/>
        </w:rPr>
        <w:t>inerea consim</w:t>
      </w:r>
      <w:r w:rsidR="003A0056">
        <w:rPr>
          <w:rFonts w:eastAsia="Calibri" w:cstheme="minorHAnsi"/>
          <w:b/>
          <w:lang w:val="ro-RO"/>
        </w:rPr>
        <w:t>ț</w:t>
      </w:r>
      <w:r w:rsidRPr="003A0056">
        <w:rPr>
          <w:rFonts w:eastAsia="Calibri" w:cstheme="minorHAnsi"/>
          <w:b/>
          <w:lang w:val="ro-RO"/>
        </w:rPr>
        <w:t xml:space="preserve">ământului informat </w:t>
      </w:r>
      <w:r w:rsidR="003A0056">
        <w:rPr>
          <w:rFonts w:eastAsia="Calibri" w:cstheme="minorHAnsi"/>
          <w:b/>
          <w:lang w:val="ro-RO"/>
        </w:rPr>
        <w:t>ș</w:t>
      </w:r>
      <w:r w:rsidRPr="003A0056">
        <w:rPr>
          <w:rFonts w:eastAsia="Calibri" w:cstheme="minorHAnsi"/>
          <w:b/>
          <w:lang w:val="ro-RO"/>
        </w:rPr>
        <w:t>i liber al pacientului.</w:t>
      </w:r>
    </w:p>
    <w:p w14:paraId="51985E02" w14:textId="77777777" w:rsidR="00717D74" w:rsidRPr="003A0056" w:rsidRDefault="00717D74" w:rsidP="009D6DFA">
      <w:pPr>
        <w:spacing w:after="0" w:line="240" w:lineRule="auto"/>
        <w:jc w:val="both"/>
        <w:rPr>
          <w:rFonts w:eastAsia="Calibri" w:cstheme="minorHAnsi"/>
          <w:lang w:val="ro-RO"/>
        </w:rPr>
      </w:pPr>
    </w:p>
    <w:p w14:paraId="62F3D8ED" w14:textId="560F9F02" w:rsidR="00095340" w:rsidRPr="003A0056" w:rsidRDefault="00095340" w:rsidP="009D6DFA">
      <w:pPr>
        <w:spacing w:after="0" w:line="240" w:lineRule="auto"/>
        <w:jc w:val="both"/>
        <w:rPr>
          <w:rFonts w:eastAsia="Calibri" w:cstheme="minorHAnsi"/>
          <w:lang w:val="ro-RO"/>
        </w:rPr>
      </w:pPr>
      <w:r w:rsidRPr="003A0056">
        <w:rPr>
          <w:rFonts w:eastAsia="Calibri" w:cstheme="minorHAnsi"/>
          <w:b/>
          <w:lang w:val="ro-RO"/>
        </w:rPr>
        <w:t>Dreptul de a refuza un tratament sau o manoperă medicală</w:t>
      </w:r>
      <w:r w:rsidRPr="003A0056">
        <w:rPr>
          <w:rFonts w:eastAsia="Calibri" w:cstheme="minorHAnsi"/>
          <w:lang w:val="ro-RO"/>
        </w:rPr>
        <w:t xml:space="preserve"> apare expres doar în art. 7 din Pactul interna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 xml:space="preserve">ional privind drepturile civile si politice, cu referire la experimente medicale (adică efectuate în scop de identificare sau prevenire a unei boli) sau 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>tiin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ifice, când se urmăre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>te ob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 xml:space="preserve">inerea unor date 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>tiin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ifice. De exemplu, un experiment medical poate fi administrarea unui tratament medicamentos experimental menit să amelioreze sau să vindece o anumită boală, în timp ce experimentele efectuate de medicii nazi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>ti cu privire la temperatura de înghe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 xml:space="preserve"> a sângelui uman, sunt experimente 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>tiin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 xml:space="preserve">ifice (lipsite de etică, dar 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>tiin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ifice), iar nu medicale. Acest drept se regăse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 xml:space="preserve">te 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>i sub umbrela art. 8 CEDO, cel pu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in în dimensiunea sa jurispruden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ială.</w:t>
      </w:r>
    </w:p>
    <w:p w14:paraId="0938A079" w14:textId="77777777" w:rsidR="00717D74" w:rsidRPr="003A0056" w:rsidRDefault="00717D74" w:rsidP="009D6DFA">
      <w:pPr>
        <w:spacing w:after="0" w:line="240" w:lineRule="auto"/>
        <w:jc w:val="both"/>
        <w:rPr>
          <w:rFonts w:eastAsia="Calibri" w:cstheme="minorHAnsi"/>
          <w:lang w:val="ro-RO"/>
        </w:rPr>
      </w:pPr>
    </w:p>
    <w:p w14:paraId="3FD5F076" w14:textId="11AF32B2" w:rsidR="00095340" w:rsidRPr="003A0056" w:rsidRDefault="00717D74" w:rsidP="009D6DFA">
      <w:pPr>
        <w:spacing w:after="0" w:line="240" w:lineRule="auto"/>
        <w:jc w:val="both"/>
        <w:rPr>
          <w:rFonts w:eastAsia="Calibri" w:cstheme="minorHAnsi"/>
          <w:lang w:val="ro-RO"/>
        </w:rPr>
      </w:pPr>
      <w:r w:rsidRPr="003A0056">
        <w:rPr>
          <w:rFonts w:eastAsia="Calibri" w:cstheme="minorHAnsi"/>
          <w:lang w:val="ro-RO"/>
        </w:rPr>
        <w:t>C</w:t>
      </w:r>
      <w:r w:rsidR="00095340" w:rsidRPr="003A0056">
        <w:rPr>
          <w:rFonts w:eastAsia="Calibri" w:cstheme="minorHAnsi"/>
          <w:lang w:val="ro-RO"/>
        </w:rPr>
        <w:t>ine este beneficiarul acestui drept?</w:t>
      </w:r>
    </w:p>
    <w:p w14:paraId="5C70F236" w14:textId="77777777" w:rsidR="00717D74" w:rsidRPr="003A0056" w:rsidRDefault="00717D74" w:rsidP="009D6DFA">
      <w:pPr>
        <w:spacing w:after="0" w:line="240" w:lineRule="auto"/>
        <w:jc w:val="both"/>
        <w:rPr>
          <w:rFonts w:eastAsia="Calibri" w:cstheme="minorHAnsi"/>
          <w:lang w:val="ro-RO"/>
        </w:rPr>
      </w:pPr>
    </w:p>
    <w:p w14:paraId="0D76BC15" w14:textId="3053EC6A" w:rsidR="00095340" w:rsidRPr="003A0056" w:rsidRDefault="00095340" w:rsidP="009D6DFA">
      <w:pPr>
        <w:spacing w:after="0" w:line="240" w:lineRule="auto"/>
        <w:jc w:val="both"/>
        <w:rPr>
          <w:rFonts w:eastAsia="Calibri" w:cstheme="minorHAnsi"/>
          <w:lang w:val="ro-RO"/>
        </w:rPr>
      </w:pPr>
      <w:r w:rsidRPr="003A0056">
        <w:rPr>
          <w:rFonts w:eastAsia="Calibri" w:cstheme="minorHAnsi"/>
          <w:lang w:val="ro-RO"/>
        </w:rPr>
        <w:t>Orice persoană este beneficiara acestui drept, cât timp poate exprima un consim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ământ valabil (adică nu este minor sau incapabil) ori nu se află într-o stare de deteriorare sau pierdere a cuno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>tin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ei care-l lipse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>te de posibilitatea de a comunica, în orice fel, cu personalul medical. Pentru persoanele lipsite de capacitate, regulile generale existente la nivel na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 xml:space="preserve">ional sunt aplicabile 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>i în aceste cazuri.</w:t>
      </w:r>
    </w:p>
    <w:p w14:paraId="7408DA8E" w14:textId="77777777" w:rsidR="00717D74" w:rsidRPr="003A0056" w:rsidRDefault="00717D74" w:rsidP="009D6DFA">
      <w:pPr>
        <w:spacing w:after="0" w:line="240" w:lineRule="auto"/>
        <w:jc w:val="both"/>
        <w:rPr>
          <w:rFonts w:eastAsia="Calibri" w:cstheme="minorHAnsi"/>
          <w:lang w:val="ro-RO"/>
        </w:rPr>
      </w:pPr>
    </w:p>
    <w:p w14:paraId="1F1A239C" w14:textId="38293F30" w:rsidR="00095340" w:rsidRPr="003A0056" w:rsidRDefault="00095340" w:rsidP="009D6DFA">
      <w:pPr>
        <w:spacing w:after="0" w:line="240" w:lineRule="auto"/>
        <w:jc w:val="both"/>
        <w:rPr>
          <w:rFonts w:eastAsia="Calibri" w:cstheme="minorHAnsi"/>
          <w:lang w:val="ro-RO"/>
        </w:rPr>
      </w:pPr>
      <w:r w:rsidRPr="003A0056">
        <w:rPr>
          <w:rFonts w:eastAsia="Calibri" w:cstheme="minorHAnsi"/>
          <w:lang w:val="ro-RO"/>
        </w:rPr>
        <w:t>Probleme juridice pot exista în situa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iile în care o persoană este în stare de incon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>tien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 xml:space="preserve">ă 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>i nu-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>i mai poate comunica alegerile. În aceste situa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 xml:space="preserve">ii, dacă nu este posibilă stabilirea unei căi de comunicare, chiar </w:t>
      </w:r>
      <w:r w:rsidR="003A0056">
        <w:rPr>
          <w:rFonts w:eastAsia="Calibri" w:cstheme="minorHAnsi"/>
          <w:lang w:val="ro-RO"/>
        </w:rPr>
        <w:t>ș</w:t>
      </w:r>
      <w:r w:rsidRPr="003A0056">
        <w:rPr>
          <w:rFonts w:eastAsia="Calibri" w:cstheme="minorHAnsi"/>
          <w:lang w:val="ro-RO"/>
        </w:rPr>
        <w:t>i non-verbale, coerente (de exemplu, prin clipit sau orice altă manifestare exterioară), se va apela la decizia membrilor familiei, a reprezentantului legal dacă există, a medicului curant sau a unui comitet de etică local sau na</w:t>
      </w:r>
      <w:r w:rsidR="003A0056">
        <w:rPr>
          <w:rFonts w:eastAsia="Calibri" w:cstheme="minorHAnsi"/>
          <w:lang w:val="ro-RO"/>
        </w:rPr>
        <w:t>ț</w:t>
      </w:r>
      <w:r w:rsidRPr="003A0056">
        <w:rPr>
          <w:rFonts w:eastAsia="Calibri" w:cstheme="minorHAnsi"/>
          <w:lang w:val="ro-RO"/>
        </w:rPr>
        <w:t>ional, după caz.</w:t>
      </w:r>
    </w:p>
    <w:p w14:paraId="12B56ABB" w14:textId="77777777" w:rsidR="00717D74" w:rsidRPr="003A0056" w:rsidRDefault="00717D74" w:rsidP="009D6DFA">
      <w:pPr>
        <w:spacing w:after="0" w:line="240" w:lineRule="auto"/>
        <w:jc w:val="both"/>
        <w:rPr>
          <w:rFonts w:eastAsia="Calibri" w:cstheme="minorHAnsi"/>
          <w:lang w:val="ro-RO"/>
        </w:rPr>
      </w:pPr>
    </w:p>
    <w:p w14:paraId="48D4D111" w14:textId="1A7D5E3C" w:rsidR="00095340" w:rsidRPr="003A0056" w:rsidRDefault="00095340" w:rsidP="009D6DFA">
      <w:pPr>
        <w:spacing w:after="0" w:line="240" w:lineRule="auto"/>
        <w:jc w:val="both"/>
        <w:rPr>
          <w:rFonts w:eastAsia="Calibri" w:cstheme="minorHAnsi"/>
          <w:b/>
          <w:lang w:val="ro-RO"/>
        </w:rPr>
      </w:pPr>
      <w:r w:rsidRPr="003A0056">
        <w:rPr>
          <w:rFonts w:eastAsia="Calibri" w:cstheme="minorHAnsi"/>
          <w:b/>
          <w:lang w:val="ro-RO"/>
        </w:rPr>
        <w:t xml:space="preserve">În toate cazurile, trebuie respectat dreptul pacientului de a decide asupra propriului corp, dacă </w:t>
      </w:r>
      <w:r w:rsidR="003A0056">
        <w:rPr>
          <w:rFonts w:eastAsia="Calibri" w:cstheme="minorHAnsi"/>
          <w:b/>
          <w:lang w:val="ro-RO"/>
        </w:rPr>
        <w:t>ș</w:t>
      </w:r>
      <w:r w:rsidRPr="003A0056">
        <w:rPr>
          <w:rFonts w:eastAsia="Calibri" w:cstheme="minorHAnsi"/>
          <w:b/>
          <w:lang w:val="ro-RO"/>
        </w:rPr>
        <w:t>i-a exprimat anterior voin</w:t>
      </w:r>
      <w:r w:rsidR="003A0056">
        <w:rPr>
          <w:rFonts w:eastAsia="Calibri" w:cstheme="minorHAnsi"/>
          <w:b/>
          <w:lang w:val="ro-RO"/>
        </w:rPr>
        <w:t>ț</w:t>
      </w:r>
      <w:r w:rsidRPr="003A0056">
        <w:rPr>
          <w:rFonts w:eastAsia="Calibri" w:cstheme="minorHAnsi"/>
          <w:b/>
          <w:lang w:val="ro-RO"/>
        </w:rPr>
        <w:t>a printr-un act expres, de preferin</w:t>
      </w:r>
      <w:r w:rsidR="003A0056">
        <w:rPr>
          <w:rFonts w:eastAsia="Calibri" w:cstheme="minorHAnsi"/>
          <w:b/>
          <w:lang w:val="ro-RO"/>
        </w:rPr>
        <w:t>ț</w:t>
      </w:r>
      <w:r w:rsidRPr="003A0056">
        <w:rPr>
          <w:rFonts w:eastAsia="Calibri" w:cstheme="minorHAnsi"/>
          <w:b/>
          <w:lang w:val="ro-RO"/>
        </w:rPr>
        <w:t>ă autorizat sub o formă acceptabilă în statul respectiv, atât cu privire la eventuala obstinen</w:t>
      </w:r>
      <w:r w:rsidR="003A0056">
        <w:rPr>
          <w:rFonts w:eastAsia="Calibri" w:cstheme="minorHAnsi"/>
          <w:b/>
          <w:lang w:val="ro-RO"/>
        </w:rPr>
        <w:t>ț</w:t>
      </w:r>
      <w:r w:rsidRPr="003A0056">
        <w:rPr>
          <w:rFonts w:eastAsia="Calibri" w:cstheme="minorHAnsi"/>
          <w:b/>
          <w:lang w:val="ro-RO"/>
        </w:rPr>
        <w:t xml:space="preserve">ă terapeutică, cât </w:t>
      </w:r>
      <w:r w:rsidR="003A0056">
        <w:rPr>
          <w:rFonts w:eastAsia="Calibri" w:cstheme="minorHAnsi"/>
          <w:b/>
          <w:lang w:val="ro-RO"/>
        </w:rPr>
        <w:t>ș</w:t>
      </w:r>
      <w:r w:rsidRPr="003A0056">
        <w:rPr>
          <w:rFonts w:eastAsia="Calibri" w:cstheme="minorHAnsi"/>
          <w:b/>
          <w:lang w:val="ro-RO"/>
        </w:rPr>
        <w:t>i cu privire la refuzul reanimării.</w:t>
      </w:r>
    </w:p>
    <w:p w14:paraId="3A0A06A3" w14:textId="77777777" w:rsidR="009D6DFA" w:rsidRPr="003A0056" w:rsidRDefault="009D6DFA" w:rsidP="009D6DFA">
      <w:pPr>
        <w:spacing w:after="0" w:line="240" w:lineRule="auto"/>
        <w:jc w:val="both"/>
        <w:rPr>
          <w:rFonts w:eastAsia="Calibri" w:cstheme="minorHAnsi"/>
          <w:lang w:val="ro-RO"/>
        </w:rPr>
      </w:pPr>
    </w:p>
    <w:p w14:paraId="7042C4D8" w14:textId="3C6A066A" w:rsidR="009D6DFA" w:rsidRPr="003A0056" w:rsidRDefault="009D6DFA" w:rsidP="009D6DFA">
      <w:pPr>
        <w:rPr>
          <w:color w:val="222222"/>
          <w:lang w:val="ro-RO"/>
        </w:rPr>
      </w:pPr>
      <w:r w:rsidRPr="003A0056">
        <w:rPr>
          <w:rFonts w:hAnsi="Times New Roman" w:cs="Times New Roman"/>
          <w:i/>
          <w:sz w:val="24"/>
          <w:szCs w:val="24"/>
          <w:lang w:val="ro-RO"/>
        </w:rPr>
        <w:t xml:space="preserve">Un articol semnat de Veronica Dobozi (vdobozi@stoica-asociatii.ro), Partner, </w:t>
      </w:r>
      <w:hyperlink r:id="rId8" w:history="1">
        <w:r w:rsidRPr="003A0056">
          <w:rPr>
            <w:rStyle w:val="Hyperlink"/>
            <w:rFonts w:hAnsi="Times New Roman" w:cs="Times New Roman"/>
            <w:i/>
            <w:sz w:val="24"/>
            <w:szCs w:val="24"/>
            <w:lang w:val="ro-RO"/>
          </w:rPr>
          <w:t>STOICA &amp; Asocia</w:t>
        </w:r>
        <w:r w:rsidR="003A0056">
          <w:rPr>
            <w:rStyle w:val="Hyperlink"/>
            <w:rFonts w:hAnsi="Times New Roman" w:cs="Times New Roman"/>
            <w:i/>
            <w:sz w:val="24"/>
            <w:szCs w:val="24"/>
            <w:lang w:val="ro-RO"/>
          </w:rPr>
          <w:t>ț</w:t>
        </w:r>
        <w:r w:rsidRPr="003A0056">
          <w:rPr>
            <w:rStyle w:val="Hyperlink"/>
            <w:rFonts w:hAnsi="Times New Roman" w:cs="Times New Roman"/>
            <w:i/>
            <w:sz w:val="24"/>
            <w:szCs w:val="24"/>
            <w:lang w:val="ro-RO"/>
          </w:rPr>
          <w:t>ii</w:t>
        </w:r>
      </w:hyperlink>
      <w:r w:rsidRPr="003A0056">
        <w:rPr>
          <w:rFonts w:hAnsi="Times New Roman" w:cs="Times New Roman"/>
          <w:i/>
          <w:sz w:val="24"/>
          <w:szCs w:val="24"/>
          <w:lang w:val="ro-RO"/>
        </w:rPr>
        <w:t xml:space="preserve">. </w:t>
      </w:r>
    </w:p>
    <w:p w14:paraId="2DAD6685" w14:textId="77777777" w:rsidR="009D6DFA" w:rsidRPr="003A0056" w:rsidRDefault="009D6DFA" w:rsidP="009D6DFA">
      <w:pPr>
        <w:spacing w:after="0" w:line="240" w:lineRule="auto"/>
        <w:jc w:val="both"/>
        <w:rPr>
          <w:rFonts w:eastAsia="Calibri" w:cstheme="minorHAnsi"/>
          <w:lang w:val="ro-RO"/>
        </w:rPr>
      </w:pPr>
    </w:p>
    <w:sectPr w:rsidR="009D6DFA" w:rsidRPr="003A0056" w:rsidSect="009D6DFA">
      <w:pgSz w:w="11906" w:h="16838"/>
      <w:pgMar w:top="1440" w:right="56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55746A" w14:textId="77777777" w:rsidR="0009713E" w:rsidRDefault="0009713E" w:rsidP="0038244E">
      <w:pPr>
        <w:spacing w:after="0" w:line="240" w:lineRule="auto"/>
      </w:pPr>
      <w:r>
        <w:separator/>
      </w:r>
    </w:p>
  </w:endnote>
  <w:endnote w:type="continuationSeparator" w:id="0">
    <w:p w14:paraId="355CB172" w14:textId="77777777" w:rsidR="0009713E" w:rsidRDefault="0009713E" w:rsidP="00382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6B7E7" w14:textId="77777777" w:rsidR="0009713E" w:rsidRDefault="0009713E" w:rsidP="0038244E">
      <w:pPr>
        <w:spacing w:after="0" w:line="240" w:lineRule="auto"/>
      </w:pPr>
      <w:r>
        <w:separator/>
      </w:r>
    </w:p>
  </w:footnote>
  <w:footnote w:type="continuationSeparator" w:id="0">
    <w:p w14:paraId="7B1E0729" w14:textId="77777777" w:rsidR="0009713E" w:rsidRDefault="0009713E" w:rsidP="0038244E">
      <w:pPr>
        <w:spacing w:after="0" w:line="240" w:lineRule="auto"/>
      </w:pPr>
      <w:r>
        <w:continuationSeparator/>
      </w:r>
    </w:p>
  </w:footnote>
  <w:footnote w:id="1">
    <w:p w14:paraId="20F174AB" w14:textId="4132002D" w:rsidR="00095340" w:rsidRDefault="00095340" w:rsidP="0009534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D4137">
        <w:t>Procla</w:t>
      </w:r>
      <w:r>
        <w:t>mată cu ocazia Conferin</w:t>
      </w:r>
      <w:r w:rsidR="003A0056">
        <w:t>ț</w:t>
      </w:r>
      <w:r>
        <w:t>ei</w:t>
      </w:r>
      <w:r w:rsidRPr="005D4137">
        <w:t xml:space="preserve"> International</w:t>
      </w:r>
      <w:r>
        <w:t>e de Drepturile Omului a O.N.U., la</w:t>
      </w:r>
      <w:r w:rsidRPr="005D4137">
        <w:t xml:space="preserve"> Teheran</w:t>
      </w:r>
      <w:r>
        <w:t>, la</w:t>
      </w:r>
      <w:r w:rsidRPr="005D4137">
        <w:t xml:space="preserve"> 13 </w:t>
      </w:r>
      <w:r>
        <w:t>m</w:t>
      </w:r>
      <w:r w:rsidRPr="005D4137">
        <w:t>a</w:t>
      </w:r>
      <w:r>
        <w:t>i</w:t>
      </w:r>
      <w:r w:rsidRPr="005D4137">
        <w:t xml:space="preserve"> 1968.</w:t>
      </w:r>
    </w:p>
  </w:footnote>
  <w:footnote w:id="2">
    <w:p w14:paraId="6A15750C" w14:textId="77777777" w:rsidR="00095340" w:rsidRDefault="00095340" w:rsidP="0009534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</w:t>
      </w:r>
      <w:r w:rsidRPr="004D1C58">
        <w:t xml:space="preserve">H.D.C. Roscam Abbing, </w:t>
      </w:r>
      <w:r w:rsidRPr="008D085C">
        <w:rPr>
          <w:i/>
        </w:rPr>
        <w:t>International Organizations in Europe and the Right to Health Care</w:t>
      </w:r>
      <w:r>
        <w:rPr>
          <w:i/>
        </w:rPr>
        <w:t xml:space="preserve">, </w:t>
      </w:r>
      <w:r w:rsidRPr="004D1C58">
        <w:t>Kluwer, Deven</w:t>
      </w:r>
      <w:r>
        <w:t>ter, 1979</w:t>
      </w:r>
      <w:r w:rsidRPr="004D1C58">
        <w:t>, p. 105</w:t>
      </w:r>
      <w:r>
        <w:t>.</w:t>
      </w:r>
    </w:p>
  </w:footnote>
  <w:footnote w:id="3">
    <w:p w14:paraId="54383EA6" w14:textId="77777777" w:rsidR="00095340" w:rsidRDefault="00095340" w:rsidP="0009534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Philip Barlow, </w:t>
      </w:r>
      <w:r w:rsidRPr="008D085C">
        <w:rPr>
          <w:i/>
        </w:rPr>
        <w:t>Health care is not a human right, British Medical</w:t>
      </w:r>
      <w:r>
        <w:rPr>
          <w:i/>
        </w:rPr>
        <w:t>,</w:t>
      </w:r>
      <w:r>
        <w:t xml:space="preserve"> Journal, v. 319, 31.07.1999, p. 319, pp. 319-321.</w:t>
      </w:r>
    </w:p>
  </w:footnote>
  <w:footnote w:id="4">
    <w:p w14:paraId="0CC858B9" w14:textId="77777777" w:rsidR="00095340" w:rsidRDefault="00095340" w:rsidP="00095340">
      <w:pPr>
        <w:pStyle w:val="FootnoteText"/>
        <w:jc w:val="both"/>
      </w:pPr>
      <w:r>
        <w:rPr>
          <w:rStyle w:val="FootnoteReference"/>
        </w:rPr>
        <w:footnoteRef/>
      </w:r>
      <w:r>
        <w:t xml:space="preserve"> Aart Hendriks, Manfred Nowak, </w:t>
      </w:r>
      <w:r w:rsidRPr="008D085C">
        <w:rPr>
          <w:i/>
        </w:rPr>
        <w:t xml:space="preserve">Western European case-study: The impact of advanced methods of medical treatment on human rights, </w:t>
      </w:r>
      <w:r>
        <w:t xml:space="preserve">United Nations University website, </w:t>
      </w:r>
      <w:hyperlink r:id="rId1" w:history="1">
        <w:r w:rsidRPr="00DD4C90">
          <w:rPr>
            <w:rStyle w:val="Hyperlink"/>
          </w:rPr>
          <w:t>http://unu.edu</w:t>
        </w:r>
      </w:hyperlink>
      <w:r>
        <w:t>, captură din 22.02.2019.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0CF0"/>
    <w:multiLevelType w:val="hybridMultilevel"/>
    <w:tmpl w:val="3CE22274"/>
    <w:lvl w:ilvl="0" w:tplc="0409000B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B8E795C"/>
    <w:multiLevelType w:val="hybridMultilevel"/>
    <w:tmpl w:val="32BA6D5C"/>
    <w:lvl w:ilvl="0" w:tplc="F4D63CA0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DE16D55"/>
    <w:multiLevelType w:val="hybridMultilevel"/>
    <w:tmpl w:val="55DA1EA8"/>
    <w:lvl w:ilvl="0" w:tplc="F992E5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D12E7D"/>
    <w:multiLevelType w:val="hybridMultilevel"/>
    <w:tmpl w:val="525C0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F21857"/>
    <w:multiLevelType w:val="hybridMultilevel"/>
    <w:tmpl w:val="94B8E4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657"/>
    <w:rsid w:val="0002120A"/>
    <w:rsid w:val="00095340"/>
    <w:rsid w:val="0009713E"/>
    <w:rsid w:val="001666F3"/>
    <w:rsid w:val="001D2786"/>
    <w:rsid w:val="001E7A14"/>
    <w:rsid w:val="002143E7"/>
    <w:rsid w:val="00225BA2"/>
    <w:rsid w:val="00301EC1"/>
    <w:rsid w:val="00354F50"/>
    <w:rsid w:val="0038244E"/>
    <w:rsid w:val="003A0056"/>
    <w:rsid w:val="00424789"/>
    <w:rsid w:val="00485D01"/>
    <w:rsid w:val="004939F8"/>
    <w:rsid w:val="004B5100"/>
    <w:rsid w:val="0055433C"/>
    <w:rsid w:val="00585E5E"/>
    <w:rsid w:val="005F209A"/>
    <w:rsid w:val="0060063F"/>
    <w:rsid w:val="00623C7E"/>
    <w:rsid w:val="00623DCC"/>
    <w:rsid w:val="00627CA2"/>
    <w:rsid w:val="0069757D"/>
    <w:rsid w:val="006A1AE6"/>
    <w:rsid w:val="006B7657"/>
    <w:rsid w:val="00703623"/>
    <w:rsid w:val="00717D74"/>
    <w:rsid w:val="00727404"/>
    <w:rsid w:val="007739D2"/>
    <w:rsid w:val="00831828"/>
    <w:rsid w:val="0084771F"/>
    <w:rsid w:val="0087118E"/>
    <w:rsid w:val="00882D05"/>
    <w:rsid w:val="008B2D90"/>
    <w:rsid w:val="008D74D9"/>
    <w:rsid w:val="0095544B"/>
    <w:rsid w:val="00997D26"/>
    <w:rsid w:val="009A460D"/>
    <w:rsid w:val="009B002C"/>
    <w:rsid w:val="009B13EF"/>
    <w:rsid w:val="009D6DFA"/>
    <w:rsid w:val="00A21047"/>
    <w:rsid w:val="00A22CD1"/>
    <w:rsid w:val="00A95E86"/>
    <w:rsid w:val="00B10ED4"/>
    <w:rsid w:val="00B4372C"/>
    <w:rsid w:val="00B820C3"/>
    <w:rsid w:val="00BD7B26"/>
    <w:rsid w:val="00BE4A1B"/>
    <w:rsid w:val="00C14EDA"/>
    <w:rsid w:val="00C34F54"/>
    <w:rsid w:val="00C35E33"/>
    <w:rsid w:val="00C4695C"/>
    <w:rsid w:val="00D14626"/>
    <w:rsid w:val="00D31E1D"/>
    <w:rsid w:val="00D33B44"/>
    <w:rsid w:val="00D46E5F"/>
    <w:rsid w:val="00DE552D"/>
    <w:rsid w:val="00DF129F"/>
    <w:rsid w:val="00EB3998"/>
    <w:rsid w:val="00ED5EBA"/>
    <w:rsid w:val="00F02EED"/>
    <w:rsid w:val="00F913BD"/>
    <w:rsid w:val="00F97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247A47"/>
  <w15:chartTrackingRefBased/>
  <w15:docId w15:val="{C94C1971-B4B3-43E9-8CFF-B107D1B17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Text1">
    <w:name w:val="Footnote Text1"/>
    <w:basedOn w:val="Normal"/>
    <w:next w:val="FootnoteText"/>
    <w:link w:val="FootnoteTextChar"/>
    <w:uiPriority w:val="99"/>
    <w:unhideWhenUsed/>
    <w:rsid w:val="0038244E"/>
    <w:pPr>
      <w:spacing w:after="0" w:line="240" w:lineRule="auto"/>
    </w:pPr>
    <w:rPr>
      <w:sz w:val="20"/>
      <w:szCs w:val="20"/>
      <w:lang w:val="ro-RO"/>
    </w:rPr>
  </w:style>
  <w:style w:type="character" w:customStyle="1" w:styleId="FootnoteTextChar">
    <w:name w:val="Footnote Text Char"/>
    <w:basedOn w:val="DefaultParagraphFont"/>
    <w:link w:val="FootnoteText1"/>
    <w:uiPriority w:val="99"/>
    <w:rsid w:val="0038244E"/>
    <w:rPr>
      <w:sz w:val="20"/>
      <w:szCs w:val="20"/>
      <w:lang w:val="ro-RO"/>
    </w:rPr>
  </w:style>
  <w:style w:type="character" w:styleId="FootnoteReference">
    <w:name w:val="footnote reference"/>
    <w:aliases w:val="Footnotes refss Caracter Caracter Caracter Caracter Caracter Caracter Caracter Caracter Caracter1,Appel note de bas de p Caracter Caracter Caracter Caracter Caracter Caracter Caracter Caracter Caracter Caracter Caracter,BVI fnr"/>
    <w:basedOn w:val="DefaultParagraphFont"/>
    <w:uiPriority w:val="99"/>
    <w:unhideWhenUsed/>
    <w:rsid w:val="0038244E"/>
    <w:rPr>
      <w:vertAlign w:val="superscript"/>
    </w:rPr>
  </w:style>
  <w:style w:type="character" w:customStyle="1" w:styleId="Hyperlink1">
    <w:name w:val="Hyperlink1"/>
    <w:basedOn w:val="DefaultParagraphFont"/>
    <w:uiPriority w:val="99"/>
    <w:unhideWhenUsed/>
    <w:rsid w:val="0038244E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38244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1"/>
    <w:uiPriority w:val="99"/>
    <w:semiHidden/>
    <w:unhideWhenUsed/>
    <w:rsid w:val="0038244E"/>
    <w:pPr>
      <w:spacing w:after="0" w:line="240" w:lineRule="auto"/>
    </w:pPr>
    <w:rPr>
      <w:sz w:val="20"/>
      <w:szCs w:val="20"/>
    </w:rPr>
  </w:style>
  <w:style w:type="character" w:customStyle="1" w:styleId="FootnoteTextChar1">
    <w:name w:val="Footnote Text Char1"/>
    <w:basedOn w:val="DefaultParagraphFont"/>
    <w:link w:val="FootnoteText"/>
    <w:uiPriority w:val="99"/>
    <w:semiHidden/>
    <w:rsid w:val="0038244E"/>
    <w:rPr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8244E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3824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oica-asociatii.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3C6B65-C5CA-4218-96A6-1AF79DDAB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1023</Words>
  <Characters>5835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STOICA &amp; Asociatii</dc:creator>
  <cp:keywords/>
  <dc:description/>
  <cp:lastModifiedBy>Alina Grigoras</cp:lastModifiedBy>
  <cp:revision>5</cp:revision>
  <dcterms:created xsi:type="dcterms:W3CDTF">2021-09-01T09:54:00Z</dcterms:created>
  <dcterms:modified xsi:type="dcterms:W3CDTF">2021-09-01T11:32:00Z</dcterms:modified>
</cp:coreProperties>
</file>