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7FE60" w14:textId="77777777" w:rsidR="008154AB" w:rsidRPr="00810D04" w:rsidRDefault="008154AB" w:rsidP="00305E26">
      <w:pPr>
        <w:spacing w:after="80" w:line="264" w:lineRule="auto"/>
        <w:jc w:val="center"/>
        <w:rPr>
          <w:rFonts w:asciiTheme="majorHAnsi" w:hAnsiTheme="majorHAnsi" w:cstheme="majorHAnsi"/>
          <w:b/>
          <w:bCs/>
          <w:sz w:val="24"/>
          <w:szCs w:val="24"/>
          <w:lang w:val="ro-RO"/>
        </w:rPr>
      </w:pPr>
      <w:r w:rsidRPr="00810D04">
        <w:rPr>
          <w:rFonts w:asciiTheme="majorHAnsi" w:hAnsiTheme="majorHAnsi" w:cstheme="majorHAnsi"/>
          <w:b/>
          <w:bCs/>
          <w:sz w:val="24"/>
          <w:szCs w:val="24"/>
          <w:lang w:val="ro-RO"/>
        </w:rPr>
        <w:t>Noua configurație a inspecției fiscale când există indicii cu privire la săvârșirea unor fapte penale. Beneficii și incertitudini</w:t>
      </w:r>
    </w:p>
    <w:p w14:paraId="0E87F111" w14:textId="77777777" w:rsidR="007E3FAE" w:rsidRDefault="007E3FAE" w:rsidP="00305E26">
      <w:pPr>
        <w:spacing w:after="80" w:line="264" w:lineRule="auto"/>
        <w:jc w:val="both"/>
        <w:rPr>
          <w:rStyle w:val="Accentuat"/>
          <w:rFonts w:asciiTheme="majorHAnsi" w:hAnsiTheme="majorHAnsi" w:cstheme="majorHAnsi"/>
          <w:color w:val="000000"/>
          <w:sz w:val="20"/>
          <w:szCs w:val="20"/>
          <w:shd w:val="clear" w:color="auto" w:fill="FFFFFF"/>
        </w:rPr>
      </w:pPr>
    </w:p>
    <w:p w14:paraId="22444338" w14:textId="41063CBB" w:rsidR="008154AB" w:rsidRPr="00810D04" w:rsidRDefault="008154AB" w:rsidP="00305E26">
      <w:pPr>
        <w:spacing w:after="80" w:line="264" w:lineRule="auto"/>
        <w:jc w:val="both"/>
        <w:rPr>
          <w:rStyle w:val="Accentuat"/>
          <w:rFonts w:asciiTheme="majorHAnsi" w:hAnsiTheme="majorHAnsi" w:cstheme="majorHAnsi"/>
          <w:color w:val="000000"/>
          <w:sz w:val="20"/>
          <w:szCs w:val="20"/>
          <w:shd w:val="clear" w:color="auto" w:fill="FFFFFF"/>
        </w:rPr>
      </w:pPr>
      <w:r>
        <w:rPr>
          <w:rStyle w:val="Accentuat"/>
          <w:rFonts w:asciiTheme="majorHAnsi" w:hAnsiTheme="majorHAnsi" w:cstheme="majorHAnsi"/>
          <w:color w:val="000000"/>
          <w:sz w:val="20"/>
          <w:szCs w:val="20"/>
          <w:shd w:val="clear" w:color="auto" w:fill="FFFFFF"/>
        </w:rPr>
        <w:t xml:space="preserve">Material de opine de </w:t>
      </w:r>
      <w:bookmarkStart w:id="0" w:name="_GoBack"/>
      <w:r w:rsidRPr="00810D04">
        <w:rPr>
          <w:rStyle w:val="Accentuat"/>
          <w:rFonts w:asciiTheme="majorHAnsi" w:hAnsiTheme="majorHAnsi" w:cstheme="majorHAnsi"/>
          <w:color w:val="000000"/>
          <w:sz w:val="20"/>
          <w:szCs w:val="20"/>
          <w:shd w:val="clear" w:color="auto" w:fill="FFFFFF"/>
        </w:rPr>
        <w:t xml:space="preserve">Emanuel </w:t>
      </w:r>
      <w:proofErr w:type="spellStart"/>
      <w:r w:rsidRPr="00810D04">
        <w:rPr>
          <w:rStyle w:val="Accentuat"/>
          <w:rFonts w:asciiTheme="majorHAnsi" w:hAnsiTheme="majorHAnsi" w:cstheme="majorHAnsi"/>
          <w:color w:val="000000"/>
          <w:sz w:val="20"/>
          <w:szCs w:val="20"/>
          <w:shd w:val="clear" w:color="auto" w:fill="FFFFFF"/>
        </w:rPr>
        <w:t>Bondalici</w:t>
      </w:r>
      <w:proofErr w:type="spellEnd"/>
      <w:r w:rsidRPr="00810D04">
        <w:rPr>
          <w:rStyle w:val="Accentuat"/>
          <w:rFonts w:asciiTheme="majorHAnsi" w:hAnsiTheme="majorHAnsi" w:cstheme="majorHAnsi"/>
          <w:color w:val="000000"/>
          <w:sz w:val="20"/>
          <w:szCs w:val="20"/>
          <w:shd w:val="clear" w:color="auto" w:fill="FFFFFF"/>
        </w:rPr>
        <w:t xml:space="preserve">, Elena </w:t>
      </w:r>
      <w:proofErr w:type="spellStart"/>
      <w:r w:rsidRPr="00810D04">
        <w:rPr>
          <w:rStyle w:val="Accentuat"/>
          <w:rFonts w:asciiTheme="majorHAnsi" w:hAnsiTheme="majorHAnsi" w:cstheme="majorHAnsi"/>
          <w:color w:val="000000"/>
          <w:sz w:val="20"/>
          <w:szCs w:val="20"/>
          <w:shd w:val="clear" w:color="auto" w:fill="FFFFFF"/>
        </w:rPr>
        <w:t>Moroiu</w:t>
      </w:r>
      <w:proofErr w:type="spellEnd"/>
      <w:r w:rsidRPr="00810D04">
        <w:rPr>
          <w:rStyle w:val="Accentuat"/>
          <w:rFonts w:asciiTheme="majorHAnsi" w:hAnsiTheme="majorHAnsi" w:cstheme="majorHAnsi"/>
          <w:color w:val="000000"/>
          <w:sz w:val="20"/>
          <w:szCs w:val="20"/>
          <w:shd w:val="clear" w:color="auto" w:fill="FFFFFF"/>
        </w:rPr>
        <w:t xml:space="preserve">, Associate, </w:t>
      </w:r>
      <w:proofErr w:type="spellStart"/>
      <w:r w:rsidRPr="00810D04">
        <w:rPr>
          <w:rStyle w:val="Accentuat"/>
          <w:rFonts w:asciiTheme="majorHAnsi" w:hAnsiTheme="majorHAnsi" w:cstheme="majorHAnsi"/>
          <w:color w:val="000000"/>
          <w:sz w:val="20"/>
          <w:szCs w:val="20"/>
          <w:shd w:val="clear" w:color="auto" w:fill="FFFFFF"/>
        </w:rPr>
        <w:t>Mircea</w:t>
      </w:r>
      <w:proofErr w:type="spellEnd"/>
      <w:r w:rsidRPr="00810D04">
        <w:rPr>
          <w:rStyle w:val="Accentuat"/>
          <w:rFonts w:asciiTheme="majorHAnsi" w:hAnsiTheme="majorHAnsi" w:cstheme="majorHAnsi"/>
          <w:color w:val="000000"/>
          <w:sz w:val="20"/>
          <w:szCs w:val="20"/>
          <w:shd w:val="clear" w:color="auto" w:fill="FFFFFF"/>
        </w:rPr>
        <w:t xml:space="preserve"> </w:t>
      </w:r>
      <w:proofErr w:type="spellStart"/>
      <w:r w:rsidRPr="00810D04">
        <w:rPr>
          <w:rStyle w:val="Accentuat"/>
          <w:rFonts w:asciiTheme="majorHAnsi" w:hAnsiTheme="majorHAnsi" w:cstheme="majorHAnsi"/>
          <w:color w:val="000000"/>
          <w:sz w:val="20"/>
          <w:szCs w:val="20"/>
          <w:shd w:val="clear" w:color="auto" w:fill="FFFFFF"/>
        </w:rPr>
        <w:t>Farcău</w:t>
      </w:r>
      <w:bookmarkEnd w:id="0"/>
      <w:proofErr w:type="spellEnd"/>
      <w:r w:rsidRPr="00810D04">
        <w:rPr>
          <w:rStyle w:val="Accentuat"/>
          <w:rFonts w:asciiTheme="majorHAnsi" w:hAnsiTheme="majorHAnsi" w:cstheme="majorHAnsi"/>
          <w:color w:val="000000"/>
          <w:sz w:val="20"/>
          <w:szCs w:val="20"/>
          <w:shd w:val="clear" w:color="auto" w:fill="FFFFFF"/>
        </w:rPr>
        <w:t xml:space="preserve">, Senior Associate, </w:t>
      </w:r>
      <w:proofErr w:type="spellStart"/>
      <w:r w:rsidRPr="00810D04">
        <w:rPr>
          <w:rStyle w:val="Accentuat"/>
          <w:rFonts w:asciiTheme="majorHAnsi" w:hAnsiTheme="majorHAnsi" w:cstheme="majorHAnsi"/>
          <w:color w:val="000000"/>
          <w:sz w:val="20"/>
          <w:szCs w:val="20"/>
          <w:shd w:val="clear" w:color="auto" w:fill="FFFFFF"/>
        </w:rPr>
        <w:t>Reff</w:t>
      </w:r>
      <w:proofErr w:type="spellEnd"/>
      <w:r w:rsidRPr="00810D04">
        <w:rPr>
          <w:rStyle w:val="Accentuat"/>
          <w:rFonts w:asciiTheme="majorHAnsi" w:hAnsiTheme="majorHAnsi" w:cstheme="majorHAnsi"/>
          <w:color w:val="000000"/>
          <w:sz w:val="20"/>
          <w:szCs w:val="20"/>
          <w:shd w:val="clear" w:color="auto" w:fill="FFFFFF"/>
        </w:rPr>
        <w:t xml:space="preserve"> &amp; </w:t>
      </w:r>
      <w:proofErr w:type="spellStart"/>
      <w:r w:rsidRPr="00810D04">
        <w:rPr>
          <w:rStyle w:val="Accentuat"/>
          <w:rFonts w:asciiTheme="majorHAnsi" w:hAnsiTheme="majorHAnsi" w:cstheme="majorHAnsi"/>
          <w:color w:val="000000"/>
          <w:sz w:val="20"/>
          <w:szCs w:val="20"/>
          <w:shd w:val="clear" w:color="auto" w:fill="FFFFFF"/>
        </w:rPr>
        <w:t>Asociații</w:t>
      </w:r>
      <w:proofErr w:type="spellEnd"/>
      <w:r w:rsidRPr="00810D04">
        <w:rPr>
          <w:rStyle w:val="Accentuat"/>
          <w:rFonts w:asciiTheme="majorHAnsi" w:hAnsiTheme="majorHAnsi" w:cstheme="majorHAnsi"/>
          <w:color w:val="000000"/>
          <w:sz w:val="20"/>
          <w:szCs w:val="20"/>
          <w:shd w:val="clear" w:color="auto" w:fill="FFFFFF"/>
        </w:rPr>
        <w:t xml:space="preserve"> | Deloitte Legal</w:t>
      </w:r>
    </w:p>
    <w:p w14:paraId="4941126E" w14:textId="77777777" w:rsidR="007E3FAE" w:rsidRDefault="007E3FAE" w:rsidP="00305E26">
      <w:pPr>
        <w:spacing w:after="80" w:line="264" w:lineRule="auto"/>
        <w:jc w:val="both"/>
        <w:rPr>
          <w:rFonts w:asciiTheme="majorHAnsi" w:eastAsia="Times New Roman" w:hAnsiTheme="majorHAnsi" w:cstheme="majorHAnsi"/>
          <w:color w:val="333333"/>
          <w:sz w:val="20"/>
          <w:szCs w:val="20"/>
          <w:shd w:val="clear" w:color="auto" w:fill="FFFFFF"/>
          <w:lang w:val="ro-RO"/>
        </w:rPr>
      </w:pPr>
    </w:p>
    <w:p w14:paraId="2FD38BF8" w14:textId="1037D708" w:rsidR="008154AB" w:rsidRPr="00B24B9B" w:rsidRDefault="008154AB" w:rsidP="00305E26">
      <w:pPr>
        <w:spacing w:after="80" w:line="264" w:lineRule="auto"/>
        <w:jc w:val="both"/>
        <w:rPr>
          <w:rFonts w:asciiTheme="majorHAnsi" w:eastAsia="Times New Roman" w:hAnsiTheme="majorHAnsi" w:cstheme="majorHAnsi"/>
          <w:color w:val="333333"/>
          <w:sz w:val="20"/>
          <w:szCs w:val="20"/>
          <w:shd w:val="clear" w:color="auto" w:fill="FFFFFF"/>
          <w:lang w:val="ro-RO"/>
        </w:rPr>
      </w:pPr>
      <w:r w:rsidRPr="00B24B9B">
        <w:rPr>
          <w:rFonts w:asciiTheme="majorHAnsi" w:eastAsia="Times New Roman" w:hAnsiTheme="majorHAnsi" w:cstheme="majorHAnsi"/>
          <w:color w:val="333333"/>
          <w:sz w:val="20"/>
          <w:szCs w:val="20"/>
          <w:shd w:val="clear" w:color="auto" w:fill="FFFFFF"/>
          <w:lang w:val="ro-RO"/>
        </w:rPr>
        <w:t xml:space="preserve">Regulile privind încheierea unei inspecții fiscale au fost schimbate odată cu apariția Legii nr. 295/2020, care a adus o serie de modificări importante la Codul de procedură fiscală. Printre acestea se numără și modificarea articolului 131 astfel încât, în cazul în care, pe parcursul inspecției, autoritățile fiscale constată existența unor indicii cu privire la săvârșirea unei fapte penale, acestea nu vor mai întocmi raportul de inspecție fiscală la finalul procedurii de control, ci un proces-verbal de sesizare a organelor de urmărire penală. Modificarea este benefică pentru contribuabili, dar ridică și numeroase semne de întrebare. </w:t>
      </w:r>
    </w:p>
    <w:p w14:paraId="61AD6DA7" w14:textId="10D0C33E" w:rsidR="008154AB" w:rsidRPr="00B24B9B" w:rsidRDefault="008154AB" w:rsidP="00305E26">
      <w:pPr>
        <w:spacing w:after="80" w:line="264" w:lineRule="auto"/>
        <w:jc w:val="both"/>
        <w:rPr>
          <w:rFonts w:asciiTheme="majorHAnsi" w:eastAsia="Times New Roman" w:hAnsiTheme="majorHAnsi" w:cstheme="majorHAnsi"/>
          <w:color w:val="333333"/>
          <w:sz w:val="20"/>
          <w:szCs w:val="20"/>
          <w:shd w:val="clear" w:color="auto" w:fill="FFFFFF"/>
          <w:lang w:val="ro-RO"/>
        </w:rPr>
      </w:pPr>
      <w:r w:rsidRPr="00B24B9B">
        <w:rPr>
          <w:rFonts w:asciiTheme="majorHAnsi" w:eastAsia="Times New Roman" w:hAnsiTheme="majorHAnsi" w:cstheme="majorHAnsi"/>
          <w:color w:val="333333"/>
          <w:sz w:val="20"/>
          <w:szCs w:val="20"/>
          <w:shd w:val="clear" w:color="auto" w:fill="FFFFFF"/>
          <w:lang w:val="ro-RO"/>
        </w:rPr>
        <w:t xml:space="preserve">Modificarea legislației a avut la bază decizia pronunțată în </w:t>
      </w:r>
      <w:r w:rsidR="009E46E1">
        <w:rPr>
          <w:rFonts w:asciiTheme="majorHAnsi" w:eastAsia="Times New Roman" w:hAnsiTheme="majorHAnsi" w:cstheme="majorHAnsi"/>
          <w:color w:val="333333"/>
          <w:sz w:val="20"/>
          <w:szCs w:val="20"/>
          <w:shd w:val="clear" w:color="auto" w:fill="FFFFFF"/>
          <w:lang w:val="ro-RO"/>
        </w:rPr>
        <w:t>c</w:t>
      </w:r>
      <w:r w:rsidR="009E46E1" w:rsidRPr="00B24B9B">
        <w:rPr>
          <w:rFonts w:asciiTheme="majorHAnsi" w:eastAsia="Times New Roman" w:hAnsiTheme="majorHAnsi" w:cstheme="majorHAnsi"/>
          <w:color w:val="333333"/>
          <w:sz w:val="20"/>
          <w:szCs w:val="20"/>
          <w:shd w:val="clear" w:color="auto" w:fill="FFFFFF"/>
          <w:lang w:val="ro-RO"/>
        </w:rPr>
        <w:t xml:space="preserve">auza </w:t>
      </w:r>
      <w:r w:rsidRPr="00B24B9B">
        <w:rPr>
          <w:rFonts w:asciiTheme="majorHAnsi" w:eastAsia="Times New Roman" w:hAnsiTheme="majorHAnsi" w:cstheme="majorHAnsi"/>
          <w:color w:val="333333"/>
          <w:sz w:val="20"/>
          <w:szCs w:val="20"/>
          <w:shd w:val="clear" w:color="auto" w:fill="FFFFFF"/>
          <w:lang w:val="ro-RO"/>
        </w:rPr>
        <w:t xml:space="preserve">Lungu contra României, în care Curtea Europeană a Drepturilor Omului a condamnat statul român pentru aplicarea unui tratament juridic diferențiat în două litigii separate, deși faptele imputate erau identice. </w:t>
      </w:r>
    </w:p>
    <w:p w14:paraId="55548139" w14:textId="33DED380" w:rsidR="008154AB" w:rsidRPr="00B24B9B" w:rsidRDefault="008154AB" w:rsidP="00305E26">
      <w:pPr>
        <w:spacing w:after="80" w:line="264" w:lineRule="auto"/>
        <w:jc w:val="both"/>
        <w:rPr>
          <w:rFonts w:asciiTheme="majorHAnsi" w:eastAsia="Times New Roman" w:hAnsiTheme="majorHAnsi" w:cstheme="majorHAnsi"/>
          <w:color w:val="333333"/>
          <w:sz w:val="20"/>
          <w:szCs w:val="20"/>
          <w:shd w:val="clear" w:color="auto" w:fill="FFFFFF"/>
          <w:lang w:val="ro-RO"/>
        </w:rPr>
      </w:pPr>
      <w:r w:rsidRPr="00B24B9B">
        <w:rPr>
          <w:rFonts w:asciiTheme="majorHAnsi" w:eastAsia="Times New Roman" w:hAnsiTheme="majorHAnsi" w:cstheme="majorHAnsi"/>
          <w:color w:val="333333"/>
          <w:sz w:val="20"/>
          <w:szCs w:val="20"/>
          <w:shd w:val="clear" w:color="auto" w:fill="FFFFFF"/>
          <w:lang w:val="ro-RO"/>
        </w:rPr>
        <w:t xml:space="preserve">Adoptată la șase ani de la </w:t>
      </w:r>
      <w:r w:rsidR="009E46E1">
        <w:rPr>
          <w:rFonts w:asciiTheme="majorHAnsi" w:eastAsia="Times New Roman" w:hAnsiTheme="majorHAnsi" w:cstheme="majorHAnsi"/>
          <w:color w:val="333333"/>
          <w:sz w:val="20"/>
          <w:szCs w:val="20"/>
          <w:shd w:val="clear" w:color="auto" w:fill="FFFFFF"/>
          <w:lang w:val="ro-RO"/>
        </w:rPr>
        <w:t>c</w:t>
      </w:r>
      <w:r w:rsidR="009E46E1" w:rsidRPr="00B24B9B">
        <w:rPr>
          <w:rFonts w:asciiTheme="majorHAnsi" w:eastAsia="Times New Roman" w:hAnsiTheme="majorHAnsi" w:cstheme="majorHAnsi"/>
          <w:color w:val="333333"/>
          <w:sz w:val="20"/>
          <w:szCs w:val="20"/>
          <w:shd w:val="clear" w:color="auto" w:fill="FFFFFF"/>
          <w:lang w:val="ro-RO"/>
        </w:rPr>
        <w:t xml:space="preserve">auza </w:t>
      </w:r>
      <w:r w:rsidRPr="00B24B9B">
        <w:rPr>
          <w:rFonts w:asciiTheme="majorHAnsi" w:eastAsia="Times New Roman" w:hAnsiTheme="majorHAnsi" w:cstheme="majorHAnsi"/>
          <w:color w:val="333333"/>
          <w:sz w:val="20"/>
          <w:szCs w:val="20"/>
          <w:shd w:val="clear" w:color="auto" w:fill="FFFFFF"/>
          <w:lang w:val="ro-RO"/>
        </w:rPr>
        <w:t>Lungu, noua reglementare urmărește să evite situațiile în care o instanță de contencios validează tratamentul fiscal aplicat de contribuabil (ca urmare a contestării rezultatului inspecției fiscale) și dispune exonerarea acestuia de la plata taxelor aferente, iar instanța penală consideră că aceeași faptă întrunește elementele unei infracțiuni de evaziune fiscală și obligă contribuabilul la plata taxelor și a penalităților către stat.</w:t>
      </w:r>
    </w:p>
    <w:p w14:paraId="25EE5494" w14:textId="77777777" w:rsidR="008154AB" w:rsidRPr="00B24B9B" w:rsidRDefault="008154AB" w:rsidP="00305E26">
      <w:pPr>
        <w:spacing w:after="80" w:line="264" w:lineRule="auto"/>
        <w:jc w:val="both"/>
        <w:rPr>
          <w:rFonts w:asciiTheme="majorHAnsi" w:eastAsia="Times New Roman" w:hAnsiTheme="majorHAnsi" w:cstheme="majorHAnsi"/>
          <w:color w:val="333333"/>
          <w:sz w:val="20"/>
          <w:szCs w:val="20"/>
          <w:shd w:val="clear" w:color="auto" w:fill="FFFFFF"/>
          <w:lang w:val="ro-RO"/>
        </w:rPr>
      </w:pPr>
      <w:r w:rsidRPr="00B24B9B">
        <w:rPr>
          <w:rFonts w:asciiTheme="majorHAnsi" w:eastAsia="Times New Roman" w:hAnsiTheme="majorHAnsi" w:cstheme="majorHAnsi"/>
          <w:color w:val="333333"/>
          <w:sz w:val="20"/>
          <w:szCs w:val="20"/>
          <w:shd w:val="clear" w:color="auto" w:fill="FFFFFF"/>
          <w:lang w:val="ro-RO"/>
        </w:rPr>
        <w:t xml:space="preserve">Cum aplicarea în practică a modificărilor aduse Codului de procedură Fiscală putea să ridice o serie de întrebări, autoritățile au detaliat, în procedura privind aplicarea articolului 131 din Codul de procedură fiscală (aprobată prin Ordinul ANAF nr. 1071/2021 publicat în Monitorul Oficial </w:t>
      </w:r>
      <w:r>
        <w:rPr>
          <w:rFonts w:asciiTheme="majorHAnsi" w:eastAsia="Times New Roman" w:hAnsiTheme="majorHAnsi" w:cstheme="majorHAnsi"/>
          <w:color w:val="333333"/>
          <w:sz w:val="20"/>
          <w:szCs w:val="20"/>
          <w:shd w:val="clear" w:color="auto" w:fill="FFFFFF"/>
          <w:lang w:val="ro-RO"/>
        </w:rPr>
        <w:t>la</w:t>
      </w:r>
      <w:r w:rsidRPr="00B24B9B">
        <w:rPr>
          <w:rFonts w:asciiTheme="majorHAnsi" w:eastAsia="Times New Roman" w:hAnsiTheme="majorHAnsi" w:cstheme="majorHAnsi"/>
          <w:color w:val="333333"/>
          <w:sz w:val="20"/>
          <w:szCs w:val="20"/>
          <w:shd w:val="clear" w:color="auto" w:fill="FFFFFF"/>
          <w:lang w:val="ro-RO"/>
        </w:rPr>
        <w:t xml:space="preserve"> data de </w:t>
      </w:r>
      <w:r>
        <w:rPr>
          <w:rFonts w:asciiTheme="majorHAnsi" w:eastAsia="Times New Roman" w:hAnsiTheme="majorHAnsi" w:cstheme="majorHAnsi"/>
          <w:color w:val="333333"/>
          <w:sz w:val="20"/>
          <w:szCs w:val="20"/>
          <w:shd w:val="clear" w:color="auto" w:fill="FFFFFF"/>
          <w:lang w:val="ro-RO"/>
        </w:rPr>
        <w:t>15</w:t>
      </w:r>
      <w:r w:rsidRPr="00B24B9B">
        <w:rPr>
          <w:rFonts w:asciiTheme="majorHAnsi" w:eastAsia="Times New Roman" w:hAnsiTheme="majorHAnsi" w:cstheme="majorHAnsi"/>
          <w:color w:val="333333"/>
          <w:sz w:val="20"/>
          <w:szCs w:val="20"/>
          <w:shd w:val="clear" w:color="auto" w:fill="FFFFFF"/>
          <w:lang w:val="ro-RO"/>
        </w:rPr>
        <w:t xml:space="preserve"> iulie) modalitățile în care organele fiscale vor proceda într-o astfel de situație.</w:t>
      </w:r>
    </w:p>
    <w:p w14:paraId="432F88AF" w14:textId="77777777" w:rsidR="008154AB" w:rsidRPr="00B24B9B" w:rsidRDefault="008154AB" w:rsidP="00305E26">
      <w:pPr>
        <w:spacing w:after="80" w:line="264" w:lineRule="auto"/>
        <w:jc w:val="both"/>
        <w:rPr>
          <w:rFonts w:asciiTheme="majorHAnsi" w:eastAsia="Times New Roman" w:hAnsiTheme="majorHAnsi" w:cstheme="majorHAnsi"/>
          <w:b/>
          <w:bCs/>
          <w:sz w:val="20"/>
          <w:szCs w:val="20"/>
          <w:shd w:val="clear" w:color="auto" w:fill="FFFFFF"/>
          <w:lang w:val="ro-RO"/>
        </w:rPr>
      </w:pPr>
      <w:r w:rsidRPr="00B24B9B">
        <w:rPr>
          <w:rFonts w:asciiTheme="majorHAnsi" w:eastAsia="Times New Roman" w:hAnsiTheme="majorHAnsi" w:cstheme="majorHAnsi"/>
          <w:color w:val="333333"/>
          <w:sz w:val="20"/>
          <w:szCs w:val="20"/>
          <w:shd w:val="clear" w:color="auto" w:fill="FFFFFF"/>
          <w:lang w:val="ro-RO"/>
        </w:rPr>
        <w:t xml:space="preserve">Încercarea de a stabili o procedură cât mai riguroasă de aplicare a articolului 131 este lăudabilă și în măsură să minimizeze riscurile care decurg din lipsa de sincronizare a autorităților statului, însă aceasta nu poate să acopere toate situațiile </w:t>
      </w:r>
      <w:r>
        <w:rPr>
          <w:rFonts w:asciiTheme="majorHAnsi" w:eastAsia="Times New Roman" w:hAnsiTheme="majorHAnsi" w:cstheme="majorHAnsi"/>
          <w:color w:val="333333"/>
          <w:sz w:val="20"/>
          <w:szCs w:val="20"/>
          <w:shd w:val="clear" w:color="auto" w:fill="FFFFFF"/>
          <w:lang w:val="ro-RO"/>
        </w:rPr>
        <w:t>apărute în practică</w:t>
      </w:r>
      <w:r w:rsidRPr="00B24B9B">
        <w:rPr>
          <w:rFonts w:asciiTheme="majorHAnsi" w:eastAsia="Times New Roman" w:hAnsiTheme="majorHAnsi" w:cstheme="majorHAnsi"/>
          <w:color w:val="333333"/>
          <w:sz w:val="20"/>
          <w:szCs w:val="20"/>
          <w:shd w:val="clear" w:color="auto" w:fill="FFFFFF"/>
          <w:lang w:val="ro-RO"/>
        </w:rPr>
        <w:t xml:space="preserve">. </w:t>
      </w:r>
    </w:p>
    <w:p w14:paraId="4F80C5C6" w14:textId="77777777" w:rsidR="009E46E1" w:rsidRDefault="009E46E1" w:rsidP="00305E26">
      <w:pPr>
        <w:spacing w:after="80" w:line="264" w:lineRule="auto"/>
        <w:jc w:val="both"/>
        <w:rPr>
          <w:rFonts w:asciiTheme="majorHAnsi" w:eastAsia="Times New Roman" w:hAnsiTheme="majorHAnsi" w:cstheme="majorHAnsi"/>
          <w:b/>
          <w:bCs/>
          <w:sz w:val="20"/>
          <w:szCs w:val="20"/>
          <w:shd w:val="clear" w:color="auto" w:fill="FFFFFF"/>
          <w:lang w:val="ro-RO"/>
        </w:rPr>
      </w:pPr>
    </w:p>
    <w:p w14:paraId="119B7007" w14:textId="2F223CBC" w:rsidR="008154AB" w:rsidRPr="00B24B9B" w:rsidRDefault="008154AB" w:rsidP="00305E26">
      <w:pPr>
        <w:spacing w:after="80" w:line="264" w:lineRule="auto"/>
        <w:jc w:val="both"/>
        <w:rPr>
          <w:rFonts w:asciiTheme="majorHAnsi" w:eastAsia="Times New Roman" w:hAnsiTheme="majorHAnsi" w:cstheme="majorHAnsi"/>
          <w:sz w:val="20"/>
          <w:szCs w:val="20"/>
          <w:shd w:val="clear" w:color="auto" w:fill="FFFFFF"/>
          <w:lang w:val="ro-RO"/>
        </w:rPr>
      </w:pPr>
      <w:r>
        <w:rPr>
          <w:rFonts w:asciiTheme="majorHAnsi" w:eastAsia="Times New Roman" w:hAnsiTheme="majorHAnsi" w:cstheme="majorHAnsi"/>
          <w:b/>
          <w:bCs/>
          <w:sz w:val="20"/>
          <w:szCs w:val="20"/>
          <w:shd w:val="clear" w:color="auto" w:fill="FFFFFF"/>
          <w:lang w:val="ro-RO"/>
        </w:rPr>
        <w:t>Abordarea</w:t>
      </w:r>
      <w:r w:rsidRPr="00B24B9B">
        <w:rPr>
          <w:rFonts w:asciiTheme="majorHAnsi" w:eastAsia="Times New Roman" w:hAnsiTheme="majorHAnsi" w:cstheme="majorHAnsi"/>
          <w:b/>
          <w:bCs/>
          <w:sz w:val="20"/>
          <w:szCs w:val="20"/>
          <w:shd w:val="clear" w:color="auto" w:fill="FFFFFF"/>
          <w:lang w:val="ro-RO"/>
        </w:rPr>
        <w:t xml:space="preserve"> anterioară </w:t>
      </w:r>
    </w:p>
    <w:p w14:paraId="132576D7" w14:textId="40D82165" w:rsidR="008154AB" w:rsidRPr="00B24B9B" w:rsidRDefault="008154AB" w:rsidP="00305E26">
      <w:pPr>
        <w:spacing w:after="80" w:line="264" w:lineRule="auto"/>
        <w:jc w:val="both"/>
        <w:rPr>
          <w:rFonts w:asciiTheme="majorHAnsi" w:eastAsia="Times New Roman" w:hAnsiTheme="majorHAnsi" w:cstheme="majorHAnsi"/>
          <w:color w:val="333333"/>
          <w:sz w:val="20"/>
          <w:szCs w:val="20"/>
          <w:shd w:val="clear" w:color="auto" w:fill="FFFFFF"/>
          <w:lang w:val="ro-RO"/>
        </w:rPr>
      </w:pPr>
      <w:r w:rsidRPr="00B24B9B">
        <w:rPr>
          <w:rFonts w:asciiTheme="majorHAnsi" w:eastAsia="Times New Roman" w:hAnsiTheme="majorHAnsi" w:cstheme="majorHAnsi"/>
          <w:color w:val="333333"/>
          <w:sz w:val="20"/>
          <w:szCs w:val="20"/>
          <w:shd w:val="clear" w:color="auto" w:fill="FFFFFF"/>
          <w:lang w:val="ro-RO"/>
        </w:rPr>
        <w:t>Modificarea articolului 131 schimbă în mod radical practica abuzivă a autorităților fiscale, permisă de legislația anterioară. În concret, dacă pe parcursul unei inspecții fiscale inspectorii suspectau existența unor practici de evaziune fiscală, pe de o parte sesizau organele de urmărire penală, iar pe de altă parte emiteau un raport de inspecție fiscală și o decizie de impunere, prin care stabileau obligații fiscale în sarcina contribuabilului.</w:t>
      </w:r>
    </w:p>
    <w:p w14:paraId="1F4CD5B9" w14:textId="35412264" w:rsidR="008154AB" w:rsidRDefault="008154AB" w:rsidP="00305E26">
      <w:pPr>
        <w:spacing w:after="80" w:line="264" w:lineRule="auto"/>
        <w:jc w:val="both"/>
        <w:rPr>
          <w:rFonts w:asciiTheme="majorHAnsi" w:eastAsia="Times New Roman" w:hAnsiTheme="majorHAnsi" w:cstheme="majorHAnsi"/>
          <w:color w:val="333333"/>
          <w:sz w:val="20"/>
          <w:szCs w:val="20"/>
          <w:shd w:val="clear" w:color="auto" w:fill="FFFFFF"/>
          <w:lang w:val="ro-RO"/>
        </w:rPr>
      </w:pPr>
      <w:r w:rsidRPr="00B24B9B">
        <w:rPr>
          <w:rFonts w:asciiTheme="majorHAnsi" w:eastAsia="Times New Roman" w:hAnsiTheme="majorHAnsi" w:cstheme="majorHAnsi"/>
          <w:color w:val="333333"/>
          <w:sz w:val="20"/>
          <w:szCs w:val="20"/>
          <w:shd w:val="clear" w:color="auto" w:fill="FFFFFF"/>
          <w:lang w:val="ro-RO"/>
        </w:rPr>
        <w:t>Dincolo de situația de incertitudine, inclusiv financiară, căreia contribuabilul trebuia să îi facă față timp de mai mulți ani, până la soluționarea cauzei penale, riscul cel mai mare decurgea din posibilitatea pronunțării a două hotărâri incompatibile: una favorabilă contribuabilului, prin care instanța de contencios administrativ valida tratamentul fiscal și dispunea restituirea sumelor deja plătite de acesta</w:t>
      </w:r>
      <w:r w:rsidR="009E46E1">
        <w:rPr>
          <w:rFonts w:asciiTheme="majorHAnsi" w:eastAsia="Times New Roman" w:hAnsiTheme="majorHAnsi" w:cstheme="majorHAnsi"/>
          <w:color w:val="333333"/>
          <w:sz w:val="20"/>
          <w:szCs w:val="20"/>
          <w:shd w:val="clear" w:color="auto" w:fill="FFFFFF"/>
          <w:lang w:val="ro-RO"/>
        </w:rPr>
        <w:t>,</w:t>
      </w:r>
      <w:r w:rsidRPr="00B24B9B">
        <w:rPr>
          <w:rFonts w:asciiTheme="majorHAnsi" w:eastAsia="Times New Roman" w:hAnsiTheme="majorHAnsi" w:cstheme="majorHAnsi"/>
          <w:color w:val="333333"/>
          <w:sz w:val="20"/>
          <w:szCs w:val="20"/>
          <w:shd w:val="clear" w:color="auto" w:fill="FFFFFF"/>
          <w:lang w:val="ro-RO"/>
        </w:rPr>
        <w:t xml:space="preserve"> și una de condamnare, prin care instanța de penal sancționa contribuabilul pentru evaziune fiscală și îl obliga să restituie statului prejudiciul reprezentat de obligațiile fiscale principale și accesorii.</w:t>
      </w:r>
    </w:p>
    <w:p w14:paraId="1ED113D9" w14:textId="77777777" w:rsidR="009E46E1" w:rsidRPr="00B24B9B" w:rsidRDefault="009E46E1" w:rsidP="00305E26">
      <w:pPr>
        <w:spacing w:after="80" w:line="264" w:lineRule="auto"/>
        <w:jc w:val="both"/>
        <w:rPr>
          <w:rFonts w:asciiTheme="majorHAnsi" w:eastAsia="Times New Roman" w:hAnsiTheme="majorHAnsi" w:cstheme="majorHAnsi"/>
          <w:color w:val="333333"/>
          <w:sz w:val="20"/>
          <w:szCs w:val="20"/>
          <w:shd w:val="clear" w:color="auto" w:fill="FFFFFF"/>
          <w:lang w:val="ro-RO"/>
        </w:rPr>
      </w:pPr>
    </w:p>
    <w:p w14:paraId="61AFD5D9" w14:textId="77777777" w:rsidR="008154AB" w:rsidRPr="00B24B9B" w:rsidRDefault="008154AB" w:rsidP="00305E26">
      <w:pPr>
        <w:spacing w:after="80" w:line="264" w:lineRule="auto"/>
        <w:jc w:val="both"/>
        <w:rPr>
          <w:rFonts w:asciiTheme="majorHAnsi" w:eastAsia="Times New Roman" w:hAnsiTheme="majorHAnsi" w:cstheme="majorHAnsi"/>
          <w:b/>
          <w:bCs/>
          <w:sz w:val="20"/>
          <w:szCs w:val="20"/>
          <w:shd w:val="clear" w:color="auto" w:fill="FFFFFF"/>
          <w:lang w:val="ro-RO"/>
        </w:rPr>
      </w:pPr>
      <w:r w:rsidRPr="00B24B9B">
        <w:rPr>
          <w:rFonts w:asciiTheme="majorHAnsi" w:eastAsia="Times New Roman" w:hAnsiTheme="majorHAnsi" w:cstheme="majorHAnsi"/>
          <w:b/>
          <w:bCs/>
          <w:sz w:val="20"/>
          <w:szCs w:val="20"/>
          <w:shd w:val="clear" w:color="auto" w:fill="FFFFFF"/>
          <w:lang w:val="ro-RO"/>
        </w:rPr>
        <w:t>Ce se schimbă?</w:t>
      </w:r>
    </w:p>
    <w:p w14:paraId="31ABD627" w14:textId="608A840F" w:rsidR="008154AB" w:rsidRPr="00B24B9B" w:rsidRDefault="008154AB" w:rsidP="00305E26">
      <w:pPr>
        <w:spacing w:after="80" w:line="264" w:lineRule="auto"/>
        <w:jc w:val="both"/>
        <w:rPr>
          <w:rFonts w:asciiTheme="majorHAnsi" w:eastAsia="Times New Roman" w:hAnsiTheme="majorHAnsi" w:cstheme="majorHAnsi"/>
          <w:color w:val="333333"/>
          <w:sz w:val="20"/>
          <w:szCs w:val="20"/>
          <w:shd w:val="clear" w:color="auto" w:fill="FFFFFF"/>
          <w:lang w:val="ro-RO"/>
        </w:rPr>
      </w:pPr>
      <w:r w:rsidRPr="00B24B9B">
        <w:rPr>
          <w:rFonts w:asciiTheme="majorHAnsi" w:eastAsia="Times New Roman" w:hAnsiTheme="majorHAnsi" w:cstheme="majorHAnsi"/>
          <w:color w:val="333333"/>
          <w:sz w:val="20"/>
          <w:szCs w:val="20"/>
          <w:shd w:val="clear" w:color="auto" w:fill="FFFFFF"/>
          <w:lang w:val="ro-RO"/>
        </w:rPr>
        <w:t>Reglementările adoptate recent prevăd că, în situația în care, în timpul unei inspecții, autoritatea fiscală încheie un proces-verbal de sesizare a organelor de cercetare penală, contribuabilul nu va mai primi un raport de inspecție fiscală (cel puțin pentru perioadele și obligațiile ce fac obiectul sesizării penale), ci</w:t>
      </w:r>
      <w:r w:rsidRPr="00B24B9B">
        <w:rPr>
          <w:rFonts w:asciiTheme="majorHAnsi" w:hAnsiTheme="majorHAnsi" w:cstheme="majorHAnsi"/>
          <w:color w:val="333333"/>
          <w:sz w:val="20"/>
          <w:szCs w:val="20"/>
          <w:shd w:val="clear" w:color="auto" w:fill="FFFFFF"/>
          <w:lang w:val="ro-RO"/>
        </w:rPr>
        <w:t xml:space="preserve"> o adresă de înștiințare cu privire la </w:t>
      </w:r>
      <w:r w:rsidRPr="00B24B9B">
        <w:rPr>
          <w:rFonts w:asciiTheme="majorHAnsi" w:hAnsiTheme="majorHAnsi" w:cstheme="majorHAnsi"/>
          <w:color w:val="333333"/>
          <w:sz w:val="20"/>
          <w:szCs w:val="20"/>
          <w:shd w:val="clear" w:color="auto" w:fill="FFFFFF"/>
          <w:lang w:val="ro-RO"/>
        </w:rPr>
        <w:lastRenderedPageBreak/>
        <w:t>neîntocmirea raportului prin care i se va transmite, totodată, și faptul că</w:t>
      </w:r>
      <w:r w:rsidR="009E46E1">
        <w:rPr>
          <w:rFonts w:asciiTheme="majorHAnsi" w:hAnsiTheme="majorHAnsi" w:cstheme="majorHAnsi"/>
          <w:color w:val="333333"/>
          <w:sz w:val="20"/>
          <w:szCs w:val="20"/>
          <w:shd w:val="clear" w:color="auto" w:fill="FFFFFF"/>
          <w:lang w:val="ro-RO"/>
        </w:rPr>
        <w:t>,</w:t>
      </w:r>
      <w:r w:rsidRPr="00B24B9B">
        <w:rPr>
          <w:rFonts w:asciiTheme="majorHAnsi" w:hAnsiTheme="majorHAnsi" w:cstheme="majorHAnsi"/>
          <w:color w:val="333333"/>
          <w:sz w:val="20"/>
          <w:szCs w:val="20"/>
          <w:shd w:val="clear" w:color="auto" w:fill="FFFFFF"/>
          <w:lang w:val="ro-RO"/>
        </w:rPr>
        <w:t xml:space="preserve"> până la finalizarea cauzei penale</w:t>
      </w:r>
      <w:r w:rsidR="009E46E1">
        <w:rPr>
          <w:rFonts w:asciiTheme="majorHAnsi" w:hAnsiTheme="majorHAnsi" w:cstheme="majorHAnsi"/>
          <w:color w:val="333333"/>
          <w:sz w:val="20"/>
          <w:szCs w:val="20"/>
          <w:shd w:val="clear" w:color="auto" w:fill="FFFFFF"/>
          <w:lang w:val="ro-RO"/>
        </w:rPr>
        <w:t>,</w:t>
      </w:r>
      <w:r w:rsidRPr="00B24B9B">
        <w:rPr>
          <w:rFonts w:asciiTheme="majorHAnsi" w:hAnsiTheme="majorHAnsi" w:cstheme="majorHAnsi"/>
          <w:color w:val="333333"/>
          <w:sz w:val="20"/>
          <w:szCs w:val="20"/>
          <w:shd w:val="clear" w:color="auto" w:fill="FFFFFF"/>
          <w:lang w:val="ro-RO"/>
        </w:rPr>
        <w:t xml:space="preserve"> se suspendă termenul de prescripție a dreptului autorităților de a stabili creanțe fiscale. </w:t>
      </w:r>
    </w:p>
    <w:p w14:paraId="2843545C" w14:textId="3CF9208C" w:rsidR="008154AB" w:rsidRPr="00B24B9B" w:rsidRDefault="008154AB" w:rsidP="00305E26">
      <w:pPr>
        <w:spacing w:after="80" w:line="264" w:lineRule="auto"/>
        <w:jc w:val="both"/>
        <w:rPr>
          <w:rFonts w:asciiTheme="majorHAnsi" w:hAnsiTheme="majorHAnsi" w:cstheme="majorHAnsi"/>
          <w:color w:val="333333"/>
          <w:sz w:val="20"/>
          <w:szCs w:val="20"/>
          <w:shd w:val="clear" w:color="auto" w:fill="FFFFFF"/>
          <w:lang w:val="ro-RO"/>
        </w:rPr>
      </w:pPr>
      <w:r w:rsidRPr="00B24B9B">
        <w:rPr>
          <w:rFonts w:asciiTheme="majorHAnsi" w:hAnsiTheme="majorHAnsi" w:cstheme="majorHAnsi"/>
          <w:color w:val="333333"/>
          <w:sz w:val="20"/>
          <w:szCs w:val="20"/>
          <w:shd w:val="clear" w:color="auto" w:fill="FFFFFF"/>
          <w:lang w:val="ro-RO"/>
        </w:rPr>
        <w:t xml:space="preserve">Însă Codul de procedură fiscală nu lămurește ce se întâmplă cu inspecția fiscală după finalizarea dosarului penal. În situația în care instanța penală pronunță o hotărâre de condamnare și, pe parte civilă, stabilește că statul este îndreptățit să recupereze taxele neachitate și accesoriile aferente, lucrurile par a fi destul de clare, întrucât autoritatea fiscală nu va putea dubla sancțiunea printr-un control ulterior. În caz contrar, deși Codul de procedură fiscală nu o prevede expres, o astfel de inițiativă ar </w:t>
      </w:r>
      <w:r>
        <w:rPr>
          <w:rFonts w:asciiTheme="majorHAnsi" w:hAnsiTheme="majorHAnsi" w:cstheme="majorHAnsi"/>
          <w:color w:val="333333"/>
          <w:sz w:val="20"/>
          <w:szCs w:val="20"/>
          <w:shd w:val="clear" w:color="auto" w:fill="FFFFFF"/>
          <w:lang w:val="ro-RO"/>
        </w:rPr>
        <w:t>invalida</w:t>
      </w:r>
      <w:r w:rsidRPr="00B24B9B">
        <w:rPr>
          <w:rFonts w:asciiTheme="majorHAnsi" w:hAnsiTheme="majorHAnsi" w:cstheme="majorHAnsi"/>
          <w:color w:val="333333"/>
          <w:sz w:val="20"/>
          <w:szCs w:val="20"/>
          <w:shd w:val="clear" w:color="auto" w:fill="FFFFFF"/>
          <w:lang w:val="ro-RO"/>
        </w:rPr>
        <w:t xml:space="preserve"> </w:t>
      </w:r>
      <w:r w:rsidR="009E46E1">
        <w:rPr>
          <w:rFonts w:asciiTheme="majorHAnsi" w:hAnsiTheme="majorHAnsi" w:cstheme="majorHAnsi"/>
          <w:color w:val="333333"/>
          <w:sz w:val="20"/>
          <w:szCs w:val="20"/>
          <w:shd w:val="clear" w:color="auto" w:fill="FFFFFF"/>
          <w:lang w:val="ro-RO"/>
        </w:rPr>
        <w:t>c</w:t>
      </w:r>
      <w:r w:rsidR="009E46E1" w:rsidRPr="00B24B9B">
        <w:rPr>
          <w:rFonts w:asciiTheme="majorHAnsi" w:hAnsiTheme="majorHAnsi" w:cstheme="majorHAnsi"/>
          <w:color w:val="333333"/>
          <w:sz w:val="20"/>
          <w:szCs w:val="20"/>
          <w:shd w:val="clear" w:color="auto" w:fill="FFFFFF"/>
          <w:lang w:val="ro-RO"/>
        </w:rPr>
        <w:t xml:space="preserve">auza </w:t>
      </w:r>
      <w:r w:rsidRPr="00B24B9B">
        <w:rPr>
          <w:rFonts w:asciiTheme="majorHAnsi" w:hAnsiTheme="majorHAnsi" w:cstheme="majorHAnsi"/>
          <w:color w:val="333333"/>
          <w:sz w:val="20"/>
          <w:szCs w:val="20"/>
          <w:shd w:val="clear" w:color="auto" w:fill="FFFFFF"/>
          <w:lang w:val="ro-RO"/>
        </w:rPr>
        <w:t>Lungu.</w:t>
      </w:r>
    </w:p>
    <w:p w14:paraId="3A081E1F" w14:textId="7AE8177D" w:rsidR="008154AB" w:rsidRPr="00B24B9B" w:rsidRDefault="008154AB" w:rsidP="00305E26">
      <w:pPr>
        <w:spacing w:after="80" w:line="264" w:lineRule="auto"/>
        <w:jc w:val="both"/>
        <w:rPr>
          <w:rFonts w:asciiTheme="majorHAnsi" w:hAnsiTheme="majorHAnsi" w:cstheme="majorHAnsi"/>
          <w:sz w:val="20"/>
          <w:szCs w:val="20"/>
          <w:lang w:val="ro-RO"/>
        </w:rPr>
      </w:pPr>
      <w:r w:rsidRPr="00B24B9B">
        <w:rPr>
          <w:rFonts w:asciiTheme="majorHAnsi" w:hAnsiTheme="majorHAnsi" w:cstheme="majorHAnsi"/>
          <w:color w:val="333333"/>
          <w:sz w:val="20"/>
          <w:szCs w:val="20"/>
          <w:shd w:val="clear" w:color="auto" w:fill="FFFFFF"/>
          <w:lang w:val="ro-RO"/>
        </w:rPr>
        <w:t xml:space="preserve">Totuși, dacă procesul penal se sfârșește fără o condamnare, autoritatea fiscală poate iniția o nouă inspecție. </w:t>
      </w:r>
      <w:r>
        <w:rPr>
          <w:rFonts w:asciiTheme="majorHAnsi" w:hAnsiTheme="majorHAnsi" w:cstheme="majorHAnsi"/>
          <w:color w:val="333333"/>
          <w:sz w:val="20"/>
          <w:szCs w:val="20"/>
          <w:shd w:val="clear" w:color="auto" w:fill="FFFFFF"/>
          <w:lang w:val="ro-RO"/>
        </w:rPr>
        <w:t>Î</w:t>
      </w:r>
      <w:r w:rsidRPr="00B24B9B">
        <w:rPr>
          <w:rFonts w:asciiTheme="majorHAnsi" w:hAnsiTheme="majorHAnsi" w:cstheme="majorHAnsi"/>
          <w:sz w:val="20"/>
          <w:szCs w:val="20"/>
          <w:lang w:val="ro-RO"/>
        </w:rPr>
        <w:t xml:space="preserve">n lipsa unor dispoziții exprese, începerea noii inspecții pare că reprezintă o </w:t>
      </w:r>
      <w:r w:rsidRPr="00B24B9B">
        <w:rPr>
          <w:rFonts w:asciiTheme="majorHAnsi" w:hAnsiTheme="majorHAnsi" w:cstheme="majorHAnsi"/>
          <w:iCs/>
          <w:sz w:val="20"/>
          <w:szCs w:val="20"/>
          <w:lang w:val="ro-RO"/>
        </w:rPr>
        <w:t>opțiune</w:t>
      </w:r>
      <w:r w:rsidR="009E46E1">
        <w:rPr>
          <w:rFonts w:asciiTheme="majorHAnsi" w:hAnsiTheme="majorHAnsi" w:cstheme="majorHAnsi"/>
          <w:iCs/>
          <w:sz w:val="20"/>
          <w:szCs w:val="20"/>
          <w:lang w:val="ro-RO"/>
        </w:rPr>
        <w:t>,</w:t>
      </w:r>
      <w:r w:rsidRPr="00B24B9B">
        <w:rPr>
          <w:rFonts w:asciiTheme="majorHAnsi" w:hAnsiTheme="majorHAnsi" w:cstheme="majorHAnsi"/>
          <w:sz w:val="20"/>
          <w:szCs w:val="20"/>
          <w:lang w:val="ro-RO"/>
        </w:rPr>
        <w:t xml:space="preserve"> și nu o obligație a organului fiscal. În aceste condiții, ținând cont că prima inspecție fiscală nu a fost finalizată prin emiterea unui raport și a unei decizii de impunere</w:t>
      </w:r>
      <w:r>
        <w:rPr>
          <w:rFonts w:asciiTheme="majorHAnsi" w:hAnsiTheme="majorHAnsi" w:cstheme="majorHAnsi"/>
          <w:sz w:val="20"/>
          <w:szCs w:val="20"/>
          <w:lang w:val="ro-RO"/>
        </w:rPr>
        <w:t xml:space="preserve"> și că</w:t>
      </w:r>
      <w:r w:rsidRPr="00B24B9B">
        <w:rPr>
          <w:rFonts w:asciiTheme="majorHAnsi" w:hAnsiTheme="majorHAnsi" w:cstheme="majorHAnsi"/>
          <w:sz w:val="20"/>
          <w:szCs w:val="20"/>
          <w:lang w:val="ro-RO"/>
        </w:rPr>
        <w:t xml:space="preserve"> termenul de prescripție a fost suspendat, până la expirarea acestui termen</w:t>
      </w:r>
      <w:r w:rsidR="009E46E1">
        <w:rPr>
          <w:rFonts w:asciiTheme="majorHAnsi" w:hAnsiTheme="majorHAnsi" w:cstheme="majorHAnsi"/>
          <w:sz w:val="20"/>
          <w:szCs w:val="20"/>
          <w:lang w:val="ro-RO"/>
        </w:rPr>
        <w:t>,</w:t>
      </w:r>
      <w:r w:rsidRPr="00B24B9B">
        <w:rPr>
          <w:rFonts w:asciiTheme="majorHAnsi" w:hAnsiTheme="majorHAnsi" w:cstheme="majorHAnsi"/>
          <w:sz w:val="20"/>
          <w:szCs w:val="20"/>
          <w:lang w:val="ro-RO"/>
        </w:rPr>
        <w:t xml:space="preserve"> contribuabilul riscă în orice moment să fie supus unei noi inspecții fiscale pentru perioada inițială (adică cu foarte mulți ani în urmă).</w:t>
      </w:r>
    </w:p>
    <w:p w14:paraId="2C29C7A6" w14:textId="77777777" w:rsidR="009E46E1" w:rsidRDefault="009E46E1" w:rsidP="00305E26">
      <w:pPr>
        <w:spacing w:after="80" w:line="264" w:lineRule="auto"/>
        <w:jc w:val="both"/>
        <w:rPr>
          <w:rFonts w:asciiTheme="majorHAnsi" w:eastAsia="Times New Roman" w:hAnsiTheme="majorHAnsi" w:cstheme="majorHAnsi"/>
          <w:b/>
          <w:bCs/>
          <w:sz w:val="20"/>
          <w:szCs w:val="20"/>
          <w:shd w:val="clear" w:color="auto" w:fill="FFFFFF"/>
          <w:lang w:val="ro-RO"/>
        </w:rPr>
      </w:pPr>
    </w:p>
    <w:p w14:paraId="647856CA" w14:textId="34DA0CCC" w:rsidR="008154AB" w:rsidRPr="00B24B9B" w:rsidRDefault="008154AB" w:rsidP="00305E26">
      <w:pPr>
        <w:spacing w:after="80" w:line="264" w:lineRule="auto"/>
        <w:jc w:val="both"/>
        <w:rPr>
          <w:rFonts w:asciiTheme="majorHAnsi" w:hAnsiTheme="majorHAnsi" w:cstheme="majorHAnsi"/>
          <w:sz w:val="20"/>
          <w:szCs w:val="20"/>
          <w:lang w:val="ro-RO"/>
        </w:rPr>
      </w:pPr>
      <w:r w:rsidRPr="00B24B9B">
        <w:rPr>
          <w:rFonts w:asciiTheme="majorHAnsi" w:eastAsia="Times New Roman" w:hAnsiTheme="majorHAnsi" w:cstheme="majorHAnsi"/>
          <w:b/>
          <w:bCs/>
          <w:sz w:val="20"/>
          <w:szCs w:val="20"/>
          <w:shd w:val="clear" w:color="auto" w:fill="FFFFFF"/>
          <w:lang w:val="ro-RO"/>
        </w:rPr>
        <w:t>Consecințele încheierii unei inspecții fără  întocmirea raportului de inspecție fiscală</w:t>
      </w:r>
    </w:p>
    <w:p w14:paraId="77A660D1" w14:textId="77777777" w:rsidR="008154AB" w:rsidRPr="00B24B9B" w:rsidRDefault="008154AB" w:rsidP="00305E26">
      <w:pPr>
        <w:spacing w:after="80" w:line="264" w:lineRule="auto"/>
        <w:jc w:val="both"/>
        <w:rPr>
          <w:rFonts w:asciiTheme="majorHAnsi" w:hAnsiTheme="majorHAnsi" w:cstheme="majorHAnsi"/>
          <w:color w:val="333333"/>
          <w:sz w:val="20"/>
          <w:szCs w:val="20"/>
          <w:shd w:val="clear" w:color="auto" w:fill="FFFFFF"/>
          <w:lang w:val="ro-RO"/>
        </w:rPr>
      </w:pPr>
      <w:r w:rsidRPr="00B24B9B">
        <w:rPr>
          <w:rFonts w:asciiTheme="majorHAnsi" w:hAnsiTheme="majorHAnsi" w:cstheme="majorHAnsi"/>
          <w:color w:val="333333"/>
          <w:sz w:val="20"/>
          <w:szCs w:val="20"/>
          <w:shd w:val="clear" w:color="auto" w:fill="FFFFFF"/>
          <w:lang w:val="ro-RO"/>
        </w:rPr>
        <w:t xml:space="preserve">Situația în care autoritatea informează contribuabilul că nu va întocmi raportul de inspecție fiscală echivalează, practic, cu renunțarea la efectuarea inspecției fiscale. Astfel, dacă ar fi să considerăm că neîntocmirea raportului de inspecție fiscală reprezintă un caz particular de finalizare a controlului, rămân fără răspuns câteva chestiuni de interes pentru contribuabil. </w:t>
      </w:r>
    </w:p>
    <w:p w14:paraId="44DD1F2C" w14:textId="77777777" w:rsidR="008154AB" w:rsidRPr="00B24B9B" w:rsidRDefault="008154AB" w:rsidP="00305E26">
      <w:pPr>
        <w:spacing w:after="80" w:line="264" w:lineRule="auto"/>
        <w:jc w:val="both"/>
        <w:rPr>
          <w:rFonts w:asciiTheme="majorHAnsi" w:hAnsiTheme="majorHAnsi" w:cstheme="majorHAnsi"/>
          <w:color w:val="333333"/>
          <w:sz w:val="20"/>
          <w:szCs w:val="20"/>
          <w:shd w:val="clear" w:color="auto" w:fill="FFFFFF"/>
          <w:lang w:val="ro-RO"/>
        </w:rPr>
      </w:pPr>
      <w:r w:rsidRPr="00B24B9B">
        <w:rPr>
          <w:rFonts w:asciiTheme="majorHAnsi" w:hAnsiTheme="majorHAnsi" w:cstheme="majorHAnsi"/>
          <w:color w:val="333333"/>
          <w:sz w:val="20"/>
          <w:szCs w:val="20"/>
          <w:shd w:val="clear" w:color="auto" w:fill="FFFFFF"/>
          <w:lang w:val="ro-RO"/>
        </w:rPr>
        <w:t xml:space="preserve">Prima dintre ele se referă la posibilitatea contribuabilului de a contesta această înștiințare emisă de organul fiscal ori procesul-verbal de sesizare a organelor de urmărire penală. Analizând retrospectiv Decizia Curții Constituționale nr. 783 din 28 noiembrie 2019, prin care s-a stabilit că procesul-verbal întocmit de inspectorii antifraudă nu reprezintă un act administrativ-fiscal (ce poate fi contestat), este de așteptat ca instanțele de judecată să respingă acțiunile de anulare a acestor acte, în defavoarea contribuabililor. </w:t>
      </w:r>
    </w:p>
    <w:p w14:paraId="7201AE87" w14:textId="77777777" w:rsidR="008154AB" w:rsidRPr="00B24B9B" w:rsidRDefault="008154AB" w:rsidP="00305E26">
      <w:pPr>
        <w:spacing w:after="80" w:line="264" w:lineRule="auto"/>
        <w:jc w:val="both"/>
        <w:rPr>
          <w:rFonts w:asciiTheme="majorHAnsi" w:hAnsiTheme="majorHAnsi" w:cstheme="majorHAnsi"/>
          <w:color w:val="333333"/>
          <w:sz w:val="20"/>
          <w:szCs w:val="20"/>
          <w:shd w:val="clear" w:color="auto" w:fill="FFFFFF"/>
          <w:lang w:val="ro-RO"/>
        </w:rPr>
      </w:pPr>
      <w:r w:rsidRPr="00B24B9B">
        <w:rPr>
          <w:rFonts w:asciiTheme="majorHAnsi" w:hAnsiTheme="majorHAnsi" w:cstheme="majorHAnsi"/>
          <w:color w:val="333333"/>
          <w:sz w:val="20"/>
          <w:szCs w:val="20"/>
          <w:shd w:val="clear" w:color="auto" w:fill="FFFFFF"/>
          <w:lang w:val="ro-RO"/>
        </w:rPr>
        <w:t xml:space="preserve">Tot astfel, ulterior întocmirii procesului-verbal, contribuabilul nu mai poate solicita autorității fiscale emiterea unei decizii de impunere provizorii în vederea achitării eventualelor obligații fiscale suplimentare (cu scopul de a limita acumularea de dobânzi și penalități). </w:t>
      </w:r>
    </w:p>
    <w:p w14:paraId="45915F30" w14:textId="77777777" w:rsidR="008154AB" w:rsidRPr="00B24B9B" w:rsidRDefault="008154AB" w:rsidP="00305E26">
      <w:pPr>
        <w:spacing w:after="80" w:line="264" w:lineRule="auto"/>
        <w:jc w:val="both"/>
        <w:rPr>
          <w:rFonts w:asciiTheme="majorHAnsi" w:hAnsiTheme="majorHAnsi" w:cstheme="majorHAnsi"/>
          <w:color w:val="333333"/>
          <w:sz w:val="20"/>
          <w:szCs w:val="20"/>
          <w:shd w:val="clear" w:color="auto" w:fill="FFFFFF"/>
          <w:lang w:val="ro-RO"/>
        </w:rPr>
      </w:pPr>
      <w:r w:rsidRPr="00B24B9B">
        <w:rPr>
          <w:rFonts w:asciiTheme="majorHAnsi" w:hAnsiTheme="majorHAnsi" w:cstheme="majorHAnsi"/>
          <w:color w:val="333333"/>
          <w:sz w:val="20"/>
          <w:szCs w:val="20"/>
          <w:shd w:val="clear" w:color="auto" w:fill="FFFFFF"/>
          <w:lang w:val="ro-RO"/>
        </w:rPr>
        <w:t xml:space="preserve">De asemenea, după ce fiscul renunță la efectuarea inspecției fiscale, contribuabilul ar putea depune declarații rectificative chiar cu privire la obligațiile fiscale analizate de organele penale, cu scopul de a evita plata unor obligații accesorii ridicate. Dar o astfel de decizie va trebui analizată cu atenție, pentru că există riscul să fie interpretată de organele penale ca o recunoaștere implicită a unui comportament fiscal ilicit. </w:t>
      </w:r>
    </w:p>
    <w:p w14:paraId="74FD8EDF" w14:textId="3C626052" w:rsidR="008154AB" w:rsidRPr="00B24B9B" w:rsidRDefault="008154AB" w:rsidP="00305E26">
      <w:pPr>
        <w:spacing w:after="80" w:line="264" w:lineRule="auto"/>
        <w:jc w:val="both"/>
        <w:rPr>
          <w:rFonts w:asciiTheme="majorHAnsi" w:hAnsiTheme="majorHAnsi" w:cstheme="majorHAnsi"/>
          <w:b/>
          <w:bCs/>
          <w:color w:val="333333"/>
          <w:sz w:val="20"/>
          <w:szCs w:val="20"/>
          <w:shd w:val="clear" w:color="auto" w:fill="FFFFFF"/>
          <w:lang w:val="ro-RO"/>
        </w:rPr>
      </w:pPr>
      <w:r w:rsidRPr="00B24B9B">
        <w:rPr>
          <w:rFonts w:asciiTheme="majorHAnsi" w:hAnsiTheme="majorHAnsi" w:cstheme="majorHAnsi"/>
          <w:color w:val="333333"/>
          <w:sz w:val="20"/>
          <w:szCs w:val="20"/>
          <w:shd w:val="clear" w:color="auto" w:fill="FFFFFF"/>
          <w:lang w:val="ro-RO"/>
        </w:rPr>
        <w:t xml:space="preserve">Mai mult, în contextul creat de adoptarea </w:t>
      </w:r>
      <w:r w:rsidR="009E46E1">
        <w:rPr>
          <w:rFonts w:asciiTheme="majorHAnsi" w:hAnsiTheme="majorHAnsi" w:cstheme="majorHAnsi"/>
          <w:color w:val="333333"/>
          <w:sz w:val="20"/>
          <w:szCs w:val="20"/>
          <w:shd w:val="clear" w:color="auto" w:fill="FFFFFF"/>
          <w:lang w:val="ro-RO"/>
        </w:rPr>
        <w:t>o</w:t>
      </w:r>
      <w:r w:rsidR="009E46E1" w:rsidRPr="00B24B9B">
        <w:rPr>
          <w:rFonts w:asciiTheme="majorHAnsi" w:hAnsiTheme="majorHAnsi" w:cstheme="majorHAnsi"/>
          <w:color w:val="333333"/>
          <w:sz w:val="20"/>
          <w:szCs w:val="20"/>
          <w:shd w:val="clear" w:color="auto" w:fill="FFFFFF"/>
          <w:lang w:val="ro-RO"/>
        </w:rPr>
        <w:t xml:space="preserve">rdinului </w:t>
      </w:r>
      <w:r w:rsidRPr="00B24B9B">
        <w:rPr>
          <w:rFonts w:asciiTheme="majorHAnsi" w:hAnsiTheme="majorHAnsi" w:cstheme="majorHAnsi"/>
          <w:color w:val="333333"/>
          <w:sz w:val="20"/>
          <w:szCs w:val="20"/>
          <w:shd w:val="clear" w:color="auto" w:fill="FFFFFF"/>
          <w:lang w:val="ro-RO"/>
        </w:rPr>
        <w:t xml:space="preserve">privind procedura de urmat în situația sesizării organelor de cercetare penală, autoritatea fiscală pare a nu mai avea suportul legal pentru a dispune suspendarea inspecției fiscale pe perioada în care se derulează procesul penal. Într-o astfel de situație, în care autoritatea fiscală este cea care sesizează organelor de urmărire penală o posibilă infracțiune, aceasta ar fi abilitată să dispună suspendarea inspecției pe motiv că există un caz temeinic justificat, însă pentru o perioadă de maximum șase luni. Procedura adoptată recent de ANAF prevede totuși că organul fiscal </w:t>
      </w:r>
      <w:r w:rsidRPr="00B24B9B">
        <w:rPr>
          <w:rFonts w:asciiTheme="majorHAnsi" w:hAnsiTheme="majorHAnsi" w:cstheme="majorHAnsi"/>
          <w:iCs/>
          <w:color w:val="333333"/>
          <w:sz w:val="20"/>
          <w:szCs w:val="20"/>
          <w:shd w:val="clear" w:color="auto" w:fill="FFFFFF"/>
          <w:lang w:val="ro-RO"/>
        </w:rPr>
        <w:t>trebuie</w:t>
      </w:r>
      <w:r w:rsidRPr="00B24B9B">
        <w:rPr>
          <w:rFonts w:asciiTheme="majorHAnsi" w:hAnsiTheme="majorHAnsi" w:cstheme="majorHAnsi"/>
          <w:color w:val="333333"/>
          <w:sz w:val="20"/>
          <w:szCs w:val="20"/>
          <w:shd w:val="clear" w:color="auto" w:fill="FFFFFF"/>
          <w:lang w:val="ro-RO"/>
        </w:rPr>
        <w:t xml:space="preserve"> să formalizeze propunerea de </w:t>
      </w:r>
      <w:r w:rsidRPr="00B24B9B">
        <w:rPr>
          <w:rFonts w:asciiTheme="majorHAnsi" w:hAnsiTheme="majorHAnsi" w:cstheme="majorHAnsi"/>
          <w:iCs/>
          <w:color w:val="333333"/>
          <w:sz w:val="20"/>
          <w:szCs w:val="20"/>
          <w:shd w:val="clear" w:color="auto" w:fill="FFFFFF"/>
          <w:lang w:val="ro-RO"/>
        </w:rPr>
        <w:t>finalizare</w:t>
      </w:r>
      <w:r w:rsidRPr="00B24B9B">
        <w:rPr>
          <w:rFonts w:asciiTheme="majorHAnsi" w:hAnsiTheme="majorHAnsi" w:cstheme="majorHAnsi"/>
          <w:i/>
          <w:iCs/>
          <w:color w:val="333333"/>
          <w:sz w:val="20"/>
          <w:szCs w:val="20"/>
          <w:shd w:val="clear" w:color="auto" w:fill="FFFFFF"/>
          <w:lang w:val="ro-RO"/>
        </w:rPr>
        <w:t xml:space="preserve"> </w:t>
      </w:r>
      <w:r w:rsidRPr="00810D04">
        <w:rPr>
          <w:rFonts w:asciiTheme="majorHAnsi" w:hAnsiTheme="majorHAnsi" w:cstheme="majorHAnsi"/>
          <w:iCs/>
          <w:color w:val="333333"/>
          <w:sz w:val="20"/>
          <w:szCs w:val="20"/>
          <w:shd w:val="clear" w:color="auto" w:fill="FFFFFF"/>
          <w:lang w:val="ro-RO"/>
        </w:rPr>
        <w:t>a</w:t>
      </w:r>
      <w:r w:rsidRPr="00810D04">
        <w:rPr>
          <w:rFonts w:asciiTheme="majorHAnsi" w:hAnsiTheme="majorHAnsi" w:cstheme="majorHAnsi"/>
          <w:color w:val="333333"/>
          <w:sz w:val="20"/>
          <w:szCs w:val="20"/>
          <w:shd w:val="clear" w:color="auto" w:fill="FFFFFF"/>
          <w:lang w:val="ro-RO"/>
        </w:rPr>
        <w:t xml:space="preserve"> </w:t>
      </w:r>
      <w:r w:rsidRPr="00B24B9B">
        <w:rPr>
          <w:rFonts w:asciiTheme="majorHAnsi" w:hAnsiTheme="majorHAnsi" w:cstheme="majorHAnsi"/>
          <w:color w:val="333333"/>
          <w:sz w:val="20"/>
          <w:szCs w:val="20"/>
          <w:shd w:val="clear" w:color="auto" w:fill="FFFFFF"/>
          <w:lang w:val="ro-RO"/>
        </w:rPr>
        <w:t xml:space="preserve">controlului prin neîntocmirea raportului de inspecție, motiv pentru care se poate considera că legiuitorul a urmărit să excludă varianta suspendării inspecției, deși o astfel de măsură ar fi putut prezenta câteva avantaje pentru contribuabilul aflat în această situație. </w:t>
      </w:r>
    </w:p>
    <w:p w14:paraId="3E5F0A6E" w14:textId="3B72D563" w:rsidR="008154AB" w:rsidRPr="00B24B9B" w:rsidRDefault="008154AB" w:rsidP="00305E26">
      <w:pPr>
        <w:spacing w:after="80" w:line="264" w:lineRule="auto"/>
        <w:jc w:val="both"/>
        <w:rPr>
          <w:rFonts w:asciiTheme="majorHAnsi" w:hAnsiTheme="majorHAnsi" w:cstheme="majorHAnsi"/>
          <w:sz w:val="20"/>
          <w:szCs w:val="20"/>
          <w:lang w:val="ro-RO"/>
        </w:rPr>
      </w:pPr>
      <w:r w:rsidRPr="00B24B9B">
        <w:rPr>
          <w:rFonts w:asciiTheme="majorHAnsi" w:hAnsiTheme="majorHAnsi" w:cstheme="majorHAnsi"/>
          <w:sz w:val="20"/>
          <w:szCs w:val="20"/>
          <w:lang w:val="ro-RO"/>
        </w:rPr>
        <w:t>Așadar, ca de obicei, în relația cu autoritatea fiscală</w:t>
      </w:r>
      <w:r w:rsidR="009E46E1">
        <w:rPr>
          <w:rFonts w:asciiTheme="majorHAnsi" w:hAnsiTheme="majorHAnsi" w:cstheme="majorHAnsi"/>
          <w:sz w:val="20"/>
          <w:szCs w:val="20"/>
          <w:lang w:val="ro-RO"/>
        </w:rPr>
        <w:t>,</w:t>
      </w:r>
      <w:r w:rsidRPr="00B24B9B">
        <w:rPr>
          <w:rFonts w:asciiTheme="majorHAnsi" w:hAnsiTheme="majorHAnsi" w:cstheme="majorHAnsi"/>
          <w:sz w:val="20"/>
          <w:szCs w:val="20"/>
          <w:lang w:val="ro-RO"/>
        </w:rPr>
        <w:t xml:space="preserve"> multe dintre răspunsurile cu privire la interpretarea și aplicarea reglementărilor în vigoare se vor clarifica în timp, fie cu bună-credință din partea ambilor actori (fisc și contribuabil), fie tranșate de către instanțele judecătorești competente. </w:t>
      </w:r>
    </w:p>
    <w:p w14:paraId="5F1FFCE5" w14:textId="77777777" w:rsidR="008154AB" w:rsidRPr="003705E5" w:rsidRDefault="008154AB" w:rsidP="00305E26">
      <w:pPr>
        <w:spacing w:after="80" w:line="264" w:lineRule="auto"/>
      </w:pPr>
    </w:p>
    <w:p w14:paraId="7608EA2D" w14:textId="74FA4949" w:rsidR="004F31CF" w:rsidRPr="008154AB" w:rsidRDefault="004F31CF" w:rsidP="00305E26">
      <w:pPr>
        <w:spacing w:after="80" w:line="264" w:lineRule="auto"/>
      </w:pPr>
    </w:p>
    <w:sectPr w:rsidR="004F31CF" w:rsidRPr="008154AB">
      <w:head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7FB8" w16cex:dateUtc="2021-08-12T08:08:00Z"/>
  <w16cex:commentExtensible w16cex:durableId="24BF8CA9" w16cex:dateUtc="2021-08-12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A2CB16" w16cid:durableId="24BF74B9"/>
  <w16cid:commentId w16cid:paraId="0C311F6F" w16cid:durableId="24BF74BB"/>
  <w16cid:commentId w16cid:paraId="5AEFC60D" w16cid:durableId="24BF7FB8"/>
  <w16cid:commentId w16cid:paraId="0E1B272B" w16cid:durableId="24BF74BC"/>
  <w16cid:commentId w16cid:paraId="06E66D5C" w16cid:durableId="24BF8C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07464" w14:textId="77777777" w:rsidR="00B84FDD" w:rsidRDefault="00B84FDD" w:rsidP="00637437">
      <w:pPr>
        <w:spacing w:after="0" w:line="240" w:lineRule="auto"/>
      </w:pPr>
      <w:r>
        <w:separator/>
      </w:r>
    </w:p>
  </w:endnote>
  <w:endnote w:type="continuationSeparator" w:id="0">
    <w:p w14:paraId="4E7E94C6" w14:textId="77777777" w:rsidR="00B84FDD" w:rsidRDefault="00B84FDD" w:rsidP="0063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1EE09" w14:textId="77777777" w:rsidR="00B84FDD" w:rsidRDefault="00B84FDD" w:rsidP="00637437">
      <w:pPr>
        <w:spacing w:after="0" w:line="240" w:lineRule="auto"/>
      </w:pPr>
      <w:r>
        <w:separator/>
      </w:r>
    </w:p>
  </w:footnote>
  <w:footnote w:type="continuationSeparator" w:id="0">
    <w:p w14:paraId="0B23DEE8" w14:textId="77777777" w:rsidR="00B84FDD" w:rsidRDefault="00B84FDD" w:rsidP="00637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BE7F" w14:textId="77777777" w:rsidR="00CC4DE2" w:rsidRDefault="00EA7BEF">
    <w:pPr>
      <w:pStyle w:val="Antet"/>
    </w:pPr>
    <w:r w:rsidRPr="003B0F78">
      <w:rPr>
        <w:noProof/>
        <w:lang w:val="ro-RO" w:eastAsia="ro-RO"/>
      </w:rPr>
      <w:drawing>
        <wp:anchor distT="0" distB="0" distL="114300" distR="114300" simplePos="0" relativeHeight="251659264" behindDoc="0" locked="0" layoutInCell="1" allowOverlap="1" wp14:anchorId="66046A61" wp14:editId="52720B84">
          <wp:simplePos x="0" y="0"/>
          <wp:positionH relativeFrom="column">
            <wp:posOffset>0</wp:posOffset>
          </wp:positionH>
          <wp:positionV relativeFrom="paragraph">
            <wp:posOffset>0</wp:posOffset>
          </wp:positionV>
          <wp:extent cx="1600200" cy="295275"/>
          <wp:effectExtent l="0" t="0" r="0" b="9525"/>
          <wp:wrapNone/>
          <wp:docPr id="1" name="Picture 1" descr="Logo Reff&amp;Asociati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ff&amp;Asociatii negr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B10"/>
    <w:multiLevelType w:val="hybridMultilevel"/>
    <w:tmpl w:val="D0FA9A32"/>
    <w:lvl w:ilvl="0" w:tplc="9190A97E">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40EFE"/>
    <w:multiLevelType w:val="hybridMultilevel"/>
    <w:tmpl w:val="9234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46B79"/>
    <w:multiLevelType w:val="hybridMultilevel"/>
    <w:tmpl w:val="71F895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67BF6"/>
    <w:multiLevelType w:val="hybridMultilevel"/>
    <w:tmpl w:val="38E8A40A"/>
    <w:lvl w:ilvl="0" w:tplc="340AE720">
      <w:start w:val="1"/>
      <w:numFmt w:val="decimal"/>
      <w:lvlText w:val="%1)"/>
      <w:lvlJc w:val="left"/>
      <w:pPr>
        <w:ind w:left="720" w:hanging="360"/>
      </w:pPr>
      <w:rPr>
        <w:rFonts w:ascii="Open Sans" w:hAnsi="Open Sans" w:cs="Open Sans"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E566D"/>
    <w:multiLevelType w:val="hybridMultilevel"/>
    <w:tmpl w:val="B86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73D45"/>
    <w:multiLevelType w:val="hybridMultilevel"/>
    <w:tmpl w:val="A176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D515D"/>
    <w:multiLevelType w:val="hybridMultilevel"/>
    <w:tmpl w:val="64A46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D6FBF"/>
    <w:multiLevelType w:val="hybridMultilevel"/>
    <w:tmpl w:val="40205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B64FC"/>
    <w:multiLevelType w:val="hybridMultilevel"/>
    <w:tmpl w:val="DB18C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7964AD"/>
    <w:multiLevelType w:val="hybridMultilevel"/>
    <w:tmpl w:val="916A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04991"/>
    <w:multiLevelType w:val="hybridMultilevel"/>
    <w:tmpl w:val="144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C5CB7"/>
    <w:multiLevelType w:val="hybridMultilevel"/>
    <w:tmpl w:val="D7E4F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1"/>
  </w:num>
  <w:num w:numId="5">
    <w:abstractNumId w:val="9"/>
  </w:num>
  <w:num w:numId="6">
    <w:abstractNumId w:val="7"/>
  </w:num>
  <w:num w:numId="7">
    <w:abstractNumId w:val="8"/>
  </w:num>
  <w:num w:numId="8">
    <w:abstractNumId w:val="6"/>
  </w:num>
  <w:num w:numId="9">
    <w:abstractNumId w:val="4"/>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55"/>
    <w:rsid w:val="00003869"/>
    <w:rsid w:val="00006B57"/>
    <w:rsid w:val="00013244"/>
    <w:rsid w:val="00037B18"/>
    <w:rsid w:val="000447F8"/>
    <w:rsid w:val="000476DC"/>
    <w:rsid w:val="00047922"/>
    <w:rsid w:val="000514AA"/>
    <w:rsid w:val="000533EB"/>
    <w:rsid w:val="00066E60"/>
    <w:rsid w:val="00070C34"/>
    <w:rsid w:val="000776A2"/>
    <w:rsid w:val="00083118"/>
    <w:rsid w:val="0008663A"/>
    <w:rsid w:val="00096D0D"/>
    <w:rsid w:val="00097F97"/>
    <w:rsid w:val="000A3F00"/>
    <w:rsid w:val="000A61CD"/>
    <w:rsid w:val="000B4CA6"/>
    <w:rsid w:val="000C00C4"/>
    <w:rsid w:val="000D2B24"/>
    <w:rsid w:val="000E0BAC"/>
    <w:rsid w:val="000E56CA"/>
    <w:rsid w:val="000E6991"/>
    <w:rsid w:val="000F0F91"/>
    <w:rsid w:val="000F28B7"/>
    <w:rsid w:val="000F2BBC"/>
    <w:rsid w:val="00116689"/>
    <w:rsid w:val="001171D0"/>
    <w:rsid w:val="00136F58"/>
    <w:rsid w:val="00141294"/>
    <w:rsid w:val="00141AEF"/>
    <w:rsid w:val="00147494"/>
    <w:rsid w:val="0015566C"/>
    <w:rsid w:val="00157520"/>
    <w:rsid w:val="0016696B"/>
    <w:rsid w:val="00180C67"/>
    <w:rsid w:val="0018368F"/>
    <w:rsid w:val="001A18F5"/>
    <w:rsid w:val="001A2BC9"/>
    <w:rsid w:val="001B3EEF"/>
    <w:rsid w:val="001B4D31"/>
    <w:rsid w:val="001C2709"/>
    <w:rsid w:val="001D1935"/>
    <w:rsid w:val="001D2FA2"/>
    <w:rsid w:val="001D6960"/>
    <w:rsid w:val="001E09EC"/>
    <w:rsid w:val="001E31FF"/>
    <w:rsid w:val="001F014F"/>
    <w:rsid w:val="001F69EF"/>
    <w:rsid w:val="00205E93"/>
    <w:rsid w:val="00206DB8"/>
    <w:rsid w:val="002109D0"/>
    <w:rsid w:val="002169EA"/>
    <w:rsid w:val="00224AFB"/>
    <w:rsid w:val="00227621"/>
    <w:rsid w:val="00233148"/>
    <w:rsid w:val="00236EAE"/>
    <w:rsid w:val="002451E3"/>
    <w:rsid w:val="0025231C"/>
    <w:rsid w:val="002537CE"/>
    <w:rsid w:val="00260F4D"/>
    <w:rsid w:val="00262540"/>
    <w:rsid w:val="002746F0"/>
    <w:rsid w:val="00277D30"/>
    <w:rsid w:val="00281271"/>
    <w:rsid w:val="0028498E"/>
    <w:rsid w:val="0028795F"/>
    <w:rsid w:val="00294D64"/>
    <w:rsid w:val="00294FDC"/>
    <w:rsid w:val="002B4124"/>
    <w:rsid w:val="002B7DD0"/>
    <w:rsid w:val="002D3372"/>
    <w:rsid w:val="002D383C"/>
    <w:rsid w:val="002D448C"/>
    <w:rsid w:val="002D6DB2"/>
    <w:rsid w:val="002E30F0"/>
    <w:rsid w:val="002F13C1"/>
    <w:rsid w:val="002F5A9C"/>
    <w:rsid w:val="003015AB"/>
    <w:rsid w:val="00303458"/>
    <w:rsid w:val="003037FA"/>
    <w:rsid w:val="00304FD7"/>
    <w:rsid w:val="00305E26"/>
    <w:rsid w:val="00306042"/>
    <w:rsid w:val="00317A8F"/>
    <w:rsid w:val="00320498"/>
    <w:rsid w:val="003270D7"/>
    <w:rsid w:val="003303ED"/>
    <w:rsid w:val="00333E6D"/>
    <w:rsid w:val="00337EA0"/>
    <w:rsid w:val="00346FE9"/>
    <w:rsid w:val="003514C1"/>
    <w:rsid w:val="00360C39"/>
    <w:rsid w:val="00365DEB"/>
    <w:rsid w:val="00366811"/>
    <w:rsid w:val="00367D9B"/>
    <w:rsid w:val="00370F34"/>
    <w:rsid w:val="00374127"/>
    <w:rsid w:val="0038154D"/>
    <w:rsid w:val="00384193"/>
    <w:rsid w:val="003843C8"/>
    <w:rsid w:val="00387F73"/>
    <w:rsid w:val="00393DE8"/>
    <w:rsid w:val="003A1158"/>
    <w:rsid w:val="003A1232"/>
    <w:rsid w:val="003A2F38"/>
    <w:rsid w:val="003A3F3A"/>
    <w:rsid w:val="003A6909"/>
    <w:rsid w:val="003B28B2"/>
    <w:rsid w:val="003B4692"/>
    <w:rsid w:val="003B672B"/>
    <w:rsid w:val="003C2356"/>
    <w:rsid w:val="003E1166"/>
    <w:rsid w:val="003E1557"/>
    <w:rsid w:val="003E4796"/>
    <w:rsid w:val="003E689E"/>
    <w:rsid w:val="003E7BF8"/>
    <w:rsid w:val="003F66B6"/>
    <w:rsid w:val="00403FA2"/>
    <w:rsid w:val="00413E8E"/>
    <w:rsid w:val="00431735"/>
    <w:rsid w:val="00434445"/>
    <w:rsid w:val="00440EC3"/>
    <w:rsid w:val="00443B7A"/>
    <w:rsid w:val="00445EF3"/>
    <w:rsid w:val="00452B3F"/>
    <w:rsid w:val="00453385"/>
    <w:rsid w:val="00455804"/>
    <w:rsid w:val="0045621F"/>
    <w:rsid w:val="0046665F"/>
    <w:rsid w:val="00471613"/>
    <w:rsid w:val="00474533"/>
    <w:rsid w:val="00474BDE"/>
    <w:rsid w:val="004750E4"/>
    <w:rsid w:val="00485559"/>
    <w:rsid w:val="0048726E"/>
    <w:rsid w:val="00490865"/>
    <w:rsid w:val="004A03F0"/>
    <w:rsid w:val="004A1E22"/>
    <w:rsid w:val="004A55C8"/>
    <w:rsid w:val="004B58A3"/>
    <w:rsid w:val="004C35A6"/>
    <w:rsid w:val="004C4C26"/>
    <w:rsid w:val="004D3D59"/>
    <w:rsid w:val="004D54CB"/>
    <w:rsid w:val="004D707A"/>
    <w:rsid w:val="004F1926"/>
    <w:rsid w:val="004F31CF"/>
    <w:rsid w:val="004F4601"/>
    <w:rsid w:val="004F4670"/>
    <w:rsid w:val="004F71C3"/>
    <w:rsid w:val="0050695D"/>
    <w:rsid w:val="00507026"/>
    <w:rsid w:val="00510AB8"/>
    <w:rsid w:val="00514AF2"/>
    <w:rsid w:val="0051631C"/>
    <w:rsid w:val="00531763"/>
    <w:rsid w:val="00535015"/>
    <w:rsid w:val="00535EB5"/>
    <w:rsid w:val="005421A2"/>
    <w:rsid w:val="00545916"/>
    <w:rsid w:val="005531CA"/>
    <w:rsid w:val="005550B7"/>
    <w:rsid w:val="005629AE"/>
    <w:rsid w:val="0056651E"/>
    <w:rsid w:val="005735AF"/>
    <w:rsid w:val="00591660"/>
    <w:rsid w:val="00595F09"/>
    <w:rsid w:val="005A0B0C"/>
    <w:rsid w:val="005A6FEF"/>
    <w:rsid w:val="005B0D2F"/>
    <w:rsid w:val="005B2974"/>
    <w:rsid w:val="005B2EC2"/>
    <w:rsid w:val="005B53DE"/>
    <w:rsid w:val="005B7D35"/>
    <w:rsid w:val="005C41F1"/>
    <w:rsid w:val="005C49AC"/>
    <w:rsid w:val="005C7C42"/>
    <w:rsid w:val="005D2098"/>
    <w:rsid w:val="005D4856"/>
    <w:rsid w:val="005F18DE"/>
    <w:rsid w:val="005F1EB6"/>
    <w:rsid w:val="005F7787"/>
    <w:rsid w:val="006038E0"/>
    <w:rsid w:val="00606C95"/>
    <w:rsid w:val="006102CA"/>
    <w:rsid w:val="00612079"/>
    <w:rsid w:val="00614D96"/>
    <w:rsid w:val="0061696E"/>
    <w:rsid w:val="00632158"/>
    <w:rsid w:val="00637437"/>
    <w:rsid w:val="00642305"/>
    <w:rsid w:val="0065147F"/>
    <w:rsid w:val="0065161D"/>
    <w:rsid w:val="006612BE"/>
    <w:rsid w:val="0067472A"/>
    <w:rsid w:val="00680AFF"/>
    <w:rsid w:val="00681A08"/>
    <w:rsid w:val="00687036"/>
    <w:rsid w:val="0068752D"/>
    <w:rsid w:val="00690DAC"/>
    <w:rsid w:val="00695F27"/>
    <w:rsid w:val="00697FFA"/>
    <w:rsid w:val="006A29B1"/>
    <w:rsid w:val="006A6DFE"/>
    <w:rsid w:val="006C387E"/>
    <w:rsid w:val="006C6C12"/>
    <w:rsid w:val="006D21FB"/>
    <w:rsid w:val="006D23E9"/>
    <w:rsid w:val="006D2BF3"/>
    <w:rsid w:val="006D635E"/>
    <w:rsid w:val="006E6926"/>
    <w:rsid w:val="006F0209"/>
    <w:rsid w:val="006F39D9"/>
    <w:rsid w:val="00700321"/>
    <w:rsid w:val="00702AF3"/>
    <w:rsid w:val="00703CD1"/>
    <w:rsid w:val="00705D2F"/>
    <w:rsid w:val="00706893"/>
    <w:rsid w:val="00706F09"/>
    <w:rsid w:val="00711926"/>
    <w:rsid w:val="00712833"/>
    <w:rsid w:val="00716FAE"/>
    <w:rsid w:val="00720B93"/>
    <w:rsid w:val="00722823"/>
    <w:rsid w:val="00725C47"/>
    <w:rsid w:val="007304A7"/>
    <w:rsid w:val="00730FD2"/>
    <w:rsid w:val="007556D4"/>
    <w:rsid w:val="0076046F"/>
    <w:rsid w:val="0076087C"/>
    <w:rsid w:val="00765E32"/>
    <w:rsid w:val="007755FF"/>
    <w:rsid w:val="00785FF3"/>
    <w:rsid w:val="007966B7"/>
    <w:rsid w:val="007A53F4"/>
    <w:rsid w:val="007B0F3E"/>
    <w:rsid w:val="007B7717"/>
    <w:rsid w:val="007C40E0"/>
    <w:rsid w:val="007C638C"/>
    <w:rsid w:val="007D1D7B"/>
    <w:rsid w:val="007D7F90"/>
    <w:rsid w:val="007E3FAE"/>
    <w:rsid w:val="007F1BFA"/>
    <w:rsid w:val="007F2FC6"/>
    <w:rsid w:val="0080148E"/>
    <w:rsid w:val="00810D04"/>
    <w:rsid w:val="00813D57"/>
    <w:rsid w:val="008154AB"/>
    <w:rsid w:val="00825EB5"/>
    <w:rsid w:val="00830BE5"/>
    <w:rsid w:val="008357CC"/>
    <w:rsid w:val="00836E1E"/>
    <w:rsid w:val="0084370E"/>
    <w:rsid w:val="00844395"/>
    <w:rsid w:val="0084665F"/>
    <w:rsid w:val="00852FC9"/>
    <w:rsid w:val="008563DF"/>
    <w:rsid w:val="00862D66"/>
    <w:rsid w:val="00866BB2"/>
    <w:rsid w:val="00867863"/>
    <w:rsid w:val="008726AB"/>
    <w:rsid w:val="008807EC"/>
    <w:rsid w:val="00884B91"/>
    <w:rsid w:val="00897A46"/>
    <w:rsid w:val="008A3CA0"/>
    <w:rsid w:val="008A4F48"/>
    <w:rsid w:val="008C0732"/>
    <w:rsid w:val="008C09AB"/>
    <w:rsid w:val="008D5518"/>
    <w:rsid w:val="008D5D0E"/>
    <w:rsid w:val="008E7B95"/>
    <w:rsid w:val="008F081A"/>
    <w:rsid w:val="00906575"/>
    <w:rsid w:val="00911E25"/>
    <w:rsid w:val="00917268"/>
    <w:rsid w:val="00920F26"/>
    <w:rsid w:val="009348DC"/>
    <w:rsid w:val="00944AF5"/>
    <w:rsid w:val="00947C43"/>
    <w:rsid w:val="00975AB5"/>
    <w:rsid w:val="009848A1"/>
    <w:rsid w:val="00986C97"/>
    <w:rsid w:val="009A78CF"/>
    <w:rsid w:val="009B1CB1"/>
    <w:rsid w:val="009B4557"/>
    <w:rsid w:val="009B4C4D"/>
    <w:rsid w:val="009D1DAF"/>
    <w:rsid w:val="009D4098"/>
    <w:rsid w:val="009D691B"/>
    <w:rsid w:val="009E2623"/>
    <w:rsid w:val="009E46E1"/>
    <w:rsid w:val="009F68C9"/>
    <w:rsid w:val="00A024B5"/>
    <w:rsid w:val="00A06790"/>
    <w:rsid w:val="00A0769D"/>
    <w:rsid w:val="00A07B69"/>
    <w:rsid w:val="00A10054"/>
    <w:rsid w:val="00A1028A"/>
    <w:rsid w:val="00A10CA7"/>
    <w:rsid w:val="00A12867"/>
    <w:rsid w:val="00A30100"/>
    <w:rsid w:val="00A317E7"/>
    <w:rsid w:val="00A435DA"/>
    <w:rsid w:val="00A45F13"/>
    <w:rsid w:val="00A57485"/>
    <w:rsid w:val="00A57645"/>
    <w:rsid w:val="00A71B3C"/>
    <w:rsid w:val="00A73CE4"/>
    <w:rsid w:val="00A82BFB"/>
    <w:rsid w:val="00A83CB7"/>
    <w:rsid w:val="00A867FF"/>
    <w:rsid w:val="00A91804"/>
    <w:rsid w:val="00A919B2"/>
    <w:rsid w:val="00A91FED"/>
    <w:rsid w:val="00AA05F2"/>
    <w:rsid w:val="00AA2EB3"/>
    <w:rsid w:val="00AA6318"/>
    <w:rsid w:val="00AB04D0"/>
    <w:rsid w:val="00AC7875"/>
    <w:rsid w:val="00AD18A0"/>
    <w:rsid w:val="00AD7229"/>
    <w:rsid w:val="00AD7DEF"/>
    <w:rsid w:val="00B02BCB"/>
    <w:rsid w:val="00B039F0"/>
    <w:rsid w:val="00B041AA"/>
    <w:rsid w:val="00B05FB9"/>
    <w:rsid w:val="00B13516"/>
    <w:rsid w:val="00B23BFC"/>
    <w:rsid w:val="00B245DF"/>
    <w:rsid w:val="00B24B9B"/>
    <w:rsid w:val="00B33FED"/>
    <w:rsid w:val="00B349E9"/>
    <w:rsid w:val="00B36EFD"/>
    <w:rsid w:val="00B378D7"/>
    <w:rsid w:val="00B41F27"/>
    <w:rsid w:val="00B4628F"/>
    <w:rsid w:val="00B54E1B"/>
    <w:rsid w:val="00B552D5"/>
    <w:rsid w:val="00B60F2A"/>
    <w:rsid w:val="00B621ED"/>
    <w:rsid w:val="00B62CE7"/>
    <w:rsid w:val="00B62FBB"/>
    <w:rsid w:val="00B6682D"/>
    <w:rsid w:val="00B83C00"/>
    <w:rsid w:val="00B84FDD"/>
    <w:rsid w:val="00B90C1B"/>
    <w:rsid w:val="00B91E2F"/>
    <w:rsid w:val="00B94C87"/>
    <w:rsid w:val="00B96700"/>
    <w:rsid w:val="00B97313"/>
    <w:rsid w:val="00BA1FBA"/>
    <w:rsid w:val="00BA6B14"/>
    <w:rsid w:val="00BB331F"/>
    <w:rsid w:val="00BB3F15"/>
    <w:rsid w:val="00BB5BF3"/>
    <w:rsid w:val="00BC63B4"/>
    <w:rsid w:val="00BE63C4"/>
    <w:rsid w:val="00BE76B7"/>
    <w:rsid w:val="00BF3BC8"/>
    <w:rsid w:val="00C02631"/>
    <w:rsid w:val="00C101D2"/>
    <w:rsid w:val="00C10C85"/>
    <w:rsid w:val="00C14742"/>
    <w:rsid w:val="00C223C1"/>
    <w:rsid w:val="00C22924"/>
    <w:rsid w:val="00C40F46"/>
    <w:rsid w:val="00C41C65"/>
    <w:rsid w:val="00C42193"/>
    <w:rsid w:val="00C4272C"/>
    <w:rsid w:val="00C4546E"/>
    <w:rsid w:val="00C57057"/>
    <w:rsid w:val="00C65CD5"/>
    <w:rsid w:val="00C73259"/>
    <w:rsid w:val="00C834F1"/>
    <w:rsid w:val="00C91C25"/>
    <w:rsid w:val="00C96A1D"/>
    <w:rsid w:val="00CA24DF"/>
    <w:rsid w:val="00CA61D1"/>
    <w:rsid w:val="00CA6AC7"/>
    <w:rsid w:val="00CC4436"/>
    <w:rsid w:val="00CE40F2"/>
    <w:rsid w:val="00CE76B9"/>
    <w:rsid w:val="00CF2BDB"/>
    <w:rsid w:val="00CF33E6"/>
    <w:rsid w:val="00CF7D55"/>
    <w:rsid w:val="00D11765"/>
    <w:rsid w:val="00D248B1"/>
    <w:rsid w:val="00D25197"/>
    <w:rsid w:val="00D26207"/>
    <w:rsid w:val="00D31583"/>
    <w:rsid w:val="00D50F83"/>
    <w:rsid w:val="00D609B5"/>
    <w:rsid w:val="00D73D41"/>
    <w:rsid w:val="00D767D1"/>
    <w:rsid w:val="00D77387"/>
    <w:rsid w:val="00D8061F"/>
    <w:rsid w:val="00D924B4"/>
    <w:rsid w:val="00D95419"/>
    <w:rsid w:val="00DA3C0E"/>
    <w:rsid w:val="00DB3617"/>
    <w:rsid w:val="00DC14C9"/>
    <w:rsid w:val="00DC1F76"/>
    <w:rsid w:val="00DC4D22"/>
    <w:rsid w:val="00DC5C32"/>
    <w:rsid w:val="00DD30D3"/>
    <w:rsid w:val="00DF2B6A"/>
    <w:rsid w:val="00DF38CE"/>
    <w:rsid w:val="00E01C06"/>
    <w:rsid w:val="00E04FC0"/>
    <w:rsid w:val="00E05EA2"/>
    <w:rsid w:val="00E1378E"/>
    <w:rsid w:val="00E33441"/>
    <w:rsid w:val="00E361FB"/>
    <w:rsid w:val="00E4407B"/>
    <w:rsid w:val="00E566D3"/>
    <w:rsid w:val="00E658A7"/>
    <w:rsid w:val="00E674AE"/>
    <w:rsid w:val="00E67511"/>
    <w:rsid w:val="00E7264C"/>
    <w:rsid w:val="00E72FA1"/>
    <w:rsid w:val="00E7721B"/>
    <w:rsid w:val="00E81975"/>
    <w:rsid w:val="00E86CDD"/>
    <w:rsid w:val="00E94A52"/>
    <w:rsid w:val="00E95AB4"/>
    <w:rsid w:val="00E96230"/>
    <w:rsid w:val="00EA7BEF"/>
    <w:rsid w:val="00EB00CF"/>
    <w:rsid w:val="00EB106D"/>
    <w:rsid w:val="00EB562D"/>
    <w:rsid w:val="00EC1560"/>
    <w:rsid w:val="00EC4A34"/>
    <w:rsid w:val="00EC7225"/>
    <w:rsid w:val="00ED1258"/>
    <w:rsid w:val="00ED29A7"/>
    <w:rsid w:val="00ED4E46"/>
    <w:rsid w:val="00EE4065"/>
    <w:rsid w:val="00F0251D"/>
    <w:rsid w:val="00F11224"/>
    <w:rsid w:val="00F23A52"/>
    <w:rsid w:val="00F23F5B"/>
    <w:rsid w:val="00F2664E"/>
    <w:rsid w:val="00F26966"/>
    <w:rsid w:val="00F2779A"/>
    <w:rsid w:val="00F35D1A"/>
    <w:rsid w:val="00F40FD3"/>
    <w:rsid w:val="00F5244C"/>
    <w:rsid w:val="00F52C1E"/>
    <w:rsid w:val="00F8709E"/>
    <w:rsid w:val="00F94236"/>
    <w:rsid w:val="00FA5568"/>
    <w:rsid w:val="00FA693B"/>
    <w:rsid w:val="00FB2D8E"/>
    <w:rsid w:val="00FC0DEC"/>
    <w:rsid w:val="00FC376D"/>
    <w:rsid w:val="00FC63C9"/>
    <w:rsid w:val="00FE3A8C"/>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2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A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tl">
    <w:name w:val="a_tl"/>
    <w:basedOn w:val="Fontdeparagrafimplicit"/>
    <w:rsid w:val="00CF7D55"/>
  </w:style>
  <w:style w:type="character" w:customStyle="1" w:styleId="alb">
    <w:name w:val="a_lb"/>
    <w:basedOn w:val="Fontdeparagrafimplicit"/>
    <w:rsid w:val="00CF7D55"/>
  </w:style>
  <w:style w:type="paragraph" w:styleId="NormalWeb">
    <w:name w:val="Normal (Web)"/>
    <w:basedOn w:val="Normal"/>
    <w:uiPriority w:val="99"/>
    <w:semiHidden/>
    <w:unhideWhenUsed/>
    <w:rsid w:val="001D1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char">
    <w:name w:val="boldchar"/>
    <w:basedOn w:val="Fontdeparagrafimplicit"/>
    <w:rsid w:val="001D1935"/>
  </w:style>
  <w:style w:type="paragraph" w:styleId="Textnotdesubsol">
    <w:name w:val="footnote text"/>
    <w:aliases w:val="GCLC FOOTNOTE,S_footer,Car"/>
    <w:basedOn w:val="Normal"/>
    <w:link w:val="TextnotdesubsolCaracter"/>
    <w:unhideWhenUsed/>
    <w:rsid w:val="003A6909"/>
    <w:pPr>
      <w:spacing w:after="0" w:line="240" w:lineRule="auto"/>
    </w:pPr>
    <w:rPr>
      <w:sz w:val="20"/>
      <w:szCs w:val="20"/>
    </w:rPr>
  </w:style>
  <w:style w:type="character" w:customStyle="1" w:styleId="TextnotdesubsolCaracter">
    <w:name w:val="Text notă de subsol Caracter"/>
    <w:aliases w:val="GCLC FOOTNOTE Caracter,S_footer Caracter,Car Caracter"/>
    <w:basedOn w:val="Fontdeparagrafimplicit"/>
    <w:link w:val="Textnotdesubsol"/>
    <w:rsid w:val="003A6909"/>
    <w:rPr>
      <w:sz w:val="20"/>
      <w:szCs w:val="20"/>
    </w:rPr>
  </w:style>
  <w:style w:type="character" w:styleId="Referinnotdesubsol">
    <w:name w:val="footnote reference"/>
    <w:basedOn w:val="Fontdeparagrafimplicit"/>
    <w:unhideWhenUsed/>
    <w:rsid w:val="003A6909"/>
    <w:rPr>
      <w:vertAlign w:val="superscript"/>
    </w:rPr>
  </w:style>
  <w:style w:type="character" w:styleId="Hyperlink">
    <w:name w:val="Hyperlink"/>
    <w:basedOn w:val="Fontdeparagrafimplicit"/>
    <w:uiPriority w:val="99"/>
    <w:unhideWhenUsed/>
    <w:rsid w:val="003A6909"/>
    <w:rPr>
      <w:color w:val="0563C1" w:themeColor="hyperlink"/>
      <w:u w:val="single"/>
    </w:rPr>
  </w:style>
  <w:style w:type="character" w:customStyle="1" w:styleId="UnresolvedMention1">
    <w:name w:val="Unresolved Mention1"/>
    <w:basedOn w:val="Fontdeparagrafimplicit"/>
    <w:uiPriority w:val="99"/>
    <w:semiHidden/>
    <w:unhideWhenUsed/>
    <w:rsid w:val="003A6909"/>
    <w:rPr>
      <w:color w:val="605E5C"/>
      <w:shd w:val="clear" w:color="auto" w:fill="E1DFDD"/>
    </w:rPr>
  </w:style>
  <w:style w:type="paragraph" w:styleId="Listparagraf">
    <w:name w:val="List Paragraph"/>
    <w:basedOn w:val="Normal"/>
    <w:uiPriority w:val="34"/>
    <w:qFormat/>
    <w:rsid w:val="00DC1F76"/>
    <w:pPr>
      <w:ind w:left="720"/>
      <w:contextualSpacing/>
    </w:pPr>
  </w:style>
  <w:style w:type="character" w:styleId="Referincomentariu">
    <w:name w:val="annotation reference"/>
    <w:basedOn w:val="Fontdeparagrafimplicit"/>
    <w:uiPriority w:val="99"/>
    <w:semiHidden/>
    <w:unhideWhenUsed/>
    <w:rsid w:val="00B23BFC"/>
    <w:rPr>
      <w:sz w:val="16"/>
      <w:szCs w:val="16"/>
    </w:rPr>
  </w:style>
  <w:style w:type="paragraph" w:styleId="Textcomentariu">
    <w:name w:val="annotation text"/>
    <w:basedOn w:val="Normal"/>
    <w:link w:val="TextcomentariuCaracter"/>
    <w:uiPriority w:val="99"/>
    <w:semiHidden/>
    <w:unhideWhenUsed/>
    <w:rsid w:val="00B23BF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23BFC"/>
    <w:rPr>
      <w:sz w:val="20"/>
      <w:szCs w:val="20"/>
    </w:rPr>
  </w:style>
  <w:style w:type="paragraph" w:styleId="SubiectComentariu">
    <w:name w:val="annotation subject"/>
    <w:basedOn w:val="Textcomentariu"/>
    <w:next w:val="Textcomentariu"/>
    <w:link w:val="SubiectComentariuCaracter"/>
    <w:uiPriority w:val="99"/>
    <w:semiHidden/>
    <w:unhideWhenUsed/>
    <w:rsid w:val="00B23BFC"/>
    <w:rPr>
      <w:b/>
      <w:bCs/>
    </w:rPr>
  </w:style>
  <w:style w:type="character" w:customStyle="1" w:styleId="SubiectComentariuCaracter">
    <w:name w:val="Subiect Comentariu Caracter"/>
    <w:basedOn w:val="TextcomentariuCaracter"/>
    <w:link w:val="SubiectComentariu"/>
    <w:uiPriority w:val="99"/>
    <w:semiHidden/>
    <w:rsid w:val="00B23BFC"/>
    <w:rPr>
      <w:b/>
      <w:bCs/>
      <w:sz w:val="20"/>
      <w:szCs w:val="20"/>
    </w:rPr>
  </w:style>
  <w:style w:type="paragraph" w:styleId="TextnBalon">
    <w:name w:val="Balloon Text"/>
    <w:basedOn w:val="Normal"/>
    <w:link w:val="TextnBalonCaracter"/>
    <w:uiPriority w:val="99"/>
    <w:semiHidden/>
    <w:unhideWhenUsed/>
    <w:rsid w:val="00CA61D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61D1"/>
    <w:rPr>
      <w:rFonts w:ascii="Segoe UI" w:hAnsi="Segoe UI" w:cs="Segoe UI"/>
      <w:sz w:val="18"/>
      <w:szCs w:val="18"/>
    </w:rPr>
  </w:style>
  <w:style w:type="character" w:styleId="Accentuat">
    <w:name w:val="Emphasis"/>
    <w:basedOn w:val="Fontdeparagrafimplicit"/>
    <w:uiPriority w:val="20"/>
    <w:qFormat/>
    <w:rsid w:val="00810D04"/>
    <w:rPr>
      <w:i/>
      <w:iCs/>
    </w:rPr>
  </w:style>
  <w:style w:type="paragraph" w:styleId="Antet">
    <w:name w:val="header"/>
    <w:basedOn w:val="Normal"/>
    <w:link w:val="AntetCaracter"/>
    <w:uiPriority w:val="99"/>
    <w:unhideWhenUsed/>
    <w:rsid w:val="008154A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15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A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tl">
    <w:name w:val="a_tl"/>
    <w:basedOn w:val="Fontdeparagrafimplicit"/>
    <w:rsid w:val="00CF7D55"/>
  </w:style>
  <w:style w:type="character" w:customStyle="1" w:styleId="alb">
    <w:name w:val="a_lb"/>
    <w:basedOn w:val="Fontdeparagrafimplicit"/>
    <w:rsid w:val="00CF7D55"/>
  </w:style>
  <w:style w:type="paragraph" w:styleId="NormalWeb">
    <w:name w:val="Normal (Web)"/>
    <w:basedOn w:val="Normal"/>
    <w:uiPriority w:val="99"/>
    <w:semiHidden/>
    <w:unhideWhenUsed/>
    <w:rsid w:val="001D1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char">
    <w:name w:val="boldchar"/>
    <w:basedOn w:val="Fontdeparagrafimplicit"/>
    <w:rsid w:val="001D1935"/>
  </w:style>
  <w:style w:type="paragraph" w:styleId="Textnotdesubsol">
    <w:name w:val="footnote text"/>
    <w:aliases w:val="GCLC FOOTNOTE,S_footer,Car"/>
    <w:basedOn w:val="Normal"/>
    <w:link w:val="TextnotdesubsolCaracter"/>
    <w:unhideWhenUsed/>
    <w:rsid w:val="003A6909"/>
    <w:pPr>
      <w:spacing w:after="0" w:line="240" w:lineRule="auto"/>
    </w:pPr>
    <w:rPr>
      <w:sz w:val="20"/>
      <w:szCs w:val="20"/>
    </w:rPr>
  </w:style>
  <w:style w:type="character" w:customStyle="1" w:styleId="TextnotdesubsolCaracter">
    <w:name w:val="Text notă de subsol Caracter"/>
    <w:aliases w:val="GCLC FOOTNOTE Caracter,S_footer Caracter,Car Caracter"/>
    <w:basedOn w:val="Fontdeparagrafimplicit"/>
    <w:link w:val="Textnotdesubsol"/>
    <w:rsid w:val="003A6909"/>
    <w:rPr>
      <w:sz w:val="20"/>
      <w:szCs w:val="20"/>
    </w:rPr>
  </w:style>
  <w:style w:type="character" w:styleId="Referinnotdesubsol">
    <w:name w:val="footnote reference"/>
    <w:basedOn w:val="Fontdeparagrafimplicit"/>
    <w:unhideWhenUsed/>
    <w:rsid w:val="003A6909"/>
    <w:rPr>
      <w:vertAlign w:val="superscript"/>
    </w:rPr>
  </w:style>
  <w:style w:type="character" w:styleId="Hyperlink">
    <w:name w:val="Hyperlink"/>
    <w:basedOn w:val="Fontdeparagrafimplicit"/>
    <w:uiPriority w:val="99"/>
    <w:unhideWhenUsed/>
    <w:rsid w:val="003A6909"/>
    <w:rPr>
      <w:color w:val="0563C1" w:themeColor="hyperlink"/>
      <w:u w:val="single"/>
    </w:rPr>
  </w:style>
  <w:style w:type="character" w:customStyle="1" w:styleId="UnresolvedMention1">
    <w:name w:val="Unresolved Mention1"/>
    <w:basedOn w:val="Fontdeparagrafimplicit"/>
    <w:uiPriority w:val="99"/>
    <w:semiHidden/>
    <w:unhideWhenUsed/>
    <w:rsid w:val="003A6909"/>
    <w:rPr>
      <w:color w:val="605E5C"/>
      <w:shd w:val="clear" w:color="auto" w:fill="E1DFDD"/>
    </w:rPr>
  </w:style>
  <w:style w:type="paragraph" w:styleId="Listparagraf">
    <w:name w:val="List Paragraph"/>
    <w:basedOn w:val="Normal"/>
    <w:uiPriority w:val="34"/>
    <w:qFormat/>
    <w:rsid w:val="00DC1F76"/>
    <w:pPr>
      <w:ind w:left="720"/>
      <w:contextualSpacing/>
    </w:pPr>
  </w:style>
  <w:style w:type="character" w:styleId="Referincomentariu">
    <w:name w:val="annotation reference"/>
    <w:basedOn w:val="Fontdeparagrafimplicit"/>
    <w:uiPriority w:val="99"/>
    <w:semiHidden/>
    <w:unhideWhenUsed/>
    <w:rsid w:val="00B23BFC"/>
    <w:rPr>
      <w:sz w:val="16"/>
      <w:szCs w:val="16"/>
    </w:rPr>
  </w:style>
  <w:style w:type="paragraph" w:styleId="Textcomentariu">
    <w:name w:val="annotation text"/>
    <w:basedOn w:val="Normal"/>
    <w:link w:val="TextcomentariuCaracter"/>
    <w:uiPriority w:val="99"/>
    <w:semiHidden/>
    <w:unhideWhenUsed/>
    <w:rsid w:val="00B23BF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23BFC"/>
    <w:rPr>
      <w:sz w:val="20"/>
      <w:szCs w:val="20"/>
    </w:rPr>
  </w:style>
  <w:style w:type="paragraph" w:styleId="SubiectComentariu">
    <w:name w:val="annotation subject"/>
    <w:basedOn w:val="Textcomentariu"/>
    <w:next w:val="Textcomentariu"/>
    <w:link w:val="SubiectComentariuCaracter"/>
    <w:uiPriority w:val="99"/>
    <w:semiHidden/>
    <w:unhideWhenUsed/>
    <w:rsid w:val="00B23BFC"/>
    <w:rPr>
      <w:b/>
      <w:bCs/>
    </w:rPr>
  </w:style>
  <w:style w:type="character" w:customStyle="1" w:styleId="SubiectComentariuCaracter">
    <w:name w:val="Subiect Comentariu Caracter"/>
    <w:basedOn w:val="TextcomentariuCaracter"/>
    <w:link w:val="SubiectComentariu"/>
    <w:uiPriority w:val="99"/>
    <w:semiHidden/>
    <w:rsid w:val="00B23BFC"/>
    <w:rPr>
      <w:b/>
      <w:bCs/>
      <w:sz w:val="20"/>
      <w:szCs w:val="20"/>
    </w:rPr>
  </w:style>
  <w:style w:type="paragraph" w:styleId="TextnBalon">
    <w:name w:val="Balloon Text"/>
    <w:basedOn w:val="Normal"/>
    <w:link w:val="TextnBalonCaracter"/>
    <w:uiPriority w:val="99"/>
    <w:semiHidden/>
    <w:unhideWhenUsed/>
    <w:rsid w:val="00CA61D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61D1"/>
    <w:rPr>
      <w:rFonts w:ascii="Segoe UI" w:hAnsi="Segoe UI" w:cs="Segoe UI"/>
      <w:sz w:val="18"/>
      <w:szCs w:val="18"/>
    </w:rPr>
  </w:style>
  <w:style w:type="character" w:styleId="Accentuat">
    <w:name w:val="Emphasis"/>
    <w:basedOn w:val="Fontdeparagrafimplicit"/>
    <w:uiPriority w:val="20"/>
    <w:qFormat/>
    <w:rsid w:val="00810D04"/>
    <w:rPr>
      <w:i/>
      <w:iCs/>
    </w:rPr>
  </w:style>
  <w:style w:type="paragraph" w:styleId="Antet">
    <w:name w:val="header"/>
    <w:basedOn w:val="Normal"/>
    <w:link w:val="AntetCaracter"/>
    <w:uiPriority w:val="99"/>
    <w:unhideWhenUsed/>
    <w:rsid w:val="008154A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1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231">
      <w:bodyDiv w:val="1"/>
      <w:marLeft w:val="0"/>
      <w:marRight w:val="0"/>
      <w:marTop w:val="0"/>
      <w:marBottom w:val="0"/>
      <w:divBdr>
        <w:top w:val="none" w:sz="0" w:space="0" w:color="auto"/>
        <w:left w:val="none" w:sz="0" w:space="0" w:color="auto"/>
        <w:bottom w:val="none" w:sz="0" w:space="0" w:color="auto"/>
        <w:right w:val="none" w:sz="0" w:space="0" w:color="auto"/>
      </w:divBdr>
    </w:div>
    <w:div w:id="836382853">
      <w:bodyDiv w:val="1"/>
      <w:marLeft w:val="0"/>
      <w:marRight w:val="0"/>
      <w:marTop w:val="0"/>
      <w:marBottom w:val="0"/>
      <w:divBdr>
        <w:top w:val="none" w:sz="0" w:space="0" w:color="auto"/>
        <w:left w:val="none" w:sz="0" w:space="0" w:color="auto"/>
        <w:bottom w:val="none" w:sz="0" w:space="0" w:color="auto"/>
        <w:right w:val="none" w:sz="0" w:space="0" w:color="auto"/>
      </w:divBdr>
      <w:divsChild>
        <w:div w:id="349258812">
          <w:marLeft w:val="0"/>
          <w:marRight w:val="0"/>
          <w:marTop w:val="72"/>
          <w:marBottom w:val="0"/>
          <w:divBdr>
            <w:top w:val="none" w:sz="0" w:space="0" w:color="auto"/>
            <w:left w:val="none" w:sz="0" w:space="0" w:color="auto"/>
            <w:bottom w:val="none" w:sz="0" w:space="0" w:color="auto"/>
            <w:right w:val="none" w:sz="0" w:space="0" w:color="auto"/>
          </w:divBdr>
        </w:div>
        <w:div w:id="1603418160">
          <w:marLeft w:val="0"/>
          <w:marRight w:val="0"/>
          <w:marTop w:val="72"/>
          <w:marBottom w:val="0"/>
          <w:divBdr>
            <w:top w:val="none" w:sz="0" w:space="0" w:color="auto"/>
            <w:left w:val="none" w:sz="0" w:space="0" w:color="auto"/>
            <w:bottom w:val="none" w:sz="0" w:space="0" w:color="auto"/>
            <w:right w:val="none" w:sz="0" w:space="0" w:color="auto"/>
          </w:divBdr>
        </w:div>
      </w:divsChild>
    </w:div>
    <w:div w:id="1178033864">
      <w:bodyDiv w:val="1"/>
      <w:marLeft w:val="0"/>
      <w:marRight w:val="0"/>
      <w:marTop w:val="0"/>
      <w:marBottom w:val="0"/>
      <w:divBdr>
        <w:top w:val="none" w:sz="0" w:space="0" w:color="auto"/>
        <w:left w:val="none" w:sz="0" w:space="0" w:color="auto"/>
        <w:bottom w:val="none" w:sz="0" w:space="0" w:color="auto"/>
        <w:right w:val="none" w:sz="0" w:space="0" w:color="auto"/>
      </w:divBdr>
    </w:div>
    <w:div w:id="1272206488">
      <w:bodyDiv w:val="1"/>
      <w:marLeft w:val="0"/>
      <w:marRight w:val="0"/>
      <w:marTop w:val="0"/>
      <w:marBottom w:val="0"/>
      <w:divBdr>
        <w:top w:val="none" w:sz="0" w:space="0" w:color="auto"/>
        <w:left w:val="none" w:sz="0" w:space="0" w:color="auto"/>
        <w:bottom w:val="none" w:sz="0" w:space="0" w:color="auto"/>
        <w:right w:val="none" w:sz="0" w:space="0" w:color="auto"/>
      </w:divBdr>
    </w:div>
    <w:div w:id="1500460560">
      <w:bodyDiv w:val="1"/>
      <w:marLeft w:val="0"/>
      <w:marRight w:val="0"/>
      <w:marTop w:val="0"/>
      <w:marBottom w:val="0"/>
      <w:divBdr>
        <w:top w:val="none" w:sz="0" w:space="0" w:color="auto"/>
        <w:left w:val="none" w:sz="0" w:space="0" w:color="auto"/>
        <w:bottom w:val="none" w:sz="0" w:space="0" w:color="auto"/>
        <w:right w:val="none" w:sz="0" w:space="0" w:color="auto"/>
      </w:divBdr>
      <w:divsChild>
        <w:div w:id="1362628004">
          <w:marLeft w:val="0"/>
          <w:marRight w:val="0"/>
          <w:marTop w:val="72"/>
          <w:marBottom w:val="0"/>
          <w:divBdr>
            <w:top w:val="none" w:sz="0" w:space="0" w:color="auto"/>
            <w:left w:val="none" w:sz="0" w:space="0" w:color="auto"/>
            <w:bottom w:val="none" w:sz="0" w:space="0" w:color="auto"/>
            <w:right w:val="none" w:sz="0" w:space="0" w:color="auto"/>
          </w:divBdr>
        </w:div>
      </w:divsChild>
    </w:div>
    <w:div w:id="19494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2361-0DC3-4398-9829-0B4C0901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1194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Farcau, Mircea-Radu</dc:creator>
  <cp:keywords/>
  <dc:description/>
  <cp:lastModifiedBy>m.cristian.ccm@gmail.com</cp:lastModifiedBy>
  <cp:revision>4</cp:revision>
  <dcterms:created xsi:type="dcterms:W3CDTF">2021-08-13T07:55:00Z</dcterms:created>
  <dcterms:modified xsi:type="dcterms:W3CDTF">2021-08-13T08:53:00Z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2021-08-02T15:08:04Z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bee1dec0-72ce-48ad-806c-4aae92f3992d</vt:lpwstr>
  </property>
  <property fmtid="{D5CDD505-2E9C-101B-9397-08002B2CF9AE}" pid="8" name="MSIP_Label_ea60d57e-af5b-4752-ac57-3e4f28ca11dc_ContentBits">
    <vt:lpwstr>0</vt:lpwstr>
  </property>
</Properties>
</file>