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2990D" w14:textId="77777777" w:rsidR="00A87433" w:rsidRDefault="00ED74F4" w:rsidP="00ED74F4">
      <w:pPr>
        <w:pStyle w:val="Heading1"/>
        <w:spacing w:line="276" w:lineRule="auto"/>
        <w:jc w:val="center"/>
        <w:divId w:val="1981373464"/>
        <w:rPr>
          <w:rFonts w:ascii="Trebuchet MS" w:eastAsia="Times New Roman" w:hAnsi="Trebuchet MS" w:cs="Arial"/>
          <w:b/>
          <w:bCs/>
          <w:color w:val="auto"/>
          <w:sz w:val="22"/>
          <w:szCs w:val="22"/>
        </w:rPr>
      </w:pPr>
      <w:r w:rsidRPr="00554001">
        <w:rPr>
          <w:rFonts w:ascii="Trebuchet MS" w:eastAsia="Times New Roman" w:hAnsi="Trebuchet MS" w:cs="Arial"/>
          <w:b/>
          <w:bCs/>
          <w:color w:val="auto"/>
          <w:sz w:val="22"/>
          <w:szCs w:val="22"/>
        </w:rPr>
        <w:t>Hotărâre a Guvernului pentru</w:t>
      </w:r>
    </w:p>
    <w:p w14:paraId="457D15F1" w14:textId="6ABF9504" w:rsidR="00A87433" w:rsidRDefault="00ED74F4" w:rsidP="00ED74F4">
      <w:pPr>
        <w:pStyle w:val="Heading1"/>
        <w:spacing w:line="276" w:lineRule="auto"/>
        <w:jc w:val="center"/>
        <w:divId w:val="1981373464"/>
        <w:rPr>
          <w:rFonts w:ascii="Trebuchet MS" w:eastAsia="Times New Roman" w:hAnsi="Trebuchet MS" w:cs="Arial"/>
          <w:b/>
          <w:bCs/>
          <w:color w:val="auto"/>
          <w:sz w:val="22"/>
          <w:szCs w:val="22"/>
        </w:rPr>
      </w:pPr>
      <w:r w:rsidRPr="00554001">
        <w:rPr>
          <w:rFonts w:ascii="Trebuchet MS" w:eastAsia="Times New Roman" w:hAnsi="Trebuchet MS" w:cs="Arial"/>
          <w:b/>
          <w:bCs/>
          <w:color w:val="auto"/>
          <w:sz w:val="22"/>
          <w:szCs w:val="22"/>
        </w:rPr>
        <w:t>modificarea și completarea Hotărârii Guvernului nr. 368/1998 privind înființarea</w:t>
      </w:r>
    </w:p>
    <w:p w14:paraId="7B8E2D86" w14:textId="52C4ABD2" w:rsidR="00BC30D2" w:rsidRPr="00554001" w:rsidRDefault="00ED74F4" w:rsidP="00ED74F4">
      <w:pPr>
        <w:pStyle w:val="Heading1"/>
        <w:spacing w:line="276" w:lineRule="auto"/>
        <w:jc w:val="center"/>
        <w:divId w:val="1981373464"/>
        <w:rPr>
          <w:rFonts w:ascii="Trebuchet MS" w:eastAsia="Times New Roman" w:hAnsi="Trebuchet MS" w:cs="Arial"/>
          <w:b/>
          <w:bCs/>
          <w:color w:val="auto"/>
          <w:sz w:val="22"/>
          <w:szCs w:val="22"/>
        </w:rPr>
      </w:pPr>
      <w:bookmarkStart w:id="0" w:name="_GoBack"/>
      <w:bookmarkEnd w:id="0"/>
      <w:r w:rsidRPr="00554001">
        <w:rPr>
          <w:rFonts w:ascii="Trebuchet MS" w:eastAsia="Times New Roman" w:hAnsi="Trebuchet MS" w:cs="Arial"/>
          <w:b/>
          <w:bCs/>
          <w:color w:val="auto"/>
          <w:sz w:val="22"/>
          <w:szCs w:val="22"/>
        </w:rPr>
        <w:t>Institutului Național de Expertize Criminalistice - I.N.E.C.</w:t>
      </w:r>
    </w:p>
    <w:p w14:paraId="52CA3012" w14:textId="11828FA1" w:rsidR="00BC30D2" w:rsidRPr="00554001" w:rsidRDefault="00C81E16" w:rsidP="008E3406">
      <w:pPr>
        <w:pStyle w:val="al"/>
        <w:spacing w:line="276" w:lineRule="auto"/>
        <w:rPr>
          <w:rFonts w:ascii="Trebuchet MS" w:hAnsi="Trebuchet MS" w:cs="Arial"/>
          <w:sz w:val="22"/>
          <w:szCs w:val="22"/>
        </w:rPr>
      </w:pPr>
      <w:r w:rsidRPr="00554001">
        <w:rPr>
          <w:rFonts w:ascii="Trebuchet MS" w:hAnsi="Trebuchet MS" w:cs="Arial"/>
          <w:sz w:val="22"/>
          <w:szCs w:val="22"/>
        </w:rPr>
        <w:t xml:space="preserve">În temeiul </w:t>
      </w:r>
      <w:hyperlink r:id="rId4" w:tgtFrame="_blank" w:history="1">
        <w:r w:rsidRPr="00554001">
          <w:rPr>
            <w:rStyle w:val="Hyperlink"/>
            <w:rFonts w:ascii="Trebuchet MS" w:hAnsi="Trebuchet MS" w:cs="Arial"/>
            <w:color w:val="auto"/>
            <w:sz w:val="22"/>
            <w:szCs w:val="22"/>
            <w:u w:val="none"/>
          </w:rPr>
          <w:t>art. 108</w:t>
        </w:r>
      </w:hyperlink>
      <w:r w:rsidRPr="00554001">
        <w:rPr>
          <w:rFonts w:ascii="Trebuchet MS" w:hAnsi="Trebuchet MS" w:cs="Arial"/>
          <w:sz w:val="22"/>
          <w:szCs w:val="22"/>
        </w:rPr>
        <w:t xml:space="preserve"> din Constituția României, republicată,</w:t>
      </w:r>
    </w:p>
    <w:p w14:paraId="58CCD486" w14:textId="77777777" w:rsidR="00ED74F4" w:rsidRPr="00554001" w:rsidRDefault="00ED74F4" w:rsidP="008E3406">
      <w:pPr>
        <w:pStyle w:val="al"/>
        <w:spacing w:line="276" w:lineRule="auto"/>
        <w:rPr>
          <w:rFonts w:ascii="Trebuchet MS" w:hAnsi="Trebuchet MS" w:cs="Arial"/>
          <w:sz w:val="22"/>
          <w:szCs w:val="22"/>
        </w:rPr>
      </w:pPr>
    </w:p>
    <w:p w14:paraId="31A2F363" w14:textId="257A0126" w:rsidR="00BC30D2" w:rsidRPr="00554001" w:rsidRDefault="00C81E16" w:rsidP="008E3406">
      <w:pPr>
        <w:pStyle w:val="al"/>
        <w:spacing w:line="276" w:lineRule="auto"/>
        <w:rPr>
          <w:rFonts w:ascii="Trebuchet MS" w:hAnsi="Trebuchet MS" w:cs="Arial"/>
          <w:sz w:val="22"/>
          <w:szCs w:val="22"/>
        </w:rPr>
      </w:pPr>
      <w:r w:rsidRPr="00554001">
        <w:rPr>
          <w:rFonts w:ascii="Trebuchet MS" w:hAnsi="Trebuchet MS" w:cs="Arial"/>
          <w:sz w:val="22"/>
          <w:szCs w:val="22"/>
        </w:rPr>
        <w:t>Guvernul României adoptă prezenta hotărâre.</w:t>
      </w:r>
    </w:p>
    <w:p w14:paraId="548AD769" w14:textId="77777777" w:rsidR="00554001" w:rsidRPr="00554001" w:rsidRDefault="00554001" w:rsidP="008E3406">
      <w:pPr>
        <w:pStyle w:val="al"/>
        <w:spacing w:line="276" w:lineRule="auto"/>
        <w:rPr>
          <w:rFonts w:ascii="Trebuchet MS" w:hAnsi="Trebuchet MS" w:cs="Arial"/>
          <w:sz w:val="22"/>
          <w:szCs w:val="22"/>
        </w:rPr>
      </w:pPr>
    </w:p>
    <w:p w14:paraId="535FF66E" w14:textId="57C7DE03" w:rsidR="00BC30D2" w:rsidRPr="00554001" w:rsidRDefault="00C81E16">
      <w:pPr>
        <w:pStyle w:val="al"/>
        <w:spacing w:line="345" w:lineRule="atLeast"/>
        <w:rPr>
          <w:rFonts w:ascii="Trebuchet MS" w:hAnsi="Trebuchet MS" w:cs="Arial"/>
          <w:sz w:val="22"/>
          <w:szCs w:val="22"/>
        </w:rPr>
      </w:pPr>
      <w:r w:rsidRPr="00554001">
        <w:rPr>
          <w:rFonts w:ascii="Trebuchet MS" w:hAnsi="Trebuchet MS" w:cs="Arial"/>
          <w:b/>
          <w:bCs/>
          <w:sz w:val="22"/>
          <w:szCs w:val="22"/>
        </w:rPr>
        <w:t>Art. I. -</w:t>
      </w:r>
      <w:r w:rsidRPr="00554001">
        <w:rPr>
          <w:rFonts w:ascii="Trebuchet MS" w:hAnsi="Trebuchet MS" w:cs="Arial"/>
          <w:sz w:val="22"/>
          <w:szCs w:val="22"/>
        </w:rPr>
        <w:t xml:space="preserve"> Hotărârea Guvernului </w:t>
      </w:r>
      <w:hyperlink r:id="rId5" w:tgtFrame="_blank" w:history="1">
        <w:r w:rsidRPr="00554001">
          <w:rPr>
            <w:rStyle w:val="Hyperlink"/>
            <w:rFonts w:ascii="Trebuchet MS" w:hAnsi="Trebuchet MS" w:cs="Arial"/>
            <w:color w:val="auto"/>
            <w:sz w:val="22"/>
            <w:szCs w:val="22"/>
            <w:u w:val="none"/>
          </w:rPr>
          <w:t>nr. 368/1998</w:t>
        </w:r>
      </w:hyperlink>
      <w:r w:rsidRPr="00554001">
        <w:rPr>
          <w:rFonts w:ascii="Trebuchet MS" w:hAnsi="Trebuchet MS" w:cs="Arial"/>
          <w:sz w:val="22"/>
          <w:szCs w:val="22"/>
        </w:rPr>
        <w:t xml:space="preserve"> privind înființarea Institutului Național de Expertize Criminalistice - I.N.E.C., publicată în Monitorul Oficial al României, Partea I, nr. 248 din 3 iulie 1998, </w:t>
      </w:r>
      <w:r w:rsidR="00ED74F4" w:rsidRPr="00554001">
        <w:rPr>
          <w:rFonts w:ascii="Trebuchet MS" w:hAnsi="Trebuchet MS" w:cs="Arial"/>
          <w:sz w:val="22"/>
          <w:szCs w:val="22"/>
        </w:rPr>
        <w:t xml:space="preserve">cu modificările și completările ulterioare, </w:t>
      </w:r>
      <w:r w:rsidRPr="00554001">
        <w:rPr>
          <w:rFonts w:ascii="Trebuchet MS" w:hAnsi="Trebuchet MS" w:cs="Arial"/>
          <w:sz w:val="22"/>
          <w:szCs w:val="22"/>
        </w:rPr>
        <w:t>se modifică</w:t>
      </w:r>
      <w:r w:rsidR="00ED74F4" w:rsidRPr="00554001">
        <w:rPr>
          <w:rFonts w:ascii="Trebuchet MS" w:hAnsi="Trebuchet MS" w:cs="Arial"/>
          <w:sz w:val="22"/>
          <w:szCs w:val="22"/>
        </w:rPr>
        <w:t xml:space="preserve"> și se completează</w:t>
      </w:r>
      <w:r w:rsidRPr="00554001">
        <w:rPr>
          <w:rFonts w:ascii="Trebuchet MS" w:hAnsi="Trebuchet MS" w:cs="Arial"/>
          <w:sz w:val="22"/>
          <w:szCs w:val="22"/>
        </w:rPr>
        <w:t xml:space="preserve"> după cum urmează:</w:t>
      </w:r>
    </w:p>
    <w:p w14:paraId="299CEEE2" w14:textId="77777777" w:rsidR="00ED74F4" w:rsidRPr="00554001" w:rsidRDefault="00ED74F4">
      <w:pPr>
        <w:pStyle w:val="al"/>
        <w:spacing w:line="345" w:lineRule="atLeast"/>
        <w:rPr>
          <w:rFonts w:ascii="Trebuchet MS" w:hAnsi="Trebuchet MS" w:cs="Arial"/>
          <w:sz w:val="22"/>
          <w:szCs w:val="22"/>
        </w:rPr>
      </w:pPr>
    </w:p>
    <w:p w14:paraId="2208EF66" w14:textId="69124028" w:rsidR="00BC30D2" w:rsidRPr="00554001" w:rsidRDefault="00C81E16">
      <w:pPr>
        <w:pStyle w:val="al"/>
        <w:spacing w:line="345" w:lineRule="atLeast"/>
        <w:rPr>
          <w:rFonts w:ascii="Trebuchet MS" w:hAnsi="Trebuchet MS" w:cs="Arial"/>
          <w:b/>
          <w:bCs/>
          <w:sz w:val="22"/>
          <w:szCs w:val="22"/>
        </w:rPr>
      </w:pPr>
      <w:r w:rsidRPr="00554001">
        <w:rPr>
          <w:rFonts w:ascii="Trebuchet MS" w:hAnsi="Trebuchet MS" w:cs="Arial"/>
          <w:b/>
          <w:bCs/>
          <w:sz w:val="22"/>
          <w:szCs w:val="22"/>
        </w:rPr>
        <w:t xml:space="preserve">1.  </w:t>
      </w:r>
      <w:r w:rsidR="00ED74F4" w:rsidRPr="00554001">
        <w:rPr>
          <w:rFonts w:ascii="Trebuchet MS" w:hAnsi="Trebuchet MS" w:cs="Arial"/>
          <w:b/>
          <w:bCs/>
          <w:sz w:val="22"/>
          <w:szCs w:val="22"/>
        </w:rPr>
        <w:t>La ar</w:t>
      </w:r>
      <w:r w:rsidRPr="00554001">
        <w:rPr>
          <w:rFonts w:ascii="Trebuchet MS" w:hAnsi="Trebuchet MS" w:cs="Arial"/>
          <w:b/>
          <w:bCs/>
          <w:sz w:val="22"/>
          <w:szCs w:val="22"/>
        </w:rPr>
        <w:t>ticolul 5</w:t>
      </w:r>
      <w:r w:rsidR="00790BA8">
        <w:rPr>
          <w:rFonts w:ascii="Trebuchet MS" w:hAnsi="Trebuchet MS" w:cs="Arial"/>
          <w:b/>
          <w:bCs/>
          <w:sz w:val="22"/>
          <w:szCs w:val="22"/>
        </w:rPr>
        <w:t xml:space="preserve"> după litera f)</w:t>
      </w:r>
      <w:r w:rsidR="00ED74F4" w:rsidRPr="00554001">
        <w:rPr>
          <w:rFonts w:ascii="Trebuchet MS" w:hAnsi="Trebuchet MS" w:cs="Arial"/>
          <w:b/>
          <w:bCs/>
          <w:sz w:val="22"/>
          <w:szCs w:val="22"/>
        </w:rPr>
        <w:t xml:space="preserve"> se introduce o nouă literă, lit. g), cu următorul cuprins:</w:t>
      </w:r>
    </w:p>
    <w:p w14:paraId="5D2268AD" w14:textId="0420A9A6" w:rsidR="00BC30D2" w:rsidRPr="00554001" w:rsidRDefault="00C81E16" w:rsidP="00ED74F4">
      <w:pPr>
        <w:spacing w:line="345" w:lineRule="atLeast"/>
        <w:jc w:val="both"/>
        <w:rPr>
          <w:rFonts w:ascii="Trebuchet MS" w:eastAsia="Times New Roman" w:hAnsi="Trebuchet MS" w:cs="Arial"/>
        </w:rPr>
      </w:pPr>
      <w:r w:rsidRPr="00554001">
        <w:rPr>
          <w:rFonts w:ascii="Trebuchet MS" w:eastAsia="Times New Roman" w:hAnsi="Trebuchet MS" w:cs="Arial"/>
        </w:rPr>
        <w:t>"</w:t>
      </w:r>
      <w:r w:rsidR="00B22D46" w:rsidRPr="00554001">
        <w:rPr>
          <w:rFonts w:ascii="Trebuchet MS" w:hAnsi="Trebuchet MS" w:cs="Arial"/>
        </w:rPr>
        <w:t>g) Laboratorul Interjudețean de Expertize Criminalistice Constanța</w:t>
      </w:r>
      <w:r w:rsidR="00ED74F4" w:rsidRPr="00554001">
        <w:rPr>
          <w:rFonts w:ascii="Trebuchet MS" w:hAnsi="Trebuchet MS" w:cs="Arial"/>
        </w:rPr>
        <w:t>.</w:t>
      </w:r>
      <w:r w:rsidRPr="00554001">
        <w:rPr>
          <w:rFonts w:ascii="Trebuchet MS" w:hAnsi="Trebuchet MS" w:cs="Arial"/>
        </w:rPr>
        <w:t>"</w:t>
      </w:r>
      <w:r w:rsidR="00ED74F4" w:rsidRPr="00554001">
        <w:rPr>
          <w:rFonts w:ascii="Trebuchet MS" w:hAnsi="Trebuchet MS" w:cs="Arial"/>
        </w:rPr>
        <w:t>.</w:t>
      </w:r>
    </w:p>
    <w:p w14:paraId="1B026E22" w14:textId="77777777" w:rsidR="00B22D46" w:rsidRPr="00554001" w:rsidRDefault="00B22D46">
      <w:pPr>
        <w:pStyle w:val="al"/>
        <w:spacing w:line="345" w:lineRule="atLeast"/>
        <w:rPr>
          <w:rFonts w:ascii="Trebuchet MS" w:hAnsi="Trebuchet MS" w:cs="Arial"/>
          <w:sz w:val="22"/>
          <w:szCs w:val="22"/>
        </w:rPr>
      </w:pPr>
    </w:p>
    <w:p w14:paraId="37A48997" w14:textId="4CA26D31" w:rsidR="00BC30D2" w:rsidRPr="00554001" w:rsidRDefault="00ED74F4">
      <w:pPr>
        <w:pStyle w:val="al"/>
        <w:spacing w:line="345" w:lineRule="atLeast"/>
        <w:rPr>
          <w:rFonts w:ascii="Trebuchet MS" w:hAnsi="Trebuchet MS" w:cs="Arial"/>
          <w:b/>
          <w:bCs/>
          <w:sz w:val="22"/>
          <w:szCs w:val="22"/>
        </w:rPr>
      </w:pPr>
      <w:r w:rsidRPr="00554001">
        <w:rPr>
          <w:rFonts w:ascii="Trebuchet MS" w:hAnsi="Trebuchet MS" w:cs="Arial"/>
          <w:b/>
          <w:bCs/>
          <w:sz w:val="22"/>
          <w:szCs w:val="22"/>
        </w:rPr>
        <w:t>2</w:t>
      </w:r>
      <w:r w:rsidR="00C81E16" w:rsidRPr="00554001">
        <w:rPr>
          <w:rFonts w:ascii="Trebuchet MS" w:hAnsi="Trebuchet MS" w:cs="Arial"/>
          <w:b/>
          <w:bCs/>
          <w:sz w:val="22"/>
          <w:szCs w:val="22"/>
        </w:rPr>
        <w:t>. Articolul 16 va avea următorul cuprins:</w:t>
      </w:r>
    </w:p>
    <w:p w14:paraId="1BDFFCD0" w14:textId="7D7EE492" w:rsidR="00BC30D2" w:rsidRPr="00554001" w:rsidRDefault="00C81E16" w:rsidP="00ED74F4">
      <w:pPr>
        <w:spacing w:line="345" w:lineRule="atLeast"/>
        <w:jc w:val="both"/>
        <w:rPr>
          <w:rFonts w:ascii="Trebuchet MS" w:eastAsia="Times New Roman" w:hAnsi="Trebuchet MS" w:cs="Arial"/>
        </w:rPr>
      </w:pPr>
      <w:r w:rsidRPr="00554001">
        <w:rPr>
          <w:rFonts w:ascii="Trebuchet MS" w:eastAsia="Times New Roman" w:hAnsi="Trebuchet MS" w:cs="Arial"/>
        </w:rPr>
        <w:t>"</w:t>
      </w:r>
      <w:r w:rsidRPr="00554001">
        <w:rPr>
          <w:rFonts w:ascii="Trebuchet MS" w:hAnsi="Trebuchet MS" w:cs="Arial"/>
          <w:b/>
          <w:bCs/>
        </w:rPr>
        <w:t xml:space="preserve">Art. 16. </w:t>
      </w:r>
      <w:r w:rsidRPr="00554001">
        <w:rPr>
          <w:rFonts w:ascii="Trebuchet MS" w:hAnsi="Trebuchet MS" w:cs="Arial"/>
        </w:rPr>
        <w:t xml:space="preserve">- Numărul maxim de posturi pentru institut este de </w:t>
      </w:r>
      <w:r w:rsidR="00106E84" w:rsidRPr="00554001">
        <w:rPr>
          <w:rFonts w:ascii="Trebuchet MS" w:hAnsi="Trebuchet MS" w:cs="Arial"/>
        </w:rPr>
        <w:t>76</w:t>
      </w:r>
      <w:r w:rsidRPr="00554001">
        <w:rPr>
          <w:rFonts w:ascii="Trebuchet MS" w:hAnsi="Trebuchet MS" w:cs="Arial"/>
        </w:rPr>
        <w:t>, care se încadrează în numărul maxim de posturi stabilit pentru Ministerul Justiției."</w:t>
      </w:r>
      <w:r w:rsidR="00554001" w:rsidRPr="00554001">
        <w:rPr>
          <w:rFonts w:ascii="Trebuchet MS" w:hAnsi="Trebuchet MS" w:cs="Arial"/>
        </w:rPr>
        <w:t>.</w:t>
      </w:r>
    </w:p>
    <w:p w14:paraId="5CE1B8AB" w14:textId="77777777" w:rsidR="00712D70" w:rsidRDefault="00712D70" w:rsidP="00106E84">
      <w:pPr>
        <w:pStyle w:val="al"/>
        <w:spacing w:line="345" w:lineRule="atLeast"/>
        <w:rPr>
          <w:rFonts w:ascii="Trebuchet MS" w:hAnsi="Trebuchet MS" w:cs="Arial"/>
          <w:sz w:val="22"/>
          <w:szCs w:val="22"/>
        </w:rPr>
      </w:pPr>
      <w:r w:rsidRPr="00554001" w:rsidDel="00712D70">
        <w:rPr>
          <w:rFonts w:ascii="Trebuchet MS" w:hAnsi="Trebuchet MS" w:cs="Arial"/>
          <w:sz w:val="22"/>
          <w:szCs w:val="22"/>
        </w:rPr>
        <w:t xml:space="preserve"> </w:t>
      </w:r>
    </w:p>
    <w:p w14:paraId="6A287B64" w14:textId="38083ED5" w:rsidR="00106E84" w:rsidRDefault="00712D70" w:rsidP="00106E84">
      <w:pPr>
        <w:pStyle w:val="al"/>
        <w:spacing w:line="345" w:lineRule="atLeas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Art. II</w:t>
      </w:r>
      <w:r w:rsidR="00106E84" w:rsidRPr="00554001">
        <w:rPr>
          <w:rFonts w:ascii="Trebuchet MS" w:hAnsi="Trebuchet MS" w:cs="Arial"/>
          <w:b/>
          <w:bCs/>
          <w:sz w:val="22"/>
          <w:szCs w:val="22"/>
        </w:rPr>
        <w:t xml:space="preserve"> – </w:t>
      </w:r>
      <w:r w:rsidR="00106E84" w:rsidRPr="00554001">
        <w:rPr>
          <w:rFonts w:ascii="Trebuchet MS" w:hAnsi="Trebuchet MS" w:cs="Arial"/>
          <w:sz w:val="22"/>
          <w:szCs w:val="22"/>
        </w:rPr>
        <w:t>Litera A</w:t>
      </w:r>
      <w:r w:rsidR="00ED74F4" w:rsidRPr="00554001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de la</w:t>
      </w:r>
      <w:r w:rsidR="00ED74F4" w:rsidRPr="00554001">
        <w:rPr>
          <w:rFonts w:ascii="Trebuchet MS" w:hAnsi="Trebuchet MS" w:cs="Arial"/>
          <w:sz w:val="22"/>
          <w:szCs w:val="22"/>
        </w:rPr>
        <w:t xml:space="preserve"> punctul I</w:t>
      </w:r>
      <w:r w:rsidR="00106E84" w:rsidRPr="00554001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al</w:t>
      </w:r>
      <w:r w:rsidR="00106E84" w:rsidRPr="00554001">
        <w:rPr>
          <w:rFonts w:ascii="Trebuchet MS" w:hAnsi="Trebuchet MS" w:cs="Arial"/>
          <w:sz w:val="22"/>
          <w:szCs w:val="22"/>
        </w:rPr>
        <w:t xml:space="preserve"> </w:t>
      </w:r>
      <w:r w:rsidR="008716BE" w:rsidRPr="00554001">
        <w:rPr>
          <w:rFonts w:ascii="Trebuchet MS" w:hAnsi="Trebuchet MS" w:cs="Arial"/>
          <w:sz w:val="22"/>
          <w:szCs w:val="22"/>
        </w:rPr>
        <w:t>A</w:t>
      </w:r>
      <w:r w:rsidR="00106E84" w:rsidRPr="00554001">
        <w:rPr>
          <w:rFonts w:ascii="Trebuchet MS" w:hAnsi="Trebuchet MS" w:cs="Arial"/>
          <w:sz w:val="22"/>
          <w:szCs w:val="22"/>
        </w:rPr>
        <w:t>nex</w:t>
      </w:r>
      <w:r>
        <w:rPr>
          <w:rFonts w:ascii="Trebuchet MS" w:hAnsi="Trebuchet MS" w:cs="Arial"/>
          <w:sz w:val="22"/>
          <w:szCs w:val="22"/>
        </w:rPr>
        <w:t>ei</w:t>
      </w:r>
      <w:r w:rsidR="00106E84" w:rsidRPr="00554001">
        <w:rPr>
          <w:rFonts w:ascii="Trebuchet MS" w:hAnsi="Trebuchet MS" w:cs="Arial"/>
          <w:sz w:val="22"/>
          <w:szCs w:val="22"/>
        </w:rPr>
        <w:t xml:space="preserve"> nr. 3</w:t>
      </w:r>
      <w:r w:rsidR="008716BE" w:rsidRPr="00554001">
        <w:rPr>
          <w:rFonts w:ascii="Trebuchet MS" w:hAnsi="Trebuchet MS" w:cs="Arial"/>
          <w:sz w:val="22"/>
          <w:szCs w:val="22"/>
        </w:rPr>
        <w:t xml:space="preserve"> - </w:t>
      </w:r>
      <w:r w:rsidRPr="00554001">
        <w:rPr>
          <w:rFonts w:ascii="Trebuchet MS" w:eastAsia="Times New Roman" w:hAnsi="Trebuchet MS" w:cs="Arial"/>
        </w:rPr>
        <w:t>"</w:t>
      </w:r>
      <w:r w:rsidR="00106E84" w:rsidRPr="00554001">
        <w:rPr>
          <w:rFonts w:ascii="Trebuchet MS" w:hAnsi="Trebuchet MS" w:cs="Arial"/>
          <w:sz w:val="22"/>
          <w:szCs w:val="22"/>
        </w:rPr>
        <w:t>Unități subordonate Ministerului Justiției</w:t>
      </w:r>
      <w:r w:rsidRPr="00554001">
        <w:rPr>
          <w:rFonts w:ascii="Trebuchet MS" w:hAnsi="Trebuchet MS" w:cs="Arial"/>
        </w:rPr>
        <w:t>"</w:t>
      </w:r>
      <w:r w:rsidR="00106E84" w:rsidRPr="00554001">
        <w:rPr>
          <w:rFonts w:ascii="Trebuchet MS" w:hAnsi="Trebuchet MS" w:cs="Arial"/>
          <w:sz w:val="22"/>
          <w:szCs w:val="22"/>
        </w:rPr>
        <w:t xml:space="preserve"> la Hotărârea Guvernului 652/2009 privind organizarea și funcționarea Ministerului Justiției, publicată în Monitorul Oficial al României, Partea I, nr. 443 din 29 iunie 2009,</w:t>
      </w:r>
      <w:r w:rsidR="00ED74F4" w:rsidRPr="00554001">
        <w:rPr>
          <w:rFonts w:ascii="Trebuchet MS" w:hAnsi="Trebuchet MS" w:cs="Arial"/>
          <w:sz w:val="22"/>
          <w:szCs w:val="22"/>
        </w:rPr>
        <w:t xml:space="preserve"> cu modificările și completările ulterioare,</w:t>
      </w:r>
      <w:r w:rsidR="00106E84" w:rsidRPr="00554001">
        <w:rPr>
          <w:rFonts w:ascii="Trebuchet MS" w:hAnsi="Trebuchet MS" w:cs="Arial"/>
          <w:sz w:val="22"/>
          <w:szCs w:val="22"/>
        </w:rPr>
        <w:t xml:space="preserve"> se modifică potrivit dispozițiilor prezentei hotărâri.</w:t>
      </w:r>
    </w:p>
    <w:p w14:paraId="541D3050" w14:textId="7ED35C7A" w:rsidR="008716BE" w:rsidRPr="00554001" w:rsidRDefault="008716BE" w:rsidP="00106E84">
      <w:pPr>
        <w:pStyle w:val="al"/>
        <w:spacing w:line="345" w:lineRule="atLeast"/>
        <w:rPr>
          <w:rFonts w:ascii="Trebuchet MS" w:hAnsi="Trebuchet MS" w:cs="Arial"/>
          <w:sz w:val="22"/>
          <w:szCs w:val="22"/>
        </w:rPr>
      </w:pPr>
    </w:p>
    <w:p w14:paraId="5D9FE3E7" w14:textId="70A330EA" w:rsidR="008716BE" w:rsidRPr="00554001" w:rsidRDefault="008716BE" w:rsidP="008716BE">
      <w:pPr>
        <w:pStyle w:val="al"/>
        <w:spacing w:line="345" w:lineRule="atLeast"/>
        <w:rPr>
          <w:rFonts w:ascii="Trebuchet MS" w:eastAsia="Times New Roman" w:hAnsi="Trebuchet MS" w:cs="Arial"/>
          <w:b/>
          <w:bCs/>
          <w:sz w:val="22"/>
          <w:szCs w:val="22"/>
        </w:rPr>
      </w:pPr>
      <w:r w:rsidRPr="00554001">
        <w:rPr>
          <w:rFonts w:ascii="Trebuchet MS" w:hAnsi="Trebuchet MS" w:cs="Arial"/>
          <w:b/>
          <w:bCs/>
          <w:sz w:val="22"/>
          <w:szCs w:val="22"/>
        </w:rPr>
        <w:t>Art. II</w:t>
      </w:r>
      <w:r w:rsidR="00712D70">
        <w:rPr>
          <w:rFonts w:ascii="Trebuchet MS" w:hAnsi="Trebuchet MS" w:cs="Arial"/>
          <w:b/>
          <w:bCs/>
          <w:sz w:val="22"/>
          <w:szCs w:val="22"/>
        </w:rPr>
        <w:t>I</w:t>
      </w:r>
      <w:r w:rsidRPr="00554001">
        <w:rPr>
          <w:rFonts w:ascii="Trebuchet MS" w:hAnsi="Trebuchet MS" w:cs="Arial"/>
          <w:b/>
          <w:bCs/>
          <w:sz w:val="22"/>
          <w:szCs w:val="22"/>
        </w:rPr>
        <w:t>. -</w:t>
      </w:r>
      <w:r w:rsidRPr="00554001">
        <w:rPr>
          <w:rFonts w:ascii="Trebuchet MS" w:hAnsi="Trebuchet MS" w:cs="Arial"/>
          <w:sz w:val="22"/>
          <w:szCs w:val="22"/>
        </w:rPr>
        <w:t xml:space="preserve"> </w:t>
      </w:r>
      <w:r w:rsidR="00712D70">
        <w:rPr>
          <w:rFonts w:ascii="Trebuchet MS" w:hAnsi="Trebuchet MS" w:cs="Arial"/>
          <w:sz w:val="22"/>
          <w:szCs w:val="22"/>
        </w:rPr>
        <w:t>S</w:t>
      </w:r>
      <w:r w:rsidRPr="00554001">
        <w:rPr>
          <w:rFonts w:ascii="Trebuchet MS" w:hAnsi="Trebuchet MS" w:cs="Arial"/>
          <w:sz w:val="22"/>
          <w:szCs w:val="22"/>
        </w:rPr>
        <w:t>e înființează</w:t>
      </w:r>
      <w:r w:rsidR="009C06EA">
        <w:rPr>
          <w:rFonts w:ascii="Trebuchet MS" w:hAnsi="Trebuchet MS" w:cs="Arial"/>
          <w:sz w:val="22"/>
          <w:szCs w:val="22"/>
        </w:rPr>
        <w:t xml:space="preserve"> în subordinea Institutului Național de Expertize Criminalistice – I.N.E.C.</w:t>
      </w:r>
      <w:r w:rsidRPr="00554001">
        <w:rPr>
          <w:rFonts w:ascii="Trebuchet MS" w:hAnsi="Trebuchet MS" w:cs="Arial"/>
          <w:sz w:val="22"/>
          <w:szCs w:val="22"/>
        </w:rPr>
        <w:t xml:space="preserve"> Laboratorul Interjudețean de Expertize Criminalistice Constanța,</w:t>
      </w:r>
      <w:r w:rsidR="00712D70">
        <w:rPr>
          <w:rFonts w:ascii="Trebuchet MS" w:hAnsi="Trebuchet MS" w:cs="Arial"/>
          <w:sz w:val="22"/>
          <w:szCs w:val="22"/>
        </w:rPr>
        <w:t xml:space="preserve"> </w:t>
      </w:r>
      <w:r w:rsidR="00712D70" w:rsidRPr="00554001">
        <w:rPr>
          <w:rFonts w:ascii="Trebuchet MS" w:hAnsi="Trebuchet MS" w:cs="Arial"/>
          <w:sz w:val="22"/>
          <w:szCs w:val="22"/>
        </w:rPr>
        <w:t>fără personalitate juridică.</w:t>
      </w:r>
      <w:r w:rsidRPr="00554001">
        <w:rPr>
          <w:rFonts w:ascii="Trebuchet MS" w:hAnsi="Trebuchet MS" w:cs="Arial"/>
          <w:sz w:val="22"/>
          <w:szCs w:val="22"/>
        </w:rPr>
        <w:t xml:space="preserve"> </w:t>
      </w:r>
    </w:p>
    <w:tbl>
      <w:tblPr>
        <w:tblW w:w="14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1234"/>
      </w:tblGrid>
      <w:tr w:rsidR="008716BE" w:rsidRPr="00554001" w14:paraId="40AC2252" w14:textId="77777777" w:rsidTr="00166F3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71040" w14:textId="77777777" w:rsidR="008716BE" w:rsidRPr="00554001" w:rsidRDefault="008716BE" w:rsidP="00166F3C">
            <w:pPr>
              <w:spacing w:line="345" w:lineRule="atLeast"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</w:p>
        </w:tc>
        <w:tc>
          <w:tcPr>
            <w:tcW w:w="0" w:type="auto"/>
            <w:hideMark/>
          </w:tcPr>
          <w:p w14:paraId="76374056" w14:textId="77777777" w:rsidR="008716BE" w:rsidRPr="00554001" w:rsidRDefault="008716BE" w:rsidP="00166F3C">
            <w:pPr>
              <w:spacing w:line="345" w:lineRule="atLeast"/>
              <w:rPr>
                <w:rFonts w:ascii="Trebuchet MS" w:eastAsia="Times New Roman" w:hAnsi="Trebuchet MS"/>
              </w:rPr>
            </w:pPr>
          </w:p>
        </w:tc>
      </w:tr>
    </w:tbl>
    <w:p w14:paraId="0D8FB859" w14:textId="77777777" w:rsidR="008716BE" w:rsidRPr="00554001" w:rsidRDefault="008716BE" w:rsidP="00106E84">
      <w:pPr>
        <w:pStyle w:val="al"/>
        <w:spacing w:line="345" w:lineRule="atLeast"/>
        <w:rPr>
          <w:rFonts w:ascii="Trebuchet MS" w:hAnsi="Trebuchet MS" w:cs="Arial"/>
          <w:sz w:val="22"/>
          <w:szCs w:val="22"/>
        </w:rPr>
      </w:pPr>
    </w:p>
    <w:p w14:paraId="12280A38" w14:textId="77777777" w:rsidR="007211F9" w:rsidRDefault="00106E84">
      <w:pPr>
        <w:pStyle w:val="al"/>
        <w:spacing w:line="345" w:lineRule="atLeast"/>
        <w:rPr>
          <w:rFonts w:ascii="Trebuchet MS" w:hAnsi="Trebuchet MS" w:cs="Arial"/>
          <w:sz w:val="22"/>
          <w:szCs w:val="22"/>
        </w:rPr>
      </w:pPr>
      <w:r w:rsidRPr="00554001">
        <w:rPr>
          <w:rFonts w:ascii="Trebuchet MS" w:hAnsi="Trebuchet MS" w:cs="Arial"/>
          <w:b/>
          <w:bCs/>
          <w:sz w:val="22"/>
          <w:szCs w:val="22"/>
        </w:rPr>
        <w:t xml:space="preserve">Art. </w:t>
      </w:r>
      <w:r w:rsidR="008716BE" w:rsidRPr="00554001">
        <w:rPr>
          <w:rFonts w:ascii="Trebuchet MS" w:hAnsi="Trebuchet MS" w:cs="Arial"/>
          <w:b/>
          <w:bCs/>
          <w:sz w:val="22"/>
          <w:szCs w:val="22"/>
        </w:rPr>
        <w:t>I</w:t>
      </w:r>
      <w:r w:rsidR="00712D70">
        <w:rPr>
          <w:rFonts w:ascii="Trebuchet MS" w:hAnsi="Trebuchet MS" w:cs="Arial"/>
          <w:b/>
          <w:bCs/>
          <w:sz w:val="22"/>
          <w:szCs w:val="22"/>
        </w:rPr>
        <w:t>V</w:t>
      </w:r>
      <w:r w:rsidRPr="00554001">
        <w:rPr>
          <w:rFonts w:ascii="Trebuchet MS" w:hAnsi="Trebuchet MS" w:cs="Arial"/>
          <w:b/>
          <w:bCs/>
          <w:sz w:val="22"/>
          <w:szCs w:val="22"/>
        </w:rPr>
        <w:t>. -</w:t>
      </w:r>
      <w:r w:rsidRPr="00554001">
        <w:rPr>
          <w:rFonts w:ascii="Trebuchet MS" w:hAnsi="Trebuchet MS" w:cs="Arial"/>
          <w:sz w:val="22"/>
          <w:szCs w:val="22"/>
        </w:rPr>
        <w:t xml:space="preserve"> Prezenta hotărâre intră în vigoare de la data de </w:t>
      </w:r>
      <w:r w:rsidR="008716BE" w:rsidRPr="00554001">
        <w:rPr>
          <w:rFonts w:ascii="Trebuchet MS" w:hAnsi="Trebuchet MS" w:cs="Arial"/>
          <w:sz w:val="22"/>
          <w:szCs w:val="22"/>
        </w:rPr>
        <w:t>1 ianuarie 2022</w:t>
      </w:r>
      <w:r w:rsidR="007211F9">
        <w:rPr>
          <w:rFonts w:ascii="Trebuchet MS" w:hAnsi="Trebuchet MS" w:cs="Arial"/>
          <w:sz w:val="22"/>
          <w:szCs w:val="22"/>
        </w:rPr>
        <w:t>.</w:t>
      </w:r>
    </w:p>
    <w:p w14:paraId="17BCCD85" w14:textId="4125153F" w:rsidR="00230685" w:rsidRPr="00554001" w:rsidRDefault="00230685">
      <w:pPr>
        <w:pStyle w:val="al"/>
        <w:spacing w:line="345" w:lineRule="atLeast"/>
        <w:rPr>
          <w:rFonts w:ascii="Trebuchet MS" w:hAnsi="Trebuchet MS" w:cs="Arial"/>
          <w:sz w:val="22"/>
          <w:szCs w:val="22"/>
        </w:rPr>
      </w:pPr>
    </w:p>
    <w:p w14:paraId="46ACF8FD" w14:textId="7443B523" w:rsidR="00230685" w:rsidRDefault="00230685">
      <w:pPr>
        <w:pStyle w:val="al"/>
        <w:spacing w:line="345" w:lineRule="atLeast"/>
        <w:rPr>
          <w:rFonts w:ascii="Trebuchet MS" w:hAnsi="Trebuchet MS" w:cs="Arial"/>
          <w:b/>
          <w:bCs/>
          <w:sz w:val="22"/>
          <w:szCs w:val="22"/>
        </w:rPr>
      </w:pPr>
    </w:p>
    <w:p w14:paraId="6488EDDC" w14:textId="77777777" w:rsidR="00554001" w:rsidRPr="00554001" w:rsidRDefault="00554001">
      <w:pPr>
        <w:pStyle w:val="al"/>
        <w:spacing w:line="345" w:lineRule="atLeast"/>
        <w:rPr>
          <w:rFonts w:ascii="Trebuchet MS" w:hAnsi="Trebuchet MS" w:cs="Arial"/>
          <w:b/>
          <w:bCs/>
          <w:sz w:val="22"/>
          <w:szCs w:val="22"/>
        </w:rPr>
      </w:pPr>
    </w:p>
    <w:p w14:paraId="3E172A90" w14:textId="7419EB5C" w:rsidR="00230685" w:rsidRDefault="00230685" w:rsidP="00230685">
      <w:pPr>
        <w:pStyle w:val="al"/>
        <w:spacing w:line="345" w:lineRule="atLeast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554001">
        <w:rPr>
          <w:rFonts w:ascii="Trebuchet MS" w:hAnsi="Trebuchet MS" w:cs="Arial"/>
          <w:b/>
          <w:bCs/>
          <w:sz w:val="22"/>
          <w:szCs w:val="22"/>
        </w:rPr>
        <w:t>Florin – Vasile CÂȚU</w:t>
      </w:r>
    </w:p>
    <w:p w14:paraId="21670B7B" w14:textId="77777777" w:rsidR="00554001" w:rsidRPr="00554001" w:rsidRDefault="00554001" w:rsidP="00230685">
      <w:pPr>
        <w:pStyle w:val="al"/>
        <w:spacing w:line="345" w:lineRule="atLeast"/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0E7DD7C2" w14:textId="604C1287" w:rsidR="00230685" w:rsidRPr="00554001" w:rsidRDefault="00230685" w:rsidP="00230685">
      <w:pPr>
        <w:pStyle w:val="al"/>
        <w:spacing w:line="345" w:lineRule="atLeast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554001">
        <w:rPr>
          <w:rFonts w:ascii="Trebuchet MS" w:hAnsi="Trebuchet MS" w:cs="Arial"/>
          <w:b/>
          <w:bCs/>
          <w:sz w:val="22"/>
          <w:szCs w:val="22"/>
        </w:rPr>
        <w:t>Prim-ministru</w:t>
      </w:r>
    </w:p>
    <w:p w14:paraId="5E696ABE" w14:textId="77777777" w:rsidR="00106E84" w:rsidRPr="00554001" w:rsidRDefault="00106E84">
      <w:pPr>
        <w:pStyle w:val="al"/>
        <w:spacing w:line="345" w:lineRule="atLeast"/>
        <w:rPr>
          <w:rFonts w:ascii="Trebuchet MS" w:hAnsi="Trebuchet MS" w:cs="Arial"/>
          <w:b/>
          <w:bCs/>
          <w:sz w:val="22"/>
          <w:szCs w:val="22"/>
        </w:rPr>
      </w:pPr>
    </w:p>
    <w:sectPr w:rsidR="00106E84" w:rsidRPr="00554001" w:rsidSect="008E340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A7"/>
    <w:rsid w:val="00106E84"/>
    <w:rsid w:val="00230685"/>
    <w:rsid w:val="003C7FBF"/>
    <w:rsid w:val="00554001"/>
    <w:rsid w:val="00712D70"/>
    <w:rsid w:val="007211F9"/>
    <w:rsid w:val="0075254A"/>
    <w:rsid w:val="00782FC4"/>
    <w:rsid w:val="00790BA8"/>
    <w:rsid w:val="007F2CBD"/>
    <w:rsid w:val="00803306"/>
    <w:rsid w:val="00813781"/>
    <w:rsid w:val="008716BE"/>
    <w:rsid w:val="00896136"/>
    <w:rsid w:val="008E3406"/>
    <w:rsid w:val="009A5DA7"/>
    <w:rsid w:val="009C06EA"/>
    <w:rsid w:val="00A87433"/>
    <w:rsid w:val="00B22D46"/>
    <w:rsid w:val="00BC30D2"/>
    <w:rsid w:val="00C34132"/>
    <w:rsid w:val="00C653AE"/>
    <w:rsid w:val="00C81E16"/>
    <w:rsid w:val="00CB19A0"/>
    <w:rsid w:val="00D306B0"/>
    <w:rsid w:val="00D80C2D"/>
    <w:rsid w:val="00ED74F4"/>
    <w:rsid w:val="00F1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04EF"/>
  <w15:docId w15:val="{62165820-271A-4C99-92B5-66559C08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D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373464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e5.ro/App/Document/ge4donbq/hotararea-nr-368-1998-privind-infiintarea-institutului-national-de-expertize-criminalistice-inec?d=2021-06-03" TargetMode="External"/><Relationship Id="rId4" Type="http://schemas.openxmlformats.org/officeDocument/2006/relationships/hyperlink" Target="http://lege5.ro/App/Document/gq4deojv/constitutia-romaniei-republicata-in-2003?d=2021-06-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2021-07-26T06:54:00Z</cp:lastPrinted>
  <dcterms:created xsi:type="dcterms:W3CDTF">2021-07-26T06:55:00Z</dcterms:created>
  <dcterms:modified xsi:type="dcterms:W3CDTF">2021-07-26T06:55:00Z</dcterms:modified>
</cp:coreProperties>
</file>