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3168" w14:textId="77777777" w:rsidR="003D0CF5" w:rsidRPr="00780F36" w:rsidRDefault="003D0CF5" w:rsidP="003D0CF5">
      <w:pPr>
        <w:pStyle w:val="EYBodytextwithparaspace"/>
        <w:spacing w:after="240"/>
        <w:rPr>
          <w:sz w:val="36"/>
          <w:lang w:val="ro-RO"/>
        </w:rPr>
      </w:pPr>
    </w:p>
    <w:p w14:paraId="38A72079" w14:textId="1BC927A7" w:rsidR="003D0CF5" w:rsidRPr="00780F36" w:rsidRDefault="002D7F22" w:rsidP="003D0CF5">
      <w:pPr>
        <w:pStyle w:val="EYBodytextwithparaspace"/>
        <w:spacing w:after="240"/>
        <w:rPr>
          <w:sz w:val="36"/>
          <w:szCs w:val="36"/>
          <w:lang w:val="ro-RO"/>
        </w:rPr>
      </w:pPr>
      <w:r>
        <w:rPr>
          <w:sz w:val="36"/>
          <w:lang w:val="ro-RO"/>
        </w:rPr>
        <w:t>Punct de vedere</w:t>
      </w:r>
    </w:p>
    <w:p w14:paraId="7E9585EA" w14:textId="5678BF49" w:rsidR="003D0CF5" w:rsidRPr="00780F36" w:rsidRDefault="002631E1" w:rsidP="003D0CF5">
      <w:pPr>
        <w:pStyle w:val="EYBodytextwithparaspace"/>
        <w:contextualSpacing/>
        <w:rPr>
          <w:rFonts w:eastAsia="Times New Roman" w:cs="Times New Roman"/>
          <w:b/>
          <w:sz w:val="20"/>
          <w:szCs w:val="20"/>
          <w:lang w:val="ro-RO"/>
        </w:rPr>
      </w:pPr>
      <w:r>
        <w:rPr>
          <w:rFonts w:eastAsia="Times New Roman" w:cs="Times New Roman"/>
          <w:b/>
          <w:sz w:val="20"/>
          <w:szCs w:val="20"/>
          <w:lang w:val="ro-RO"/>
        </w:rPr>
        <w:t>2 iunie</w:t>
      </w:r>
      <w:r w:rsidR="00A2202D">
        <w:rPr>
          <w:rFonts w:eastAsia="Times New Roman" w:cs="Times New Roman"/>
          <w:b/>
          <w:sz w:val="20"/>
          <w:szCs w:val="20"/>
          <w:lang w:val="ro-RO"/>
        </w:rPr>
        <w:t xml:space="preserve"> </w:t>
      </w:r>
      <w:r w:rsidR="003D0CF5" w:rsidRPr="00780F36">
        <w:rPr>
          <w:rFonts w:eastAsia="Times New Roman" w:cs="Times New Roman"/>
          <w:b/>
          <w:sz w:val="20"/>
          <w:szCs w:val="20"/>
          <w:lang w:val="ro-RO"/>
        </w:rPr>
        <w:t>202</w:t>
      </w:r>
      <w:r w:rsidR="00D37242" w:rsidRPr="00780F36">
        <w:rPr>
          <w:rFonts w:eastAsia="Times New Roman" w:cs="Times New Roman"/>
          <w:b/>
          <w:sz w:val="20"/>
          <w:szCs w:val="20"/>
          <w:lang w:val="ro-RO"/>
        </w:rPr>
        <w:t>1</w:t>
      </w:r>
    </w:p>
    <w:p w14:paraId="493F588B" w14:textId="77777777" w:rsidR="003D0CF5" w:rsidRPr="00780F36"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Contact:</w:t>
      </w:r>
      <w:r w:rsidRPr="00780F36">
        <w:rPr>
          <w:rFonts w:eastAsia="Times New Roman" w:cs="Times New Roman"/>
          <w:bCs/>
          <w:sz w:val="20"/>
          <w:szCs w:val="20"/>
          <w:lang w:val="ro-RO"/>
        </w:rPr>
        <w:tab/>
        <w:t>Anda Huțanu</w:t>
      </w:r>
    </w:p>
    <w:p w14:paraId="1E34B420" w14:textId="77777777" w:rsidR="003D0CF5" w:rsidRPr="00780F36"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Companie: EY România</w:t>
      </w:r>
    </w:p>
    <w:p w14:paraId="66EEEB1E" w14:textId="77777777" w:rsidR="003D0CF5" w:rsidRPr="00780F36"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Tel: +40 21 402 4000</w:t>
      </w:r>
    </w:p>
    <w:p w14:paraId="1ECC484A" w14:textId="5E4ED948" w:rsidR="00A05E84"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 xml:space="preserve">E-mail: </w:t>
      </w:r>
      <w:hyperlink r:id="rId12" w:history="1">
        <w:r w:rsidR="00401EED" w:rsidRPr="009917F6">
          <w:rPr>
            <w:rStyle w:val="Hyperlink"/>
            <w:rFonts w:eastAsia="Times New Roman" w:cs="Times New Roman"/>
            <w:bCs/>
            <w:sz w:val="20"/>
            <w:szCs w:val="20"/>
            <w:lang w:val="ro-RO"/>
          </w:rPr>
          <w:t>anda.hutanu@ro.ey.com</w:t>
        </w:r>
      </w:hyperlink>
    </w:p>
    <w:p w14:paraId="11F28D3B" w14:textId="77777777" w:rsidR="00401EED" w:rsidRDefault="00401EED" w:rsidP="000702A4">
      <w:pPr>
        <w:pStyle w:val="EYBodytextwithparaspace"/>
        <w:spacing w:after="0" w:line="240" w:lineRule="auto"/>
        <w:contextualSpacing/>
        <w:rPr>
          <w:rFonts w:eastAsia="Times New Roman" w:cs="Times New Roman"/>
          <w:bCs/>
          <w:sz w:val="20"/>
          <w:szCs w:val="20"/>
          <w:lang w:val="ro-RO"/>
        </w:rPr>
      </w:pPr>
    </w:p>
    <w:p w14:paraId="48EA857D" w14:textId="5A047A7B" w:rsidR="004020C2" w:rsidRDefault="00C33E4D" w:rsidP="000702A4">
      <w:pPr>
        <w:spacing w:after="0" w:line="240" w:lineRule="auto"/>
        <w:ind w:left="720" w:hanging="360"/>
        <w:jc w:val="center"/>
        <w:rPr>
          <w:rFonts w:ascii="Arial" w:hAnsi="Arial" w:cs="Arial"/>
          <w:lang w:val="ro-RO"/>
        </w:rPr>
      </w:pPr>
      <w:r w:rsidRPr="00C33E4D">
        <w:rPr>
          <w:rFonts w:ascii="Arial" w:hAnsi="Arial" w:cs="Arial"/>
          <w:b/>
          <w:sz w:val="28"/>
          <w:szCs w:val="28"/>
          <w:lang w:val="ro-RO"/>
        </w:rPr>
        <w:t>Ne va salva DAC 7 de dubla-impunere?</w:t>
      </w:r>
    </w:p>
    <w:p w14:paraId="64FC6F8E" w14:textId="3F4071D2" w:rsidR="00401EED" w:rsidRPr="00401EED" w:rsidRDefault="00401EED" w:rsidP="000702A4">
      <w:pPr>
        <w:spacing w:after="0" w:line="240" w:lineRule="auto"/>
        <w:ind w:left="720" w:hanging="360"/>
        <w:jc w:val="center"/>
        <w:rPr>
          <w:rFonts w:ascii="Arial" w:hAnsi="Arial" w:cs="Arial"/>
          <w:b/>
          <w:lang w:val="ro-RO"/>
        </w:rPr>
      </w:pPr>
      <w:r w:rsidRPr="00401EED">
        <w:rPr>
          <w:rFonts w:ascii="Arial" w:hAnsi="Arial" w:cs="Arial"/>
          <w:lang w:val="ro-RO"/>
        </w:rPr>
        <w:t xml:space="preserve">Alex </w:t>
      </w:r>
      <w:proofErr w:type="spellStart"/>
      <w:r w:rsidRPr="00401EED">
        <w:rPr>
          <w:rFonts w:ascii="Arial" w:hAnsi="Arial" w:cs="Arial"/>
          <w:lang w:val="ro-RO"/>
        </w:rPr>
        <w:t>Slujitor</w:t>
      </w:r>
      <w:r w:rsidR="00602485">
        <w:rPr>
          <w:rFonts w:ascii="Arial" w:hAnsi="Arial" w:cs="Arial"/>
          <w:lang w:val="ro-RO"/>
        </w:rPr>
        <w:t>u</w:t>
      </w:r>
      <w:proofErr w:type="spellEnd"/>
      <w:r w:rsidR="002D7F22">
        <w:rPr>
          <w:rFonts w:ascii="Arial" w:hAnsi="Arial" w:cs="Arial"/>
          <w:lang w:val="ro-RO"/>
        </w:rPr>
        <w:t xml:space="preserve"> </w:t>
      </w:r>
      <w:r w:rsidRPr="00401EED">
        <w:rPr>
          <w:rFonts w:ascii="Arial" w:hAnsi="Arial" w:cs="Arial"/>
          <w:lang w:val="ro-RO"/>
        </w:rPr>
        <w:t xml:space="preserve">și </w:t>
      </w:r>
      <w:r w:rsidR="007355EE" w:rsidRPr="007355EE">
        <w:rPr>
          <w:rFonts w:ascii="Arial" w:hAnsi="Arial" w:cs="Arial"/>
          <w:lang w:val="ro-RO"/>
        </w:rPr>
        <w:t>Răzvan Brătilă</w:t>
      </w:r>
      <w:r w:rsidR="006A5298">
        <w:rPr>
          <w:rFonts w:ascii="Arial" w:hAnsi="Arial" w:cs="Arial"/>
          <w:lang w:val="ro-RO"/>
        </w:rPr>
        <w:t xml:space="preserve">, </w:t>
      </w:r>
      <w:r w:rsidR="00602485">
        <w:rPr>
          <w:rFonts w:ascii="Arial" w:hAnsi="Arial" w:cs="Arial"/>
          <w:lang w:val="ro-RO"/>
        </w:rPr>
        <w:t>Avocați</w:t>
      </w:r>
      <w:r w:rsidR="006A5298">
        <w:rPr>
          <w:rFonts w:ascii="Arial" w:hAnsi="Arial" w:cs="Arial"/>
          <w:lang w:val="ro-RO"/>
        </w:rPr>
        <w:t xml:space="preserve">, Radu </w:t>
      </w:r>
      <w:r w:rsidR="00602485">
        <w:rPr>
          <w:rFonts w:ascii="Arial" w:hAnsi="Arial" w:cs="Arial"/>
          <w:lang w:val="ro-RO"/>
        </w:rPr>
        <w:t>și</w:t>
      </w:r>
      <w:r w:rsidR="006A5298">
        <w:rPr>
          <w:rFonts w:ascii="Arial" w:hAnsi="Arial" w:cs="Arial"/>
          <w:lang w:val="ro-RO"/>
        </w:rPr>
        <w:t xml:space="preserve"> </w:t>
      </w:r>
      <w:r w:rsidR="00602485">
        <w:rPr>
          <w:rFonts w:ascii="Arial" w:hAnsi="Arial" w:cs="Arial"/>
          <w:lang w:val="ro-RO"/>
        </w:rPr>
        <w:t>Asociații</w:t>
      </w:r>
      <w:r w:rsidR="00CE6DFF">
        <w:rPr>
          <w:rFonts w:ascii="Arial" w:hAnsi="Arial" w:cs="Arial"/>
          <w:lang w:val="ro-RO"/>
        </w:rPr>
        <w:t xml:space="preserve"> SPRL</w:t>
      </w:r>
    </w:p>
    <w:p w14:paraId="2C4DA46C" w14:textId="77777777" w:rsidR="00401EED" w:rsidRDefault="00401EED" w:rsidP="00401EED">
      <w:pPr>
        <w:spacing w:after="0" w:line="290" w:lineRule="atLeast"/>
        <w:rPr>
          <w:rFonts w:ascii="Arial" w:eastAsia="Times New Roman" w:hAnsi="Arial" w:cs="Times New Roman"/>
          <w:bCs/>
          <w:kern w:val="12"/>
          <w:sz w:val="20"/>
          <w:szCs w:val="20"/>
          <w:lang w:val="ro-RO"/>
        </w:rPr>
      </w:pPr>
      <w:bookmarkStart w:id="0" w:name="_Hlk68518494"/>
    </w:p>
    <w:bookmarkEnd w:id="0"/>
    <w:p w14:paraId="2A0CC424" w14:textId="77777777" w:rsidR="00B03F38" w:rsidRPr="00B03F38" w:rsidRDefault="00B03F38" w:rsidP="000702A4">
      <w:pPr>
        <w:pStyle w:val="Listparagraf"/>
        <w:numPr>
          <w:ilvl w:val="0"/>
          <w:numId w:val="1"/>
        </w:numPr>
        <w:ind w:hanging="720"/>
        <w:jc w:val="both"/>
        <w:rPr>
          <w:rFonts w:ascii="Arial" w:hAnsi="Arial" w:cs="Arial"/>
          <w:b/>
          <w:bCs/>
          <w:lang w:val="ro-RO"/>
        </w:rPr>
      </w:pPr>
      <w:r w:rsidRPr="00B03F38">
        <w:rPr>
          <w:rFonts w:ascii="Arial" w:eastAsia="Times New Roman" w:hAnsi="Arial" w:cs="Arial"/>
          <w:b/>
          <w:bCs/>
          <w:lang w:val="ro-RO"/>
        </w:rPr>
        <w:t>Introducere</w:t>
      </w:r>
    </w:p>
    <w:p w14:paraId="46CD5B2A" w14:textId="77777777" w:rsidR="00B03F38" w:rsidRPr="00B03F38" w:rsidRDefault="00B03F38" w:rsidP="000702A4">
      <w:pPr>
        <w:pStyle w:val="Listparagraf"/>
        <w:jc w:val="both"/>
        <w:rPr>
          <w:rFonts w:ascii="Arial" w:hAnsi="Arial" w:cs="Arial"/>
          <w:lang w:val="ro-RO"/>
        </w:rPr>
      </w:pPr>
    </w:p>
    <w:p w14:paraId="4F2F3C0A" w14:textId="0439D16F" w:rsidR="00B03F38" w:rsidRPr="00B03F38" w:rsidRDefault="00A04B20" w:rsidP="000702A4">
      <w:pPr>
        <w:spacing w:after="0" w:line="240" w:lineRule="auto"/>
        <w:jc w:val="both"/>
        <w:rPr>
          <w:rFonts w:ascii="Arial" w:hAnsi="Arial" w:cs="Arial"/>
          <w:lang w:val="ro-RO"/>
        </w:rPr>
      </w:pPr>
      <w:r>
        <w:rPr>
          <w:rFonts w:ascii="Arial" w:hAnsi="Arial" w:cs="Arial"/>
          <w:lang w:val="ro-RO"/>
        </w:rPr>
        <w:t>D</w:t>
      </w:r>
      <w:r w:rsidRPr="00B03F38">
        <w:rPr>
          <w:rFonts w:ascii="Arial" w:hAnsi="Arial" w:cs="Arial"/>
          <w:lang w:val="ro-RO"/>
        </w:rPr>
        <w:t>ubla</w:t>
      </w:r>
      <w:r w:rsidR="00B03F38" w:rsidRPr="00B03F38">
        <w:rPr>
          <w:rFonts w:ascii="Arial" w:hAnsi="Arial" w:cs="Arial"/>
          <w:lang w:val="ro-RO"/>
        </w:rPr>
        <w:t xml:space="preserve">-impunere, în special în materia prețurilor de transfer, reprezintă una dintre cele mai frecvente și spinoase probleme cu care se confruntă societățile multinaționale cu prezență în România, în special datorită ineficienței practice a soluțiilor pentru eliminarea acesteia </w:t>
      </w:r>
      <w:r w:rsidR="00B03F38" w:rsidRPr="00B03F38">
        <w:rPr>
          <w:rFonts w:ascii="Arial" w:hAnsi="Arial" w:cs="Arial"/>
          <w:i/>
          <w:iCs/>
          <w:lang w:val="ro-RO"/>
        </w:rPr>
        <w:t>post factum</w:t>
      </w:r>
      <w:r w:rsidR="00B03F38" w:rsidRPr="00B03F38">
        <w:rPr>
          <w:rFonts w:ascii="Arial" w:hAnsi="Arial" w:cs="Arial"/>
          <w:lang w:val="ro-RO"/>
        </w:rPr>
        <w:t xml:space="preserve">. </w:t>
      </w:r>
    </w:p>
    <w:p w14:paraId="621F270B" w14:textId="77777777" w:rsidR="00B03F38" w:rsidRPr="00B03F38" w:rsidRDefault="00B03F38" w:rsidP="000702A4">
      <w:pPr>
        <w:spacing w:after="0" w:line="240" w:lineRule="auto"/>
        <w:jc w:val="both"/>
        <w:rPr>
          <w:rFonts w:ascii="Arial" w:hAnsi="Arial" w:cs="Arial"/>
          <w:lang w:val="ro-RO"/>
        </w:rPr>
      </w:pPr>
    </w:p>
    <w:p w14:paraId="6029C1E9" w14:textId="3D4099DF"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Cu proverbul românesc „</w:t>
      </w:r>
      <w:r w:rsidRPr="00B03F38">
        <w:rPr>
          <w:rFonts w:ascii="Arial" w:hAnsi="Arial" w:cs="Arial"/>
          <w:i/>
          <w:iCs/>
          <w:lang w:val="ro-RO"/>
        </w:rPr>
        <w:t>Prevenția este mama înțelepciunii</w:t>
      </w:r>
      <w:r w:rsidRPr="00B03F38">
        <w:rPr>
          <w:rFonts w:ascii="Arial" w:hAnsi="Arial" w:cs="Arial"/>
          <w:lang w:val="ro-RO"/>
        </w:rPr>
        <w:t xml:space="preserve">” pare să fie de acord și Organizația pentru Cooperare și Dezvoltare Economică </w:t>
      </w:r>
      <w:r w:rsidRPr="00A378FE">
        <w:rPr>
          <w:rFonts w:ascii="Arial" w:hAnsi="Arial" w:cs="Arial"/>
          <w:lang w:val="ro-RO"/>
        </w:rPr>
        <w:t>(</w:t>
      </w:r>
      <w:r w:rsidRPr="000F4B68">
        <w:rPr>
          <w:rFonts w:ascii="Arial" w:hAnsi="Arial" w:cs="Arial"/>
          <w:bCs/>
          <w:lang w:val="ro-RO"/>
        </w:rPr>
        <w:t>OCDE</w:t>
      </w:r>
      <w:r w:rsidRPr="00ED7973">
        <w:rPr>
          <w:rFonts w:ascii="Arial" w:hAnsi="Arial" w:cs="Arial"/>
          <w:lang w:val="ro-RO"/>
        </w:rPr>
        <w:t>)</w:t>
      </w:r>
      <w:r w:rsidRPr="00B03F38">
        <w:rPr>
          <w:rFonts w:ascii="Arial" w:hAnsi="Arial" w:cs="Arial"/>
          <w:lang w:val="ro-RO"/>
        </w:rPr>
        <w:t xml:space="preserve"> ce susține</w:t>
      </w:r>
      <w:r w:rsidRPr="00B03F38">
        <w:rPr>
          <w:rStyle w:val="Referinnotdesubsol"/>
          <w:rFonts w:ascii="Arial" w:hAnsi="Arial" w:cs="Arial"/>
          <w:lang w:val="ro-RO"/>
        </w:rPr>
        <w:footnoteReference w:id="1"/>
      </w:r>
      <w:r w:rsidRPr="00B03F38">
        <w:rPr>
          <w:rFonts w:ascii="Arial" w:hAnsi="Arial" w:cs="Arial"/>
          <w:lang w:val="ro-RO"/>
        </w:rPr>
        <w:t xml:space="preserve"> că pentru a elimina dubla-impozitare trebuie mai degrabă să preîntâmpinăm apariția acesteia iar acest rezultat poate fi atins cel mai ușor prin intermediul controalelor coordonate</w:t>
      </w:r>
      <w:r w:rsidRPr="00B03F38">
        <w:rPr>
          <w:rStyle w:val="Referinnotdesubsol"/>
          <w:rFonts w:ascii="Arial" w:hAnsi="Arial" w:cs="Arial"/>
          <w:lang w:val="ro-RO"/>
        </w:rPr>
        <w:footnoteReference w:id="2"/>
      </w:r>
      <w:r w:rsidRPr="00B03F38">
        <w:rPr>
          <w:rFonts w:ascii="Arial" w:hAnsi="Arial" w:cs="Arial"/>
          <w:lang w:val="ro-RO"/>
        </w:rPr>
        <w:t>.</w:t>
      </w:r>
    </w:p>
    <w:p w14:paraId="3D00FD95" w14:textId="77777777" w:rsidR="00B03F38" w:rsidRPr="00B03F38" w:rsidRDefault="00B03F38" w:rsidP="000702A4">
      <w:pPr>
        <w:spacing w:after="0" w:line="240" w:lineRule="auto"/>
        <w:jc w:val="both"/>
        <w:rPr>
          <w:rFonts w:ascii="Arial" w:hAnsi="Arial" w:cs="Arial"/>
          <w:lang w:val="ro-RO"/>
        </w:rPr>
      </w:pPr>
    </w:p>
    <w:p w14:paraId="6A0D1338" w14:textId="714A0846"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Cu toate acestea, administrațiile fiscale naționale și cu precădere Agenția Națională de Administrare Fiscală </w:t>
      </w:r>
      <w:r w:rsidRPr="00ED7973">
        <w:rPr>
          <w:rFonts w:ascii="Arial" w:hAnsi="Arial" w:cs="Arial"/>
          <w:lang w:val="ro-RO"/>
        </w:rPr>
        <w:t>(</w:t>
      </w:r>
      <w:r w:rsidRPr="000F4B68">
        <w:rPr>
          <w:rFonts w:ascii="Arial" w:hAnsi="Arial" w:cs="Arial"/>
          <w:bCs/>
          <w:lang w:val="ro-RO"/>
        </w:rPr>
        <w:t>ANAF</w:t>
      </w:r>
      <w:r w:rsidRPr="00ED7973">
        <w:rPr>
          <w:rFonts w:ascii="Arial" w:hAnsi="Arial" w:cs="Arial"/>
          <w:lang w:val="ro-RO"/>
        </w:rPr>
        <w:t>)</w:t>
      </w:r>
      <w:r w:rsidRPr="00ED7973">
        <w:rPr>
          <w:rStyle w:val="Referinnotdesubsol"/>
          <w:rFonts w:ascii="Arial" w:hAnsi="Arial" w:cs="Arial"/>
          <w:lang w:val="ro-RO"/>
        </w:rPr>
        <w:footnoteReference w:id="3"/>
      </w:r>
      <w:r w:rsidR="00A942B3">
        <w:rPr>
          <w:rFonts w:ascii="Arial" w:hAnsi="Arial" w:cs="Arial"/>
          <w:lang w:val="ro-RO"/>
        </w:rPr>
        <w:t xml:space="preserve"> </w:t>
      </w:r>
      <w:r w:rsidRPr="00B03F38">
        <w:rPr>
          <w:rFonts w:ascii="Arial" w:hAnsi="Arial" w:cs="Arial"/>
          <w:lang w:val="ro-RO"/>
        </w:rPr>
        <w:t>sunt reticente în a recurge la controalele coordonate, de vreme ce, practica ne arată</w:t>
      </w:r>
      <w:r w:rsidR="00A378FE">
        <w:rPr>
          <w:rFonts w:ascii="Arial" w:hAnsi="Arial" w:cs="Arial"/>
          <w:lang w:val="ro-RO"/>
        </w:rPr>
        <w:t xml:space="preserve"> </w:t>
      </w:r>
      <w:r w:rsidRPr="00B03F38">
        <w:rPr>
          <w:rFonts w:ascii="Arial" w:hAnsi="Arial" w:cs="Arial"/>
          <w:lang w:val="ro-RO"/>
        </w:rPr>
        <w:t>că principalul scop al acesteia pare a fi impozitarea cât mai substanțială a contribuabililor.</w:t>
      </w:r>
    </w:p>
    <w:p w14:paraId="12A7403C" w14:textId="77777777" w:rsidR="00B03F38" w:rsidRPr="00B03F38" w:rsidRDefault="00B03F38" w:rsidP="000702A4">
      <w:pPr>
        <w:spacing w:after="0" w:line="240" w:lineRule="auto"/>
        <w:jc w:val="both"/>
        <w:rPr>
          <w:rFonts w:ascii="Arial" w:hAnsi="Arial" w:cs="Arial"/>
          <w:lang w:val="ro-RO"/>
        </w:rPr>
      </w:pPr>
    </w:p>
    <w:p w14:paraId="3557FF0F"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Astfel, este important ca legiuitorul, atât cel european cât mai cu seamă cel național, să creeze un cadru legislativ care să conțină inclusiv pârghiile necesare pentru a „constrânge” administrațiile fiscale, atunci când este cazul, să efectueze controale coordonate în vederea unei mai bune taxări și a prevenirii dublei-impozitări, cu scopul de a realiza astfel certitudine fiscală și, în final, „</w:t>
      </w:r>
      <w:r w:rsidRPr="00B03F38">
        <w:rPr>
          <w:rFonts w:ascii="Arial" w:hAnsi="Arial" w:cs="Arial"/>
          <w:i/>
          <w:iCs/>
          <w:lang w:val="ro-RO"/>
        </w:rPr>
        <w:t>o economie in interesul cetățenilor</w:t>
      </w:r>
      <w:r w:rsidRPr="00B03F38">
        <w:rPr>
          <w:rFonts w:ascii="Arial" w:hAnsi="Arial" w:cs="Arial"/>
          <w:lang w:val="ro-RO"/>
        </w:rPr>
        <w:t>”</w:t>
      </w:r>
      <w:r w:rsidRPr="00B03F38">
        <w:rPr>
          <w:rStyle w:val="Referinnotdesubsol"/>
          <w:rFonts w:ascii="Arial" w:hAnsi="Arial" w:cs="Arial"/>
          <w:lang w:val="ro-RO"/>
        </w:rPr>
        <w:footnoteReference w:id="4"/>
      </w:r>
      <w:r w:rsidRPr="00B03F38">
        <w:rPr>
          <w:rFonts w:ascii="Arial" w:hAnsi="Arial" w:cs="Arial"/>
          <w:lang w:val="ro-RO"/>
        </w:rPr>
        <w:t>.</w:t>
      </w:r>
    </w:p>
    <w:p w14:paraId="0BE0C44F" w14:textId="77777777" w:rsidR="00B03F38" w:rsidRPr="00B03F38" w:rsidRDefault="00B03F38" w:rsidP="000702A4">
      <w:pPr>
        <w:spacing w:after="0" w:line="240" w:lineRule="auto"/>
        <w:jc w:val="both"/>
        <w:rPr>
          <w:rFonts w:ascii="Arial" w:hAnsi="Arial" w:cs="Arial"/>
          <w:lang w:val="ro-RO"/>
        </w:rPr>
      </w:pPr>
    </w:p>
    <w:p w14:paraId="48D7C6B7" w14:textId="124D8D38"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În linie cu cele enunțate mai sus, acum mai bine de 10 ani legiuitorul european a emis Directiva 2011/16/UE a Consiliului privind cooperarea administrativă în domeniul fiscal </w:t>
      </w:r>
      <w:r w:rsidRPr="00ED7973">
        <w:rPr>
          <w:rFonts w:ascii="Arial" w:hAnsi="Arial" w:cs="Arial"/>
          <w:lang w:val="ro-RO"/>
        </w:rPr>
        <w:t>(</w:t>
      </w:r>
      <w:r w:rsidR="00B1508C">
        <w:rPr>
          <w:rFonts w:ascii="Arial" w:hAnsi="Arial" w:cs="Arial"/>
          <w:lang w:val="ro-RO"/>
        </w:rPr>
        <w:t>„</w:t>
      </w:r>
      <w:r w:rsidRPr="00ED7973">
        <w:rPr>
          <w:rFonts w:ascii="Arial" w:hAnsi="Arial" w:cs="Arial"/>
          <w:b/>
          <w:bCs/>
          <w:lang w:val="ro-RO"/>
        </w:rPr>
        <w:t>DAC 1</w:t>
      </w:r>
      <w:r w:rsidRPr="00ED7973">
        <w:rPr>
          <w:rFonts w:ascii="Arial" w:hAnsi="Arial" w:cs="Arial"/>
          <w:lang w:val="ro-RO"/>
        </w:rPr>
        <w:t xml:space="preserve">”) </w:t>
      </w:r>
      <w:r w:rsidRPr="00B03F38">
        <w:rPr>
          <w:rFonts w:ascii="Arial" w:hAnsi="Arial" w:cs="Arial"/>
          <w:lang w:val="ro-RO"/>
        </w:rPr>
        <w:t xml:space="preserve">care reglementa, în mod rudimentar, posibilitatea – nu și obligația - statelor membre de a desfășura controale coordonate. Cu toate că DAC 1 a fost transpus în legislația națională (i.e. în Codul de procedură fiscală) prin intermediul Ordonanței Guvernului nr. 2/25.01.2012, autoritățile fiscale române au ocolit în general participarea la acest tip de controale. </w:t>
      </w:r>
    </w:p>
    <w:p w14:paraId="18EF4747" w14:textId="77777777" w:rsidR="00B03F38" w:rsidRPr="00B03F38" w:rsidRDefault="00B03F38" w:rsidP="000702A4">
      <w:pPr>
        <w:spacing w:after="0" w:line="240" w:lineRule="auto"/>
        <w:jc w:val="both"/>
        <w:rPr>
          <w:rFonts w:ascii="Arial" w:hAnsi="Arial" w:cs="Arial"/>
          <w:lang w:val="ro-RO"/>
        </w:rPr>
      </w:pPr>
    </w:p>
    <w:p w14:paraId="2E8E3EBE" w14:textId="6983B432"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Pe de altă parte, nici legiuitorul european nu s-a dovedit a fi prea ambițios în această materie  - deși DAC 1 a fost modificată de nu mai puțin de cinci ori</w:t>
      </w:r>
      <w:r w:rsidRPr="00B03F38">
        <w:rPr>
          <w:rStyle w:val="Referinnotdesubsol"/>
          <w:rFonts w:ascii="Arial" w:hAnsi="Arial" w:cs="Arial"/>
          <w:lang w:val="ro-RO"/>
        </w:rPr>
        <w:footnoteReference w:id="5"/>
      </w:r>
      <w:r w:rsidR="00A378FE">
        <w:rPr>
          <w:rFonts w:ascii="Arial" w:hAnsi="Arial" w:cs="Arial"/>
          <w:lang w:val="ro-RO"/>
        </w:rPr>
        <w:t>. Astfel,</w:t>
      </w:r>
      <w:r w:rsidRPr="00B03F38">
        <w:rPr>
          <w:rFonts w:ascii="Arial" w:hAnsi="Arial" w:cs="Arial"/>
          <w:lang w:val="ro-RO"/>
        </w:rPr>
        <w:t xml:space="preserve"> controalele coordonate au rămas neatinse până în 2021</w:t>
      </w:r>
      <w:r w:rsidR="00A378FE">
        <w:rPr>
          <w:rFonts w:ascii="Arial" w:hAnsi="Arial" w:cs="Arial"/>
          <w:lang w:val="ro-RO"/>
        </w:rPr>
        <w:t>,</w:t>
      </w:r>
      <w:r w:rsidRPr="00B03F38">
        <w:rPr>
          <w:rFonts w:ascii="Arial" w:hAnsi="Arial" w:cs="Arial"/>
          <w:lang w:val="ro-RO"/>
        </w:rPr>
        <w:t xml:space="preserve"> când prin a șasea modificare, respectiv prin Directiva 2021/514</w:t>
      </w:r>
      <w:r w:rsidR="00A378FE">
        <w:rPr>
          <w:rFonts w:ascii="Arial" w:hAnsi="Arial" w:cs="Arial"/>
          <w:lang w:val="ro-RO"/>
        </w:rPr>
        <w:t xml:space="preserve"> a</w:t>
      </w:r>
      <w:r w:rsidRPr="00B03F38">
        <w:rPr>
          <w:rFonts w:ascii="Arial" w:hAnsi="Arial" w:cs="Arial"/>
          <w:lang w:val="ro-RO"/>
        </w:rPr>
        <w:t xml:space="preserve"> Consiliului din 22 martie 2021 de modificare a Directivei 2011/16/UE privind cooperarea administrativă în domeniul fiscal </w:t>
      </w:r>
      <w:r w:rsidRPr="00ED7973">
        <w:rPr>
          <w:rFonts w:ascii="Arial" w:hAnsi="Arial" w:cs="Arial"/>
          <w:lang w:val="ro-RO"/>
        </w:rPr>
        <w:t>(</w:t>
      </w:r>
      <w:r w:rsidR="00B1508C">
        <w:rPr>
          <w:rFonts w:ascii="Arial" w:hAnsi="Arial" w:cs="Arial"/>
          <w:lang w:val="ro-RO"/>
        </w:rPr>
        <w:t>„</w:t>
      </w:r>
      <w:r w:rsidRPr="00ED7973">
        <w:rPr>
          <w:rFonts w:ascii="Arial" w:hAnsi="Arial" w:cs="Arial"/>
          <w:b/>
          <w:bCs/>
          <w:lang w:val="ro-RO"/>
        </w:rPr>
        <w:t>DAC 7</w:t>
      </w:r>
      <w:r w:rsidRPr="00ED7973">
        <w:rPr>
          <w:rFonts w:ascii="Arial" w:hAnsi="Arial" w:cs="Arial"/>
          <w:lang w:val="ro-RO"/>
        </w:rPr>
        <w:t>”),</w:t>
      </w:r>
      <w:r w:rsidRPr="00B03F38">
        <w:rPr>
          <w:rFonts w:ascii="Arial" w:hAnsi="Arial" w:cs="Arial"/>
          <w:lang w:val="ro-RO"/>
        </w:rPr>
        <w:t xml:space="preserve"> reglementarea a fost actualizată.</w:t>
      </w:r>
    </w:p>
    <w:p w14:paraId="2209D199" w14:textId="77777777" w:rsidR="00B03F38" w:rsidRPr="00B03F38" w:rsidRDefault="00B03F38" w:rsidP="000702A4">
      <w:pPr>
        <w:spacing w:after="0" w:line="240" w:lineRule="auto"/>
        <w:jc w:val="both"/>
        <w:rPr>
          <w:rFonts w:ascii="Arial" w:hAnsi="Arial" w:cs="Arial"/>
          <w:lang w:val="ro-RO"/>
        </w:rPr>
      </w:pPr>
    </w:p>
    <w:p w14:paraId="6DBA9480" w14:textId="5A5F5AE9"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În cadrul prezentului articol ne-am propus să prezentăm DAC 7, cea mai nouă </w:t>
      </w:r>
      <w:r w:rsidR="00B1508C">
        <w:rPr>
          <w:rFonts w:ascii="Arial" w:hAnsi="Arial" w:cs="Arial"/>
          <w:lang w:val="ro-RO"/>
        </w:rPr>
        <w:t>„</w:t>
      </w:r>
      <w:r w:rsidRPr="00B03F38">
        <w:rPr>
          <w:rFonts w:ascii="Arial" w:hAnsi="Arial" w:cs="Arial"/>
          <w:lang w:val="ro-RO"/>
        </w:rPr>
        <w:t xml:space="preserve">armă” în lupta împotriva dublei-impuneri, care, deși îmbunătățește semnificativ cadrul legislativ, </w:t>
      </w:r>
      <w:r w:rsidR="00A378FE" w:rsidRPr="00B03F38">
        <w:rPr>
          <w:rFonts w:ascii="Arial" w:hAnsi="Arial" w:cs="Arial"/>
          <w:lang w:val="ro-RO"/>
        </w:rPr>
        <w:t>a</w:t>
      </w:r>
      <w:r w:rsidR="00A378FE">
        <w:rPr>
          <w:rFonts w:ascii="Arial" w:hAnsi="Arial" w:cs="Arial"/>
          <w:lang w:val="ro-RO"/>
        </w:rPr>
        <w:t xml:space="preserve">șa </w:t>
      </w:r>
      <w:r w:rsidRPr="00B03F38">
        <w:rPr>
          <w:rFonts w:ascii="Arial" w:hAnsi="Arial" w:cs="Arial"/>
          <w:lang w:val="ro-RO"/>
        </w:rPr>
        <w:t xml:space="preserve">cum vom arăta, prezintă și serioase deficiențe. </w:t>
      </w:r>
    </w:p>
    <w:p w14:paraId="29DFDC00" w14:textId="77777777" w:rsidR="00B03F38" w:rsidRPr="00B03F38" w:rsidRDefault="00B03F38" w:rsidP="000702A4">
      <w:pPr>
        <w:spacing w:after="0" w:line="240" w:lineRule="auto"/>
        <w:jc w:val="both"/>
        <w:rPr>
          <w:rFonts w:ascii="Arial" w:hAnsi="Arial" w:cs="Arial"/>
          <w:lang w:val="ro-RO"/>
        </w:rPr>
      </w:pPr>
    </w:p>
    <w:p w14:paraId="0C07BC40" w14:textId="77777777" w:rsidR="00B03F38" w:rsidRPr="00B03F38" w:rsidRDefault="00B03F38" w:rsidP="000702A4">
      <w:pPr>
        <w:pStyle w:val="Listparagraf"/>
        <w:numPr>
          <w:ilvl w:val="0"/>
          <w:numId w:val="1"/>
        </w:numPr>
        <w:ind w:hanging="720"/>
        <w:jc w:val="both"/>
        <w:rPr>
          <w:rFonts w:ascii="Arial" w:hAnsi="Arial" w:cs="Arial"/>
          <w:b/>
          <w:bCs/>
          <w:lang w:val="ro-RO"/>
        </w:rPr>
      </w:pPr>
      <w:r w:rsidRPr="00B03F38">
        <w:rPr>
          <w:rFonts w:ascii="Arial" w:hAnsi="Arial" w:cs="Arial"/>
          <w:b/>
          <w:bCs/>
          <w:lang w:val="ro-RO"/>
        </w:rPr>
        <w:t>Ce aduce nou DAC 7 și ce îi lipsește?</w:t>
      </w:r>
    </w:p>
    <w:p w14:paraId="1FCDAB55" w14:textId="77777777" w:rsidR="00B03F38" w:rsidRPr="00B03F38" w:rsidRDefault="00B03F38" w:rsidP="000702A4">
      <w:pPr>
        <w:spacing w:after="0" w:line="240" w:lineRule="auto"/>
        <w:jc w:val="both"/>
        <w:rPr>
          <w:rFonts w:ascii="Arial" w:hAnsi="Arial" w:cs="Arial"/>
          <w:lang w:val="ro-RO"/>
        </w:rPr>
      </w:pPr>
    </w:p>
    <w:p w14:paraId="3032ABAE" w14:textId="11E4501A" w:rsidR="00B03F38" w:rsidRPr="00ED7973" w:rsidRDefault="00B03F38" w:rsidP="000702A4">
      <w:pPr>
        <w:spacing w:after="0" w:line="240" w:lineRule="auto"/>
        <w:jc w:val="both"/>
        <w:rPr>
          <w:rFonts w:ascii="Arial" w:hAnsi="Arial" w:cs="Arial"/>
          <w:lang w:val="ro-RO"/>
        </w:rPr>
      </w:pPr>
      <w:r w:rsidRPr="00B03F38">
        <w:rPr>
          <w:rFonts w:ascii="Arial" w:hAnsi="Arial" w:cs="Arial"/>
          <w:b/>
          <w:bCs/>
          <w:i/>
          <w:iCs/>
          <w:lang w:val="ro-RO"/>
        </w:rPr>
        <w:t>În primul rând</w:t>
      </w:r>
      <w:r w:rsidRPr="00B03F38">
        <w:rPr>
          <w:rFonts w:ascii="Arial" w:hAnsi="Arial" w:cs="Arial"/>
          <w:lang w:val="ro-RO"/>
        </w:rPr>
        <w:t xml:space="preserve">, </w:t>
      </w:r>
      <w:r w:rsidRPr="00ED7973">
        <w:rPr>
          <w:rFonts w:ascii="Arial" w:hAnsi="Arial" w:cs="Arial"/>
          <w:lang w:val="ro-RO"/>
        </w:rPr>
        <w:t>spre deosebire de DAC1, DAC 7 definește, în premieră, termenul de „</w:t>
      </w:r>
      <w:r w:rsidRPr="000F4B68">
        <w:rPr>
          <w:rFonts w:ascii="Arial" w:hAnsi="Arial" w:cs="Arial"/>
          <w:iCs/>
          <w:lang w:val="ro-RO"/>
        </w:rPr>
        <w:t>control comun</w:t>
      </w:r>
      <w:r w:rsidRPr="00ED7973">
        <w:rPr>
          <w:rFonts w:ascii="Arial" w:hAnsi="Arial" w:cs="Arial"/>
          <w:lang w:val="ro-RO"/>
        </w:rPr>
        <w:t xml:space="preserve">”, </w:t>
      </w:r>
      <w:r w:rsidR="00A378FE" w:rsidRPr="00ED7973">
        <w:rPr>
          <w:rFonts w:ascii="Arial" w:hAnsi="Arial" w:cs="Arial"/>
          <w:lang w:val="ro-RO"/>
        </w:rPr>
        <w:t>drept</w:t>
      </w:r>
      <w:r w:rsidRPr="00DB5E00">
        <w:rPr>
          <w:rFonts w:ascii="Arial" w:hAnsi="Arial" w:cs="Arial"/>
          <w:lang w:val="ro-RO"/>
        </w:rPr>
        <w:t xml:space="preserve"> </w:t>
      </w:r>
      <w:r w:rsidR="00B1508C">
        <w:rPr>
          <w:rFonts w:ascii="Arial" w:hAnsi="Arial" w:cs="Arial"/>
          <w:i/>
          <w:lang w:val="ro-RO"/>
        </w:rPr>
        <w:t>„</w:t>
      </w:r>
      <w:r w:rsidRPr="00ED7973">
        <w:rPr>
          <w:rFonts w:ascii="Arial" w:hAnsi="Arial" w:cs="Arial"/>
          <w:i/>
          <w:iCs/>
          <w:lang w:val="ro-RO"/>
        </w:rPr>
        <w:t xml:space="preserve">Ancheta administrativă desfășurată în comun de autoritățile competente din două sau mai multe state membre și care au </w:t>
      </w:r>
      <w:r w:rsidR="00A378FE" w:rsidRPr="00DB5E00">
        <w:rPr>
          <w:rFonts w:ascii="Arial" w:hAnsi="Arial" w:cs="Arial"/>
          <w:i/>
          <w:iCs/>
          <w:lang w:val="ro-RO"/>
        </w:rPr>
        <w:t xml:space="preserve">legătură </w:t>
      </w:r>
      <w:r w:rsidRPr="00DB5E00">
        <w:rPr>
          <w:rFonts w:ascii="Arial" w:hAnsi="Arial" w:cs="Arial"/>
          <w:i/>
          <w:iCs/>
          <w:lang w:val="ro-RO"/>
        </w:rPr>
        <w:t>cu una sau mai multe persoane care sunt de interes comun sau complementar pentru autoritățile competente din statele membre respective</w:t>
      </w:r>
      <w:r w:rsidRPr="000F4B68">
        <w:rPr>
          <w:rFonts w:ascii="Arial" w:hAnsi="Arial" w:cs="Arial"/>
          <w:i/>
          <w:lang w:val="ro-RO"/>
        </w:rPr>
        <w:t>”</w:t>
      </w:r>
      <w:r w:rsidRPr="00ED7973">
        <w:rPr>
          <w:rFonts w:ascii="Arial" w:hAnsi="Arial" w:cs="Arial"/>
          <w:lang w:val="ro-RO"/>
        </w:rPr>
        <w:t xml:space="preserve">. </w:t>
      </w:r>
      <w:r w:rsidRPr="00ED7973">
        <w:rPr>
          <w:rStyle w:val="Referinnotdesubsol"/>
          <w:rFonts w:ascii="Arial" w:hAnsi="Arial" w:cs="Arial"/>
          <w:lang w:val="ro-RO"/>
        </w:rPr>
        <w:footnoteReference w:id="6"/>
      </w:r>
    </w:p>
    <w:p w14:paraId="22F0F6D9" w14:textId="77777777" w:rsidR="00B03F38" w:rsidRPr="00B03F38" w:rsidRDefault="00B03F38" w:rsidP="000702A4">
      <w:pPr>
        <w:spacing w:after="0" w:line="240" w:lineRule="auto"/>
        <w:rPr>
          <w:rFonts w:ascii="Arial" w:hAnsi="Arial" w:cs="Arial"/>
          <w:lang w:val="ro-RO"/>
        </w:rPr>
      </w:pPr>
    </w:p>
    <w:p w14:paraId="113AA4FF"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Definirea termenului de control comun în legislația europeană este mai mult decât bine-venită întrucât stabilește un consens, la nivel european, cu privire la semnificația controalelor comune, uniformizând astfel noțiunea și oferind previzibilitate legislativă în rândul statelor membre.</w:t>
      </w:r>
    </w:p>
    <w:p w14:paraId="11D88D07" w14:textId="77777777" w:rsidR="00B03F38" w:rsidRPr="00B03F38" w:rsidRDefault="00B03F38" w:rsidP="000702A4">
      <w:pPr>
        <w:spacing w:after="0" w:line="240" w:lineRule="auto"/>
        <w:rPr>
          <w:rFonts w:ascii="Arial" w:hAnsi="Arial" w:cs="Arial"/>
          <w:lang w:val="ro-RO"/>
        </w:rPr>
      </w:pPr>
    </w:p>
    <w:p w14:paraId="3BA6F679"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b/>
          <w:bCs/>
          <w:i/>
          <w:iCs/>
          <w:lang w:val="ro-RO"/>
        </w:rPr>
        <w:t>În al doilea rând</w:t>
      </w:r>
      <w:r w:rsidRPr="00B03F38">
        <w:rPr>
          <w:rFonts w:ascii="Arial" w:hAnsi="Arial" w:cs="Arial"/>
          <w:lang w:val="ro-RO"/>
        </w:rPr>
        <w:t>, DAC 7 modifică Art. 11 – „</w:t>
      </w:r>
      <w:r w:rsidRPr="00B03F38">
        <w:rPr>
          <w:rFonts w:ascii="Arial" w:hAnsi="Arial" w:cs="Arial"/>
          <w:i/>
          <w:iCs/>
          <w:lang w:val="ro-RO"/>
        </w:rPr>
        <w:t>Prezenţa în birourile administrative și participarea la anchetele administrative</w:t>
      </w:r>
      <w:r w:rsidRPr="00B03F38">
        <w:rPr>
          <w:rFonts w:ascii="Arial" w:hAnsi="Arial" w:cs="Arial"/>
          <w:lang w:val="ro-RO"/>
        </w:rPr>
        <w:t>”, precum și Art. 12, „</w:t>
      </w:r>
      <w:r w:rsidRPr="00B03F38">
        <w:rPr>
          <w:rFonts w:ascii="Arial" w:hAnsi="Arial" w:cs="Arial"/>
          <w:i/>
          <w:iCs/>
          <w:lang w:val="ro-RO"/>
        </w:rPr>
        <w:t>controalele simultane</w:t>
      </w:r>
      <w:r w:rsidRPr="00B03F38">
        <w:rPr>
          <w:rFonts w:ascii="Arial" w:hAnsi="Arial" w:cs="Arial"/>
          <w:lang w:val="ro-RO"/>
        </w:rPr>
        <w:t xml:space="preserve">” din vechea DAC 1, aducând mici, dar importante îmbunătățiri. </w:t>
      </w:r>
    </w:p>
    <w:p w14:paraId="0F4A4AE3" w14:textId="77777777" w:rsidR="00B03F38" w:rsidRPr="00B03F38" w:rsidRDefault="00B03F38" w:rsidP="000702A4">
      <w:pPr>
        <w:spacing w:after="0" w:line="240" w:lineRule="auto"/>
        <w:rPr>
          <w:rFonts w:ascii="Arial" w:hAnsi="Arial" w:cs="Arial"/>
          <w:lang w:val="ro-RO"/>
        </w:rPr>
      </w:pPr>
    </w:p>
    <w:p w14:paraId="3027B285" w14:textId="386626D0" w:rsidR="00B03F38" w:rsidRPr="00B03F38" w:rsidRDefault="00B03F38" w:rsidP="000702A4">
      <w:pPr>
        <w:spacing w:after="0" w:line="240" w:lineRule="auto"/>
        <w:jc w:val="both"/>
        <w:rPr>
          <w:rFonts w:ascii="Arial" w:hAnsi="Arial" w:cs="Arial"/>
          <w:lang w:val="ro-RO"/>
        </w:rPr>
      </w:pPr>
      <w:r w:rsidRPr="00B03F38">
        <w:rPr>
          <w:rFonts w:ascii="Arial" w:hAnsi="Arial" w:cs="Arial"/>
          <w:i/>
          <w:iCs/>
          <w:lang w:val="ro-RO"/>
        </w:rPr>
        <w:t>Cu privire la participarea la anchetele administrative</w:t>
      </w:r>
      <w:r w:rsidRPr="00B03F38">
        <w:rPr>
          <w:rFonts w:ascii="Arial" w:hAnsi="Arial" w:cs="Arial"/>
          <w:lang w:val="ro-RO"/>
        </w:rPr>
        <w:t>, art. 11 schimbă modalitatea în care se declanșează acestea – de la inițierea lor printr-un „acord” între cele două state ale căror organe fiscale participau la anchete administrative</w:t>
      </w:r>
      <w:r w:rsidR="00DB5E00">
        <w:rPr>
          <w:rFonts w:ascii="Arial" w:hAnsi="Arial" w:cs="Arial"/>
          <w:lang w:val="ro-RO"/>
        </w:rPr>
        <w:t>,</w:t>
      </w:r>
      <w:r w:rsidRPr="00B03F38">
        <w:rPr>
          <w:rFonts w:ascii="Arial" w:hAnsi="Arial" w:cs="Arial"/>
          <w:lang w:val="ro-RO"/>
        </w:rPr>
        <w:t xml:space="preserve"> la </w:t>
      </w:r>
      <w:r w:rsidR="00DB5E00" w:rsidRPr="00B03F38">
        <w:rPr>
          <w:rFonts w:ascii="Arial" w:hAnsi="Arial" w:cs="Arial"/>
          <w:lang w:val="ro-RO"/>
        </w:rPr>
        <w:t>realiz</w:t>
      </w:r>
      <w:r w:rsidR="00DB5E00">
        <w:rPr>
          <w:rFonts w:ascii="Arial" w:hAnsi="Arial" w:cs="Arial"/>
          <w:lang w:val="ro-RO"/>
        </w:rPr>
        <w:t xml:space="preserve">area </w:t>
      </w:r>
      <w:r w:rsidRPr="00B03F38">
        <w:rPr>
          <w:rFonts w:ascii="Arial" w:hAnsi="Arial" w:cs="Arial"/>
          <w:lang w:val="ro-RO"/>
        </w:rPr>
        <w:t>acestora pe baza unei cereri pe care organul fiscal solicitat o poate accepta sau refuza în mod justificat</w:t>
      </w:r>
      <w:r w:rsidR="00DB5E00">
        <w:rPr>
          <w:rFonts w:ascii="Arial" w:hAnsi="Arial" w:cs="Arial"/>
          <w:lang w:val="ro-RO"/>
        </w:rPr>
        <w:t>,</w:t>
      </w:r>
      <w:r w:rsidRPr="00B03F38">
        <w:rPr>
          <w:rFonts w:ascii="Arial" w:hAnsi="Arial" w:cs="Arial"/>
          <w:lang w:val="ro-RO"/>
        </w:rPr>
        <w:t xml:space="preserve"> dar într-un termen de 60 de zile. </w:t>
      </w:r>
    </w:p>
    <w:p w14:paraId="7DF859CD" w14:textId="77777777" w:rsidR="00B03F38" w:rsidRPr="00B03F38" w:rsidRDefault="00B03F38" w:rsidP="000702A4">
      <w:pPr>
        <w:spacing w:after="0" w:line="240" w:lineRule="auto"/>
        <w:rPr>
          <w:rFonts w:ascii="Arial" w:hAnsi="Arial" w:cs="Arial"/>
          <w:lang w:val="ro-RO"/>
        </w:rPr>
      </w:pPr>
    </w:p>
    <w:p w14:paraId="3B9A043C"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lastRenderedPageBreak/>
        <w:t xml:space="preserve">Se poate observa, astfel, că DAC 7 elimină parțial incertitudinile generate de folosirea </w:t>
      </w:r>
      <w:r w:rsidRPr="00B03F38">
        <w:rPr>
          <w:rFonts w:ascii="Arial" w:hAnsi="Arial" w:cs="Arial"/>
          <w:i/>
          <w:iCs/>
          <w:lang w:val="ro-RO"/>
        </w:rPr>
        <w:t xml:space="preserve">lato </w:t>
      </w:r>
      <w:proofErr w:type="spellStart"/>
      <w:r w:rsidRPr="00B03F38">
        <w:rPr>
          <w:rFonts w:ascii="Arial" w:hAnsi="Arial" w:cs="Arial"/>
          <w:i/>
          <w:iCs/>
          <w:lang w:val="ro-RO"/>
        </w:rPr>
        <w:t>sensu</w:t>
      </w:r>
      <w:proofErr w:type="spellEnd"/>
      <w:r w:rsidRPr="00B03F38">
        <w:rPr>
          <w:rFonts w:ascii="Arial" w:hAnsi="Arial" w:cs="Arial"/>
          <w:i/>
          <w:iCs/>
          <w:lang w:val="ro-RO"/>
        </w:rPr>
        <w:t xml:space="preserve"> </w:t>
      </w:r>
      <w:r w:rsidRPr="00B03F38">
        <w:rPr>
          <w:rFonts w:ascii="Arial" w:hAnsi="Arial" w:cs="Arial"/>
          <w:lang w:val="ro-RO"/>
        </w:rPr>
        <w:t xml:space="preserve">a termenului „acord”, și reglementează care sunt elementele prin care se constituie respectivul acord, respectiv formularea unei cereri, care poate fi acceptată sau nu, într-un anumit termen expres stipulat. </w:t>
      </w:r>
    </w:p>
    <w:p w14:paraId="1EA147E4" w14:textId="77777777" w:rsidR="00B03F38" w:rsidRPr="00B03F38" w:rsidRDefault="00B03F38" w:rsidP="000702A4">
      <w:pPr>
        <w:spacing w:after="0" w:line="240" w:lineRule="auto"/>
        <w:rPr>
          <w:rFonts w:ascii="Arial" w:hAnsi="Arial" w:cs="Arial"/>
          <w:lang w:val="ro-RO"/>
        </w:rPr>
      </w:pPr>
    </w:p>
    <w:p w14:paraId="2C4FC45B"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Totodată, DAC 7 reglementează în mod expres posibilitatea autorității străine de a intervieva anumite persoane sau de a examina probe, sub rezerva normelor procedurale din statul gazdă. Și această modificare reprezintă un pas înainte față de vechea reglementare, care prevedea faptul că organele statului solicitat pot întreprinde astfel de demersuri </w:t>
      </w:r>
      <w:r w:rsidRPr="00B03F38">
        <w:rPr>
          <w:rFonts w:ascii="Arial" w:hAnsi="Arial" w:cs="Arial"/>
          <w:i/>
          <w:iCs/>
          <w:lang w:val="ro-RO"/>
        </w:rPr>
        <w:t>numai în măsura în care legislația statului solicitat permitea acest lucru</w:t>
      </w:r>
      <w:r w:rsidRPr="00B03F38">
        <w:rPr>
          <w:rFonts w:ascii="Arial" w:hAnsi="Arial" w:cs="Arial"/>
          <w:lang w:val="ro-RO"/>
        </w:rPr>
        <w:t xml:space="preserve">. </w:t>
      </w:r>
    </w:p>
    <w:p w14:paraId="0B2C9853" w14:textId="77777777" w:rsidR="00B03F38" w:rsidRPr="00B03F38" w:rsidRDefault="00B03F38" w:rsidP="000702A4">
      <w:pPr>
        <w:spacing w:after="0" w:line="240" w:lineRule="auto"/>
        <w:rPr>
          <w:rFonts w:ascii="Arial" w:hAnsi="Arial" w:cs="Arial"/>
          <w:lang w:val="ro-RO"/>
        </w:rPr>
      </w:pPr>
    </w:p>
    <w:p w14:paraId="48DC63A5" w14:textId="2E97E79C"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Prin această modificare</w:t>
      </w:r>
      <w:r w:rsidR="00DB5E00">
        <w:rPr>
          <w:rFonts w:ascii="Arial" w:hAnsi="Arial" w:cs="Arial"/>
          <w:lang w:val="ro-RO"/>
        </w:rPr>
        <w:t>,</w:t>
      </w:r>
      <w:r w:rsidRPr="00B03F38">
        <w:rPr>
          <w:rFonts w:ascii="Arial" w:hAnsi="Arial" w:cs="Arial"/>
          <w:lang w:val="ro-RO"/>
        </w:rPr>
        <w:t xml:space="preserve"> DAC 7 stabilește, la nivel de directivă, posibilitatea organelor din statul străin de a intervieva persoane și de a examina probe, eliminând astfel potențialele prevederi din legislațiile statelor membre care interziceau o astfel de interacțiune a autorităților fiscale străine.</w:t>
      </w:r>
    </w:p>
    <w:p w14:paraId="49E79352" w14:textId="77777777" w:rsidR="00B03F38" w:rsidRPr="00B03F38" w:rsidRDefault="00B03F38" w:rsidP="000702A4">
      <w:pPr>
        <w:spacing w:after="0" w:line="240" w:lineRule="auto"/>
        <w:rPr>
          <w:rFonts w:ascii="Arial" w:hAnsi="Arial" w:cs="Arial"/>
          <w:lang w:val="ro-RO"/>
        </w:rPr>
      </w:pPr>
    </w:p>
    <w:p w14:paraId="540B9D96" w14:textId="41EBC9BC" w:rsidR="00B03F38" w:rsidRPr="00B03F38" w:rsidRDefault="00B03F38" w:rsidP="000702A4">
      <w:pPr>
        <w:spacing w:after="0" w:line="240" w:lineRule="auto"/>
        <w:jc w:val="both"/>
        <w:rPr>
          <w:rFonts w:ascii="Arial" w:hAnsi="Arial" w:cs="Arial"/>
          <w:lang w:val="ro-RO"/>
        </w:rPr>
      </w:pPr>
      <w:r w:rsidRPr="00B03F38">
        <w:rPr>
          <w:rFonts w:ascii="Arial" w:hAnsi="Arial" w:cs="Arial"/>
          <w:i/>
          <w:iCs/>
          <w:lang w:val="ro-RO"/>
        </w:rPr>
        <w:t>Cu privire la controalele simultane</w:t>
      </w:r>
      <w:r w:rsidRPr="00B03F38">
        <w:rPr>
          <w:rFonts w:ascii="Arial" w:hAnsi="Arial" w:cs="Arial"/>
          <w:lang w:val="ro-RO"/>
        </w:rPr>
        <w:t xml:space="preserve">, în plus față de reglementarea anterioară, se stabilește un termen de 60 de zile în care organele fiscale implicate comunică acceptul sau refuzul motivat de a participa la un astfel de tip de control. </w:t>
      </w:r>
      <w:r w:rsidR="00DB5E00">
        <w:rPr>
          <w:rFonts w:ascii="Arial" w:hAnsi="Arial" w:cs="Arial"/>
          <w:lang w:val="ro-RO"/>
        </w:rPr>
        <w:t>Prin urmare</w:t>
      </w:r>
      <w:r w:rsidRPr="00B03F38">
        <w:rPr>
          <w:rFonts w:ascii="Arial" w:hAnsi="Arial" w:cs="Arial"/>
          <w:lang w:val="ro-RO"/>
        </w:rPr>
        <w:t xml:space="preserve">, se elimină posibilitatea tergiversării </w:t>
      </w:r>
      <w:r w:rsidRPr="00B03F38">
        <w:rPr>
          <w:rFonts w:ascii="Arial" w:hAnsi="Arial" w:cs="Arial"/>
          <w:i/>
          <w:iCs/>
          <w:lang w:val="ro-RO"/>
        </w:rPr>
        <w:t xml:space="preserve">sine die </w:t>
      </w:r>
      <w:r w:rsidRPr="00B03F38">
        <w:rPr>
          <w:rFonts w:ascii="Arial" w:hAnsi="Arial" w:cs="Arial"/>
          <w:lang w:val="ro-RO"/>
        </w:rPr>
        <w:t xml:space="preserve">a încheierii unui acord între statele ce urmează a desfășura controale simultane și crește gradul de certitudine cu privire la efectuarea sau nu a unui asemenea control. </w:t>
      </w:r>
    </w:p>
    <w:p w14:paraId="5CA95370" w14:textId="77777777" w:rsidR="00B03F38" w:rsidRPr="00B03F38" w:rsidRDefault="00B03F38" w:rsidP="000702A4">
      <w:pPr>
        <w:spacing w:after="0" w:line="240" w:lineRule="auto"/>
        <w:rPr>
          <w:rFonts w:ascii="Arial" w:hAnsi="Arial" w:cs="Arial"/>
          <w:lang w:val="ro-RO"/>
        </w:rPr>
      </w:pPr>
    </w:p>
    <w:p w14:paraId="66F2E89F"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Cu toate acestea, DAC 7 nu reglementează și consecințele nerespectării termenului de 60 zile. Aceasta nu înseamnă că statele membre ce au obligația de a transpune în dreptul intern DAC 7 nu pot crea un regim mai restrictiv și mai eficient, cum ar fi spre exemplu o stabilire a faptului că lipsa emiterii unui răspuns în termenul de 60 de zile reprezintă acordul organului fiscal solicitat de a declanșa controlul. </w:t>
      </w:r>
    </w:p>
    <w:p w14:paraId="0FD2FC0C" w14:textId="77777777" w:rsidR="00B03F38" w:rsidRPr="00B03F38" w:rsidRDefault="00B03F38" w:rsidP="000702A4">
      <w:pPr>
        <w:spacing w:after="0" w:line="240" w:lineRule="auto"/>
        <w:rPr>
          <w:rFonts w:ascii="Arial" w:hAnsi="Arial" w:cs="Arial"/>
          <w:b/>
          <w:bCs/>
          <w:i/>
          <w:iCs/>
          <w:lang w:val="ro-RO"/>
        </w:rPr>
      </w:pPr>
    </w:p>
    <w:p w14:paraId="2C1C1B7F"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b/>
          <w:bCs/>
          <w:i/>
          <w:iCs/>
          <w:lang w:val="ro-RO"/>
        </w:rPr>
        <w:t>În al treilea rând</w:t>
      </w:r>
      <w:r w:rsidRPr="00B03F38">
        <w:rPr>
          <w:rFonts w:ascii="Arial" w:hAnsi="Arial" w:cs="Arial"/>
          <w:i/>
          <w:iCs/>
          <w:lang w:val="ro-RO"/>
        </w:rPr>
        <w:t xml:space="preserve">, </w:t>
      </w:r>
      <w:r w:rsidRPr="00B03F38">
        <w:rPr>
          <w:rFonts w:ascii="Arial" w:hAnsi="Arial" w:cs="Arial"/>
          <w:lang w:val="ro-RO"/>
        </w:rPr>
        <w:t>DAC 7 introduce un nou articol 12a, intitulat ”</w:t>
      </w:r>
      <w:r w:rsidRPr="00B03F38">
        <w:rPr>
          <w:rFonts w:ascii="Arial" w:hAnsi="Arial" w:cs="Arial"/>
          <w:i/>
          <w:iCs/>
          <w:lang w:val="ro-RO"/>
        </w:rPr>
        <w:t>controalele comune”</w:t>
      </w:r>
      <w:r w:rsidRPr="00B03F38">
        <w:rPr>
          <w:rFonts w:ascii="Arial" w:hAnsi="Arial" w:cs="Arial"/>
          <w:lang w:val="ro-RO"/>
        </w:rPr>
        <w:t>, care reglementează, mai în detaliu, o serie de aspecte esențiale pentru buna desfășurare a acestora. Din punctul nostru de vedere, acest articol reprezintă esența și principala modalitate prin care DAC 7 îmbunătățește cadrul legislativ în materia controalelor coordonate.</w:t>
      </w:r>
    </w:p>
    <w:p w14:paraId="4D57A762" w14:textId="77777777" w:rsidR="00B03F38" w:rsidRPr="00B03F38" w:rsidRDefault="00B03F38" w:rsidP="000702A4">
      <w:pPr>
        <w:spacing w:after="0" w:line="240" w:lineRule="auto"/>
        <w:rPr>
          <w:rFonts w:ascii="Arial" w:hAnsi="Arial" w:cs="Arial"/>
          <w:lang w:val="ro-RO"/>
        </w:rPr>
      </w:pPr>
    </w:p>
    <w:p w14:paraId="36BD490C"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Răspunzând criticilor aduse DAC 1, DAC 7 stabilește în premieră ce lege va guverna activitatea de control fiscal realizată de organele fiscale din două sau mai multe state.</w:t>
      </w:r>
    </w:p>
    <w:p w14:paraId="16A82129" w14:textId="77777777" w:rsidR="00B03F38" w:rsidRPr="00B03F38" w:rsidRDefault="00B03F38" w:rsidP="000702A4">
      <w:pPr>
        <w:spacing w:after="0" w:line="240" w:lineRule="auto"/>
        <w:rPr>
          <w:rFonts w:ascii="Arial" w:hAnsi="Arial" w:cs="Arial"/>
          <w:lang w:val="ro-RO"/>
        </w:rPr>
      </w:pPr>
    </w:p>
    <w:p w14:paraId="4B0CE687" w14:textId="433E1955"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Mai exact, se prevede în mod expres că drepturile </w:t>
      </w:r>
      <w:r w:rsidR="00DB5E00">
        <w:rPr>
          <w:rFonts w:ascii="Arial" w:hAnsi="Arial" w:cs="Arial"/>
          <w:lang w:val="ro-RO"/>
        </w:rPr>
        <w:t>ș</w:t>
      </w:r>
      <w:r w:rsidRPr="00B03F38">
        <w:rPr>
          <w:rFonts w:ascii="Arial" w:hAnsi="Arial" w:cs="Arial"/>
          <w:lang w:val="ro-RO"/>
        </w:rPr>
        <w:t>i obligațiile funcționarilor statelor membre care particip</w:t>
      </w:r>
      <w:r w:rsidR="00A942B3">
        <w:rPr>
          <w:rFonts w:ascii="Arial" w:hAnsi="Arial" w:cs="Arial"/>
          <w:lang w:val="ro-RO"/>
        </w:rPr>
        <w:t>ă</w:t>
      </w:r>
      <w:r w:rsidRPr="00B03F38">
        <w:rPr>
          <w:rFonts w:ascii="Arial" w:hAnsi="Arial" w:cs="Arial"/>
          <w:lang w:val="ro-RO"/>
        </w:rPr>
        <w:t xml:space="preserve"> la controlul comun se stabilesc </w:t>
      </w:r>
      <w:r w:rsidR="00DB5E00">
        <w:rPr>
          <w:rFonts w:ascii="Arial" w:hAnsi="Arial" w:cs="Arial"/>
          <w:lang w:val="ro-RO"/>
        </w:rPr>
        <w:t>î</w:t>
      </w:r>
      <w:r w:rsidRPr="00B03F38">
        <w:rPr>
          <w:rFonts w:ascii="Arial" w:hAnsi="Arial" w:cs="Arial"/>
          <w:lang w:val="ro-RO"/>
        </w:rPr>
        <w:t xml:space="preserve">n conformitate cu legislația statului membru </w:t>
      </w:r>
      <w:r w:rsidR="00DB5E00">
        <w:rPr>
          <w:rFonts w:ascii="Arial" w:hAnsi="Arial" w:cs="Arial"/>
          <w:lang w:val="ro-RO"/>
        </w:rPr>
        <w:t>î</w:t>
      </w:r>
      <w:r w:rsidRPr="00B03F38">
        <w:rPr>
          <w:rFonts w:ascii="Arial" w:hAnsi="Arial" w:cs="Arial"/>
          <w:lang w:val="ro-RO"/>
        </w:rPr>
        <w:t xml:space="preserve">n care au loc activitățile controlului comun. </w:t>
      </w:r>
    </w:p>
    <w:p w14:paraId="48F4B191" w14:textId="77777777" w:rsidR="00B03F38" w:rsidRPr="00B03F38" w:rsidRDefault="00B03F38" w:rsidP="000702A4">
      <w:pPr>
        <w:spacing w:after="0" w:line="240" w:lineRule="auto"/>
        <w:rPr>
          <w:rFonts w:ascii="Arial" w:hAnsi="Arial" w:cs="Arial"/>
          <w:lang w:val="ro-RO"/>
        </w:rPr>
      </w:pPr>
    </w:p>
    <w:p w14:paraId="6E4CF06C" w14:textId="453DD030"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Totodată, DAC 7 stabilește și o limitare de competență a funcționarilor străini, aceștia neavând</w:t>
      </w:r>
      <w:r w:rsidRPr="00B03F38">
        <w:rPr>
          <w:rFonts w:ascii="Arial" w:hAnsi="Arial" w:cs="Arial"/>
          <w:i/>
          <w:iCs/>
          <w:lang w:val="ro-RO"/>
        </w:rPr>
        <w:t xml:space="preserve"> </w:t>
      </w:r>
      <w:r w:rsidRPr="00B03F38">
        <w:rPr>
          <w:rFonts w:ascii="Arial" w:hAnsi="Arial" w:cs="Arial"/>
          <w:lang w:val="ro-RO"/>
        </w:rPr>
        <w:t>posibilitatea</w:t>
      </w:r>
      <w:r w:rsidRPr="00B03F38">
        <w:rPr>
          <w:rFonts w:ascii="Arial" w:hAnsi="Arial" w:cs="Arial"/>
          <w:i/>
          <w:iCs/>
          <w:lang w:val="ro-RO"/>
        </w:rPr>
        <w:t xml:space="preserve"> </w:t>
      </w:r>
      <w:r w:rsidR="00DB5E00">
        <w:rPr>
          <w:rFonts w:ascii="Arial" w:hAnsi="Arial" w:cs="Arial"/>
          <w:i/>
          <w:iCs/>
          <w:lang w:val="ro-RO"/>
        </w:rPr>
        <w:t>„</w:t>
      </w:r>
      <w:r w:rsidRPr="00B03F38">
        <w:rPr>
          <w:rFonts w:ascii="Arial" w:hAnsi="Arial" w:cs="Arial"/>
          <w:i/>
          <w:iCs/>
          <w:lang w:val="ro-RO"/>
        </w:rPr>
        <w:t xml:space="preserve">de a exercita nicio competență care ar depăși sfera competențelor care le sunt conferite </w:t>
      </w:r>
      <w:r w:rsidR="00DB5E00">
        <w:rPr>
          <w:rFonts w:ascii="Arial" w:hAnsi="Arial" w:cs="Arial"/>
          <w:i/>
          <w:iCs/>
          <w:lang w:val="ro-RO"/>
        </w:rPr>
        <w:t>î</w:t>
      </w:r>
      <w:r w:rsidRPr="00B03F38">
        <w:rPr>
          <w:rFonts w:ascii="Arial" w:hAnsi="Arial" w:cs="Arial"/>
          <w:i/>
          <w:iCs/>
          <w:lang w:val="ro-RO"/>
        </w:rPr>
        <w:t>n temeiul legislației propriului stat membru</w:t>
      </w:r>
      <w:r w:rsidR="00DB5E00">
        <w:rPr>
          <w:rFonts w:ascii="Arial" w:hAnsi="Arial" w:cs="Arial"/>
          <w:i/>
          <w:iCs/>
          <w:lang w:val="ro-RO"/>
        </w:rPr>
        <w:t>”</w:t>
      </w:r>
      <w:r w:rsidRPr="00B03F38">
        <w:rPr>
          <w:rFonts w:ascii="Arial" w:hAnsi="Arial" w:cs="Arial"/>
          <w:lang w:val="ro-RO"/>
        </w:rPr>
        <w:t>.</w:t>
      </w:r>
    </w:p>
    <w:p w14:paraId="18B05CE4" w14:textId="77777777" w:rsidR="00B03F38" w:rsidRPr="00B03F38" w:rsidRDefault="00B03F38" w:rsidP="000702A4">
      <w:pPr>
        <w:spacing w:after="0" w:line="240" w:lineRule="auto"/>
        <w:rPr>
          <w:rFonts w:ascii="Arial" w:hAnsi="Arial" w:cs="Arial"/>
          <w:lang w:val="ro-RO"/>
        </w:rPr>
      </w:pPr>
    </w:p>
    <w:p w14:paraId="40E861D5"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În consecință, organele fiscale ale statului străin se supun regulilor procedurale din statul în care se desfășoară activitatea de control și dobândesc o serie de drepturi, însă numai în măsura în care aceste drepturi le sunt conferite și de legislația propriului stat. Cu alte cuvinte, în măsura în care legislația statului în care se desfășoară controlul comun stabilește mai multe drepturi organelor sale fiscale, omologii acestora din statul străin nu se pot prevala de asemenea drepturi decât în măsura în care acestea sunt prevăzute și în propria legislație. </w:t>
      </w:r>
    </w:p>
    <w:p w14:paraId="2DFDFB67" w14:textId="77777777" w:rsidR="00B03F38" w:rsidRPr="00B03F38" w:rsidRDefault="00B03F38" w:rsidP="000702A4">
      <w:pPr>
        <w:spacing w:after="0" w:line="240" w:lineRule="auto"/>
        <w:rPr>
          <w:rFonts w:ascii="Arial" w:hAnsi="Arial" w:cs="Arial"/>
          <w:lang w:val="ro-RO"/>
        </w:rPr>
      </w:pPr>
    </w:p>
    <w:p w14:paraId="03A25BCA" w14:textId="52C80F3F"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Se poate argumenta că prin instituirea acestei reguli, DAC 7 intenționează să aplice controalelor comune legea mai permisivă pentru contribuabil, fără însă a afecta suveranitatea statului în care se </w:t>
      </w:r>
      <w:r w:rsidRPr="00B03F38">
        <w:rPr>
          <w:rFonts w:ascii="Arial" w:hAnsi="Arial" w:cs="Arial"/>
          <w:lang w:val="ro-RO"/>
        </w:rPr>
        <w:lastRenderedPageBreak/>
        <w:t>desfășoară controlul, de vreme ce, în practică, pentru efectuarea unui control într-adevăr comun este necesar ca organele fiscal</w:t>
      </w:r>
      <w:r w:rsidR="00CF008D">
        <w:rPr>
          <w:rFonts w:ascii="Arial" w:hAnsi="Arial" w:cs="Arial"/>
          <w:lang w:val="ro-RO"/>
        </w:rPr>
        <w:t>e</w:t>
      </w:r>
      <w:r w:rsidRPr="00B03F38">
        <w:rPr>
          <w:rFonts w:ascii="Arial" w:hAnsi="Arial" w:cs="Arial"/>
          <w:lang w:val="ro-RO"/>
        </w:rPr>
        <w:t xml:space="preserve"> din ambele țări să se poată prevala de aceleași drepturi și să fie ținute de aceleași obligații. </w:t>
      </w:r>
    </w:p>
    <w:p w14:paraId="06A7FECC" w14:textId="77777777" w:rsidR="00B03F38" w:rsidRPr="00B03F38" w:rsidRDefault="00B03F38" w:rsidP="000702A4">
      <w:pPr>
        <w:tabs>
          <w:tab w:val="left" w:pos="3900"/>
        </w:tabs>
        <w:spacing w:after="0" w:line="240" w:lineRule="auto"/>
        <w:rPr>
          <w:rFonts w:ascii="Arial" w:hAnsi="Arial" w:cs="Arial"/>
          <w:lang w:val="ro-RO"/>
        </w:rPr>
      </w:pPr>
      <w:r w:rsidRPr="00B03F38">
        <w:rPr>
          <w:rFonts w:ascii="Arial" w:hAnsi="Arial" w:cs="Arial"/>
          <w:lang w:val="ro-RO"/>
        </w:rPr>
        <w:tab/>
      </w:r>
    </w:p>
    <w:p w14:paraId="75E6843D" w14:textId="1AAC8962"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Dacă organele fiscale străine nu ar putea uza de drepturile oferite organelor din statul în care se desfășoară controlul, în mod evident, primii nu ar putea să se folosească de informațiile sau documentele obținute în urma exercitării acestor drepturi, creându-se astfel inevitabil o discrepanță între rezultatele obținute </w:t>
      </w:r>
      <w:r w:rsidR="00CF008D">
        <w:rPr>
          <w:rFonts w:ascii="Arial" w:hAnsi="Arial" w:cs="Arial"/>
          <w:lang w:val="ro-RO"/>
        </w:rPr>
        <w:t xml:space="preserve">de </w:t>
      </w:r>
      <w:r w:rsidR="00CF008D" w:rsidRPr="00B03F38">
        <w:rPr>
          <w:rFonts w:ascii="Arial" w:hAnsi="Arial" w:cs="Arial"/>
          <w:lang w:val="ro-RO"/>
        </w:rPr>
        <w:t>cel</w:t>
      </w:r>
      <w:r w:rsidR="00CF008D">
        <w:rPr>
          <w:rFonts w:ascii="Arial" w:hAnsi="Arial" w:cs="Arial"/>
          <w:lang w:val="ro-RO"/>
        </w:rPr>
        <w:t xml:space="preserve">e </w:t>
      </w:r>
      <w:r w:rsidRPr="00B03F38">
        <w:rPr>
          <w:rFonts w:ascii="Arial" w:hAnsi="Arial" w:cs="Arial"/>
          <w:lang w:val="ro-RO"/>
        </w:rPr>
        <w:t xml:space="preserve">două administrații fiscale. O astfel de discrepanță ar afecta în mod invariabil raportul final ce trebuie întocmit în urma efectuării controalelor comune. </w:t>
      </w:r>
    </w:p>
    <w:p w14:paraId="276C17D7" w14:textId="77777777" w:rsidR="00B03F38" w:rsidRPr="00B03F38" w:rsidRDefault="00B03F38" w:rsidP="000702A4">
      <w:pPr>
        <w:spacing w:after="0" w:line="240" w:lineRule="auto"/>
        <w:rPr>
          <w:rFonts w:ascii="Arial" w:hAnsi="Arial" w:cs="Arial"/>
          <w:lang w:val="ro-RO"/>
        </w:rPr>
      </w:pPr>
    </w:p>
    <w:p w14:paraId="78DB5A5C" w14:textId="5070B609" w:rsidR="00B03F38" w:rsidRPr="00B03F38" w:rsidRDefault="00B03F38" w:rsidP="000702A4">
      <w:pPr>
        <w:spacing w:after="0" w:line="240" w:lineRule="auto"/>
        <w:jc w:val="both"/>
        <w:rPr>
          <w:rFonts w:ascii="Arial" w:hAnsi="Arial" w:cs="Arial"/>
          <w:lang w:val="ro-RO"/>
        </w:rPr>
      </w:pPr>
      <w:r w:rsidRPr="00B03F38">
        <w:rPr>
          <w:rFonts w:ascii="Arial" w:hAnsi="Arial" w:cs="Arial"/>
          <w:b/>
          <w:bCs/>
          <w:i/>
          <w:iCs/>
          <w:lang w:val="ro-RO"/>
        </w:rPr>
        <w:t xml:space="preserve">În al patrulea rând, </w:t>
      </w:r>
      <w:r w:rsidRPr="00B03F38">
        <w:rPr>
          <w:rFonts w:ascii="Arial" w:hAnsi="Arial" w:cs="Arial"/>
          <w:lang w:val="ro-RO"/>
        </w:rPr>
        <w:t>cu privire la raportul final, art. 12a din DAC 7 stabilește că</w:t>
      </w:r>
      <w:r w:rsidR="00CF008D">
        <w:rPr>
          <w:rFonts w:ascii="Arial" w:hAnsi="Arial" w:cs="Arial"/>
          <w:lang w:val="ro-RO"/>
        </w:rPr>
        <w:t>,</w:t>
      </w:r>
      <w:r w:rsidRPr="00B03F38">
        <w:rPr>
          <w:rFonts w:ascii="Arial" w:hAnsi="Arial" w:cs="Arial"/>
          <w:lang w:val="ro-RO"/>
        </w:rPr>
        <w:t xml:space="preserve"> în urma controlului comun, organele fiscale din statele care au participat la controlul comun</w:t>
      </w:r>
      <w:r w:rsidR="00B1508C">
        <w:rPr>
          <w:rFonts w:ascii="Arial" w:hAnsi="Arial" w:cs="Arial"/>
          <w:lang w:val="ro-RO"/>
        </w:rPr>
        <w:t xml:space="preserve"> „</w:t>
      </w:r>
      <w:r w:rsidRPr="00B03F38">
        <w:rPr>
          <w:rFonts w:ascii="Arial" w:hAnsi="Arial" w:cs="Arial"/>
          <w:i/>
          <w:iCs/>
          <w:lang w:val="ro-RO"/>
        </w:rPr>
        <w:t>se străduiesc</w:t>
      </w:r>
      <w:r w:rsidRPr="00B03F38">
        <w:rPr>
          <w:rFonts w:ascii="Arial" w:hAnsi="Arial" w:cs="Arial"/>
          <w:lang w:val="ro-RO"/>
        </w:rPr>
        <w:t xml:space="preserve">” să convină asupra faptelor și circumstanțelor relevante, depunând eforturi pentru a ajunge la un acord privind situația fiscală a contribuabilului. Aspectele asupra cărora s-a ajuns la un acord sunt incluse într-un raport final </w:t>
      </w:r>
      <w:r w:rsidR="00CF008D">
        <w:rPr>
          <w:rFonts w:ascii="Arial" w:hAnsi="Arial" w:cs="Arial"/>
          <w:lang w:val="ro-RO"/>
        </w:rPr>
        <w:t>ș</w:t>
      </w:r>
      <w:r w:rsidRPr="00B03F38">
        <w:rPr>
          <w:rFonts w:ascii="Arial" w:hAnsi="Arial" w:cs="Arial"/>
          <w:lang w:val="ro-RO"/>
        </w:rPr>
        <w:t xml:space="preserve">i </w:t>
      </w:r>
      <w:r w:rsidR="00B1508C">
        <w:rPr>
          <w:rFonts w:ascii="Arial" w:hAnsi="Arial" w:cs="Arial"/>
          <w:lang w:val="ro-RO"/>
        </w:rPr>
        <w:t>„</w:t>
      </w:r>
      <w:r w:rsidRPr="00B03F38">
        <w:rPr>
          <w:rFonts w:ascii="Arial" w:hAnsi="Arial" w:cs="Arial"/>
          <w:i/>
          <w:iCs/>
          <w:lang w:val="ro-RO"/>
        </w:rPr>
        <w:t>sunt luate în considerare</w:t>
      </w:r>
      <w:r w:rsidRPr="00B03F38">
        <w:rPr>
          <w:rFonts w:ascii="Arial" w:hAnsi="Arial" w:cs="Arial"/>
          <w:lang w:val="ro-RO"/>
        </w:rPr>
        <w:t xml:space="preserve">” </w:t>
      </w:r>
      <w:r w:rsidR="00CF008D">
        <w:rPr>
          <w:rFonts w:ascii="Arial" w:hAnsi="Arial" w:cs="Arial"/>
          <w:lang w:val="ro-RO"/>
        </w:rPr>
        <w:t>î</w:t>
      </w:r>
      <w:r w:rsidRPr="00B03F38">
        <w:rPr>
          <w:rFonts w:ascii="Arial" w:hAnsi="Arial" w:cs="Arial"/>
          <w:lang w:val="ro-RO"/>
        </w:rPr>
        <w:t>n cadrul soluțiilor adoptate de organele fiscale pe teritoriul cărora a fost emis actul.</w:t>
      </w:r>
    </w:p>
    <w:p w14:paraId="122671A9" w14:textId="77777777" w:rsidR="00B03F38" w:rsidRPr="00B03F38" w:rsidRDefault="00B03F38" w:rsidP="000702A4">
      <w:pPr>
        <w:spacing w:after="0" w:line="240" w:lineRule="auto"/>
        <w:rPr>
          <w:rFonts w:ascii="Arial" w:hAnsi="Arial" w:cs="Arial"/>
          <w:lang w:val="ro-RO"/>
        </w:rPr>
      </w:pPr>
    </w:p>
    <w:p w14:paraId="67E32C25" w14:textId="63B4ACA4"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Cu alte cuvinte, aspectele agreate de organele fiscale consemnate în raportul final nu vor fi automat incluse </w:t>
      </w:r>
      <w:r w:rsidR="00CF008D">
        <w:rPr>
          <w:rFonts w:ascii="Arial" w:hAnsi="Arial" w:cs="Arial"/>
          <w:lang w:val="ro-RO"/>
        </w:rPr>
        <w:t>î</w:t>
      </w:r>
      <w:r w:rsidRPr="00B03F38">
        <w:rPr>
          <w:rFonts w:ascii="Arial" w:hAnsi="Arial" w:cs="Arial"/>
          <w:lang w:val="ro-RO"/>
        </w:rPr>
        <w:t xml:space="preserve">n deciziile de impunere emise ca urmare a desfășurării controlului comun, ci vor avea numai un caracter de recomandare. </w:t>
      </w:r>
    </w:p>
    <w:p w14:paraId="112179C9" w14:textId="77777777" w:rsidR="00B03F38" w:rsidRPr="00B03F38" w:rsidRDefault="00B03F38" w:rsidP="000702A4">
      <w:pPr>
        <w:spacing w:after="0" w:line="240" w:lineRule="auto"/>
        <w:rPr>
          <w:rFonts w:ascii="Arial" w:hAnsi="Arial" w:cs="Arial"/>
          <w:lang w:val="ro-RO"/>
        </w:rPr>
      </w:pPr>
    </w:p>
    <w:p w14:paraId="4C49CE8A" w14:textId="6409EA33"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Cu privire la acest aspect, precizăm că deși Propunerea Comisiei Europene care a stat la baza emiterii DAC 7</w:t>
      </w:r>
      <w:r w:rsidRPr="00B03F38">
        <w:rPr>
          <w:rStyle w:val="Referinnotdesubsol"/>
          <w:rFonts w:ascii="Arial" w:hAnsi="Arial" w:cs="Arial"/>
          <w:lang w:val="ro-RO"/>
        </w:rPr>
        <w:footnoteReference w:id="7"/>
      </w:r>
      <w:r w:rsidRPr="00B03F38">
        <w:rPr>
          <w:rFonts w:ascii="Arial" w:hAnsi="Arial" w:cs="Arial"/>
          <w:lang w:val="ro-RO"/>
        </w:rPr>
        <w:t xml:space="preserve"> </w:t>
      </w:r>
      <w:r w:rsidR="00B1508C">
        <w:rPr>
          <w:rFonts w:ascii="Arial" w:hAnsi="Arial" w:cs="Arial"/>
          <w:lang w:val="ro-RO"/>
        </w:rPr>
        <w:t>(„</w:t>
      </w:r>
      <w:r w:rsidRPr="00B03F38">
        <w:rPr>
          <w:rFonts w:ascii="Arial" w:hAnsi="Arial" w:cs="Arial"/>
          <w:b/>
          <w:bCs/>
          <w:lang w:val="ro-RO"/>
        </w:rPr>
        <w:t>Propunere DAC 7</w:t>
      </w:r>
      <w:r w:rsidRPr="00B03F38">
        <w:rPr>
          <w:rFonts w:ascii="Arial" w:hAnsi="Arial" w:cs="Arial"/>
          <w:lang w:val="ro-RO"/>
        </w:rPr>
        <w:t xml:space="preserve">”) prevedea că </w:t>
      </w:r>
      <w:r w:rsidR="00CF008D">
        <w:rPr>
          <w:rFonts w:ascii="Arial" w:hAnsi="Arial" w:cs="Arial"/>
          <w:lang w:val="ro-RO"/>
        </w:rPr>
        <w:t>„</w:t>
      </w:r>
      <w:r w:rsidRPr="00B03F38">
        <w:rPr>
          <w:rFonts w:ascii="Arial" w:hAnsi="Arial" w:cs="Arial"/>
          <w:i/>
          <w:iCs/>
          <w:lang w:val="ro-RO"/>
        </w:rPr>
        <w:t>Raportul final al auditului comun ar trebui să aibă o valoare juridică echivalentă cu cea a instrumentelor naționale relevante care sunt emise ca urmare a unui audit în statele membre participante</w:t>
      </w:r>
      <w:r w:rsidR="00CF008D">
        <w:rPr>
          <w:rFonts w:ascii="Arial" w:hAnsi="Arial" w:cs="Arial"/>
          <w:i/>
          <w:iCs/>
          <w:lang w:val="ro-RO"/>
        </w:rPr>
        <w:t>”</w:t>
      </w:r>
      <w:r w:rsidRPr="00B03F38">
        <w:rPr>
          <w:rFonts w:ascii="Arial" w:hAnsi="Arial" w:cs="Arial"/>
          <w:lang w:val="ro-RO"/>
        </w:rPr>
        <w:t>, legiuitorul european a ales să nu implementeze această reglementare, restrângând drastic efectele juridice pe care raportul final ar fi trebuit să le producă.</w:t>
      </w:r>
    </w:p>
    <w:p w14:paraId="468558A7" w14:textId="77777777" w:rsidR="00B03F38" w:rsidRPr="00B03F38" w:rsidRDefault="00B03F38" w:rsidP="000702A4">
      <w:pPr>
        <w:spacing w:after="0" w:line="240" w:lineRule="auto"/>
        <w:rPr>
          <w:rFonts w:ascii="Arial" w:hAnsi="Arial" w:cs="Arial"/>
          <w:lang w:val="ro-RO"/>
        </w:rPr>
      </w:pPr>
    </w:p>
    <w:p w14:paraId="04A6D451"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Propunerea DAC 7 conținea și o altă prevedere extrem de utilă și mai mult decât bine-venită, anume declanșarea controlului comun la solicitarea contribuabilului.</w:t>
      </w:r>
      <w:r w:rsidRPr="00B03F38">
        <w:rPr>
          <w:rStyle w:val="Referinnotdesubsol"/>
          <w:rFonts w:ascii="Arial" w:hAnsi="Arial" w:cs="Arial"/>
          <w:lang w:val="ro-RO"/>
        </w:rPr>
        <w:t xml:space="preserve"> </w:t>
      </w:r>
      <w:r w:rsidRPr="00B03F38">
        <w:rPr>
          <w:rStyle w:val="Referinnotdesubsol"/>
          <w:rFonts w:ascii="Arial" w:hAnsi="Arial" w:cs="Arial"/>
          <w:lang w:val="ro-RO"/>
        </w:rPr>
        <w:footnoteReference w:id="8"/>
      </w:r>
      <w:r w:rsidRPr="00B03F38">
        <w:rPr>
          <w:rFonts w:ascii="Arial" w:hAnsi="Arial" w:cs="Arial"/>
          <w:lang w:val="ro-RO"/>
        </w:rPr>
        <w:t xml:space="preserve"> </w:t>
      </w:r>
    </w:p>
    <w:p w14:paraId="0F2BCC25"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În pofida faptului că, de cele mai multe ori, contribuabilii sunt cei direct interesați să apeleze la controalele comune și, totodată, cei care pot identifica în stadii incipiente situațiile în care s-ar putea naște un caz de dublă-impozitare</w:t>
      </w:r>
      <w:r w:rsidRPr="00B03F38">
        <w:rPr>
          <w:rStyle w:val="Referinnotdesubsol"/>
          <w:rFonts w:ascii="Arial" w:hAnsi="Arial" w:cs="Arial"/>
          <w:lang w:val="ro-RO"/>
        </w:rPr>
        <w:footnoteReference w:id="9"/>
      </w:r>
      <w:r w:rsidRPr="00B03F38">
        <w:rPr>
          <w:rFonts w:ascii="Arial" w:hAnsi="Arial" w:cs="Arial"/>
          <w:lang w:val="ro-RO"/>
        </w:rPr>
        <w:t xml:space="preserve">, legiuitorul european a ales – și de această dată - să elimine orice fel de constrângere a autorităților fiscale naționale și să lase declanșarea controalelor comune exclusiv în sarcina și la inițiativa acestora. </w:t>
      </w:r>
    </w:p>
    <w:p w14:paraId="1E435B12" w14:textId="77777777" w:rsidR="00B03F38" w:rsidRPr="00B03F38" w:rsidRDefault="00B03F38" w:rsidP="000702A4">
      <w:pPr>
        <w:spacing w:after="0" w:line="240" w:lineRule="auto"/>
        <w:jc w:val="both"/>
        <w:rPr>
          <w:rFonts w:ascii="Arial" w:hAnsi="Arial" w:cs="Arial"/>
          <w:lang w:val="ro-RO"/>
        </w:rPr>
      </w:pPr>
    </w:p>
    <w:p w14:paraId="19097AC9"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Credem că neincluderea contribuabilului în rândul factorilor declanșatori ai unui control comun reprezintă un mare neajuns al DAC 7, deoarece nefiind o dispoziție expresă a directivei, statele membre nu au obligația de a o transpune, ci pot eventual decide singure dacă vor include sau nu un asemenea text în legile lor interne.</w:t>
      </w:r>
    </w:p>
    <w:p w14:paraId="1BB8422B" w14:textId="77777777" w:rsidR="00B03F38" w:rsidRPr="00B03F38" w:rsidRDefault="00B03F38" w:rsidP="000702A4">
      <w:pPr>
        <w:spacing w:after="0" w:line="240" w:lineRule="auto"/>
        <w:rPr>
          <w:rFonts w:ascii="Arial" w:hAnsi="Arial" w:cs="Arial"/>
          <w:lang w:val="ro-RO"/>
        </w:rPr>
      </w:pPr>
    </w:p>
    <w:p w14:paraId="06CF3A99" w14:textId="646E69DD" w:rsidR="00B03F38" w:rsidRPr="00B03F38" w:rsidRDefault="00B03F38" w:rsidP="000702A4">
      <w:pPr>
        <w:spacing w:after="0" w:line="240" w:lineRule="auto"/>
        <w:jc w:val="both"/>
        <w:rPr>
          <w:rFonts w:ascii="Arial" w:hAnsi="Arial" w:cs="Arial"/>
          <w:lang w:val="ro-RO"/>
        </w:rPr>
      </w:pPr>
      <w:r w:rsidRPr="00B03F38">
        <w:rPr>
          <w:rFonts w:ascii="Arial" w:hAnsi="Arial" w:cs="Arial"/>
          <w:b/>
          <w:bCs/>
          <w:i/>
          <w:iCs/>
          <w:lang w:val="ro-RO"/>
        </w:rPr>
        <w:t>În final</w:t>
      </w:r>
      <w:r w:rsidRPr="00B03F38">
        <w:rPr>
          <w:rFonts w:ascii="Arial" w:hAnsi="Arial" w:cs="Arial"/>
          <w:lang w:val="ro-RO"/>
        </w:rPr>
        <w:t>, un alt aspect ce merită menționat este acela că statele membre au obligația de a adopta actele necesare pentru a se conforma cu dispozițiile DAC 7 până la 31 decembrie 2022</w:t>
      </w:r>
      <w:r w:rsidR="00CF008D">
        <w:rPr>
          <w:rFonts w:ascii="Arial" w:hAnsi="Arial" w:cs="Arial"/>
          <w:lang w:val="ro-RO"/>
        </w:rPr>
        <w:t>,</w:t>
      </w:r>
      <w:r w:rsidRPr="00B03F38">
        <w:rPr>
          <w:rFonts w:ascii="Arial" w:hAnsi="Arial" w:cs="Arial"/>
          <w:lang w:val="ro-RO"/>
        </w:rPr>
        <w:t xml:space="preserve"> dar în privința controalelor comune, legiuitorul european a înțeles să facă încă un compromis prin acordarea </w:t>
      </w:r>
      <w:r w:rsidRPr="00B03F38">
        <w:rPr>
          <w:rFonts w:ascii="Arial" w:hAnsi="Arial" w:cs="Arial"/>
          <w:lang w:val="ro-RO"/>
        </w:rPr>
        <w:lastRenderedPageBreak/>
        <w:t xml:space="preserve">statelor membre </w:t>
      </w:r>
      <w:r w:rsidR="00CF008D">
        <w:rPr>
          <w:rFonts w:ascii="Arial" w:hAnsi="Arial" w:cs="Arial"/>
          <w:lang w:val="ro-RO"/>
        </w:rPr>
        <w:t xml:space="preserve">a </w:t>
      </w:r>
      <w:r w:rsidRPr="00B03F38">
        <w:rPr>
          <w:rFonts w:ascii="Arial" w:hAnsi="Arial" w:cs="Arial"/>
          <w:lang w:val="ro-RO"/>
        </w:rPr>
        <w:t>un</w:t>
      </w:r>
      <w:r w:rsidR="00CF008D">
        <w:rPr>
          <w:rFonts w:ascii="Arial" w:hAnsi="Arial" w:cs="Arial"/>
          <w:lang w:val="ro-RO"/>
        </w:rPr>
        <w:t>ui</w:t>
      </w:r>
      <w:r w:rsidRPr="00B03F38">
        <w:rPr>
          <w:rFonts w:ascii="Arial" w:hAnsi="Arial" w:cs="Arial"/>
          <w:lang w:val="ro-RO"/>
        </w:rPr>
        <w:t xml:space="preserve"> an în plus pentru a implementa în legislația internă conținutul directivei, respectiv până la 31 decembrie 2023. </w:t>
      </w:r>
    </w:p>
    <w:p w14:paraId="5707C44A" w14:textId="77777777" w:rsidR="00B03F38" w:rsidRPr="00B03F38" w:rsidRDefault="00B03F38" w:rsidP="000702A4">
      <w:pPr>
        <w:spacing w:after="0" w:line="240" w:lineRule="auto"/>
        <w:jc w:val="both"/>
        <w:rPr>
          <w:rFonts w:ascii="Arial" w:hAnsi="Arial" w:cs="Arial"/>
          <w:lang w:val="ro-RO"/>
        </w:rPr>
      </w:pPr>
    </w:p>
    <w:p w14:paraId="60023A60" w14:textId="77777777" w:rsidR="00B03F38" w:rsidRPr="00B03F38" w:rsidRDefault="00B03F38" w:rsidP="000702A4">
      <w:pPr>
        <w:pStyle w:val="Listparagraf"/>
        <w:numPr>
          <w:ilvl w:val="0"/>
          <w:numId w:val="1"/>
        </w:numPr>
        <w:jc w:val="both"/>
        <w:rPr>
          <w:rFonts w:ascii="Arial" w:hAnsi="Arial" w:cs="Arial"/>
          <w:b/>
          <w:bCs/>
          <w:lang w:val="ro-RO"/>
        </w:rPr>
      </w:pPr>
      <w:r w:rsidRPr="00B03F38">
        <w:rPr>
          <w:rFonts w:ascii="Arial" w:hAnsi="Arial" w:cs="Arial"/>
          <w:b/>
          <w:bCs/>
          <w:lang w:val="ro-RO"/>
        </w:rPr>
        <w:t>Concluzii</w:t>
      </w:r>
    </w:p>
    <w:p w14:paraId="50865981" w14:textId="77777777" w:rsidR="00B03F38" w:rsidRPr="00B03F38" w:rsidRDefault="00B03F38" w:rsidP="000702A4">
      <w:pPr>
        <w:spacing w:after="0" w:line="240" w:lineRule="auto"/>
        <w:jc w:val="both"/>
        <w:rPr>
          <w:rFonts w:ascii="Arial" w:hAnsi="Arial" w:cs="Arial"/>
          <w:lang w:val="ro-RO"/>
        </w:rPr>
      </w:pPr>
    </w:p>
    <w:p w14:paraId="4D248187"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Adoptarea DAC 7 reprezintă o îmbunătățire incontestabilă în peisajul legislativ european menit să elimine dubla-impozitare. Cu toate acestea, dintr-o perspectivă practică, nu putem să ignorăm faptul că DAC 7 nu conține pârghiile necesare pentru a implementa în mod eficient controalele comune în legislația statelor membre. Cu titlu de exemplu, DAC 7 nu prevede o modalitate de deblocare a situațiilor în care organele fiscale nu ajung la un numitor comun cu privire la o anumită situație (fie în ceea ce privește necesitatea declanșării efective a controlului comun, fie cu privire la aspectele de fond ce trebuie incluse în raportul final). </w:t>
      </w:r>
    </w:p>
    <w:p w14:paraId="0C8A05D1" w14:textId="77777777" w:rsidR="00B03F38" w:rsidRPr="00B03F38" w:rsidRDefault="00B03F38" w:rsidP="000702A4">
      <w:pPr>
        <w:spacing w:after="0" w:line="240" w:lineRule="auto"/>
        <w:jc w:val="both"/>
        <w:rPr>
          <w:rFonts w:ascii="Arial" w:hAnsi="Arial" w:cs="Arial"/>
          <w:lang w:val="ro-RO"/>
        </w:rPr>
      </w:pPr>
    </w:p>
    <w:p w14:paraId="260DDA60"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O astfel de modalitate de deblocare ar putea consta, spre exemplu, într-un arbitraj care ar avea menirea să constrângă organele fiscale să adopte o anumită soluție, similar arbitrajului reglementat de Convenția privind eliminarea dublei impuneri în legătură cu ajustarea profiturilor întreprinderilor asociate 90/436/CEE sau de Directiva 2017/1852 privind mecanismele de soluționare a litigiilor fiscale în Uniunea Europeană.</w:t>
      </w:r>
    </w:p>
    <w:p w14:paraId="7C7F583B" w14:textId="77777777" w:rsidR="00B03F38" w:rsidRPr="00B03F38" w:rsidRDefault="00B03F38" w:rsidP="000702A4">
      <w:pPr>
        <w:spacing w:after="0" w:line="240" w:lineRule="auto"/>
        <w:jc w:val="both"/>
        <w:rPr>
          <w:rFonts w:ascii="Arial" w:hAnsi="Arial" w:cs="Arial"/>
          <w:lang w:val="ro-RO"/>
        </w:rPr>
      </w:pPr>
    </w:p>
    <w:p w14:paraId="3C68DAF3"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Așadar, ne salvează DAC 7 de dubla-impunere? </w:t>
      </w:r>
    </w:p>
    <w:p w14:paraId="1DA47E83" w14:textId="6B6A8562"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În forma actuală</w:t>
      </w:r>
      <w:r w:rsidR="00B1508C">
        <w:rPr>
          <w:rFonts w:ascii="Arial" w:hAnsi="Arial" w:cs="Arial"/>
          <w:lang w:val="ro-RO"/>
        </w:rPr>
        <w:t>,</w:t>
      </w:r>
      <w:bookmarkStart w:id="1" w:name="_GoBack"/>
      <w:bookmarkEnd w:id="1"/>
      <w:r w:rsidRPr="00B03F38">
        <w:rPr>
          <w:rFonts w:ascii="Arial" w:hAnsi="Arial" w:cs="Arial"/>
          <w:lang w:val="ro-RO"/>
        </w:rPr>
        <w:t xml:space="preserve"> răspunsul este nu, DAC 7 nu ne va salva prin sine însăși deoarece ace</w:t>
      </w:r>
      <w:r w:rsidR="00CF008D">
        <w:rPr>
          <w:rFonts w:ascii="Arial" w:hAnsi="Arial" w:cs="Arial"/>
          <w:lang w:val="ro-RO"/>
        </w:rPr>
        <w:t>a</w:t>
      </w:r>
      <w:r w:rsidRPr="00B03F38">
        <w:rPr>
          <w:rFonts w:ascii="Arial" w:hAnsi="Arial" w:cs="Arial"/>
          <w:lang w:val="ro-RO"/>
        </w:rPr>
        <w:t>sta este mai degrabă un act normativ intermediar, care are ca scop aclimatizarea administrațiilor fiscale cu controalele coordonate iar nu crearea unui cadru legislativ eficient în prevenirea dublei-impozitări.</w:t>
      </w:r>
    </w:p>
    <w:p w14:paraId="4A962016" w14:textId="77777777" w:rsidR="00B03F38" w:rsidRPr="00B03F38" w:rsidRDefault="00B03F38" w:rsidP="000702A4">
      <w:pPr>
        <w:spacing w:after="0" w:line="240" w:lineRule="auto"/>
        <w:jc w:val="both"/>
        <w:rPr>
          <w:rFonts w:ascii="Arial" w:hAnsi="Arial" w:cs="Arial"/>
          <w:lang w:val="ro-RO"/>
        </w:rPr>
      </w:pPr>
    </w:p>
    <w:p w14:paraId="7C59C42E" w14:textId="77777777" w:rsidR="00B03F38" w:rsidRPr="00B03F38" w:rsidRDefault="00B03F38" w:rsidP="000702A4">
      <w:pPr>
        <w:spacing w:after="0" w:line="240" w:lineRule="auto"/>
        <w:jc w:val="both"/>
        <w:rPr>
          <w:rFonts w:ascii="Arial" w:hAnsi="Arial" w:cs="Arial"/>
          <w:lang w:val="ro-RO"/>
        </w:rPr>
      </w:pPr>
      <w:r w:rsidRPr="00B03F38">
        <w:rPr>
          <w:rFonts w:ascii="Arial" w:hAnsi="Arial" w:cs="Arial"/>
          <w:lang w:val="ro-RO"/>
        </w:rPr>
        <w:t xml:space="preserve">Ne poate însă salva legiuitorul național care, în loc să se limiteze la a transpune normele incluse în DAC 7 printr-o preluare </w:t>
      </w:r>
      <w:r w:rsidRPr="00B03F38">
        <w:rPr>
          <w:rFonts w:ascii="Arial" w:hAnsi="Arial" w:cs="Arial"/>
          <w:i/>
          <w:iCs/>
          <w:lang w:val="ro-RO"/>
        </w:rPr>
        <w:t>mot-a-mot</w:t>
      </w:r>
      <w:r w:rsidRPr="00B03F38">
        <w:rPr>
          <w:rFonts w:ascii="Arial" w:hAnsi="Arial" w:cs="Arial"/>
          <w:lang w:val="ro-RO"/>
        </w:rPr>
        <w:t>, va ține seama de nevoia de certitudine fiscală după care tânjește mediul de afaceri și va include toate acele pârghii la care ne-am referit anterior, precum și altele care s-ar dovedi necesare pentru realizarea efectivă a unui control comun. Credem că acesta este un pas necesar în crearea unei administrații fiscale eficiente, echilibrate și orientată către contribuabil.</w:t>
      </w:r>
    </w:p>
    <w:p w14:paraId="083D0885" w14:textId="77777777" w:rsidR="00B03F38" w:rsidRPr="009016A4" w:rsidRDefault="00B03F38" w:rsidP="000702A4">
      <w:pPr>
        <w:spacing w:after="0" w:line="240" w:lineRule="auto"/>
        <w:jc w:val="both"/>
        <w:rPr>
          <w:rFonts w:ascii="EYInterstate" w:hAnsi="EYInterstate" w:cstheme="minorHAnsi"/>
          <w:sz w:val="20"/>
          <w:szCs w:val="20"/>
          <w:lang w:val="ro-RO"/>
        </w:rPr>
      </w:pPr>
    </w:p>
    <w:p w14:paraId="640370EC" w14:textId="73100817" w:rsidR="0060090D" w:rsidRPr="00401EED" w:rsidRDefault="0060090D" w:rsidP="000702A4">
      <w:pPr>
        <w:spacing w:after="0" w:line="240" w:lineRule="auto"/>
        <w:jc w:val="center"/>
        <w:rPr>
          <w:rFonts w:ascii="Arial" w:hAnsi="Arial" w:cs="Arial"/>
          <w:lang w:val="ro-RO"/>
        </w:rPr>
      </w:pPr>
      <w:r w:rsidRPr="00401EED">
        <w:rPr>
          <w:rFonts w:ascii="Arial" w:hAnsi="Arial" w:cs="Arial"/>
          <w:lang w:val="ro-RO"/>
        </w:rPr>
        <w:t>***</w:t>
      </w:r>
    </w:p>
    <w:p w14:paraId="473E8109" w14:textId="617A14E1" w:rsidR="00D10883" w:rsidRPr="00401EED" w:rsidRDefault="00A05E84" w:rsidP="000702A4">
      <w:pPr>
        <w:spacing w:after="0" w:line="240" w:lineRule="auto"/>
        <w:rPr>
          <w:rFonts w:ascii="Arial" w:hAnsi="Arial" w:cs="Arial"/>
          <w:b/>
          <w:bCs/>
          <w:sz w:val="18"/>
          <w:szCs w:val="18"/>
          <w:lang w:val="ro-RO"/>
        </w:rPr>
      </w:pPr>
      <w:r w:rsidRPr="00401EED">
        <w:rPr>
          <w:rFonts w:ascii="Arial" w:hAnsi="Arial" w:cs="Arial"/>
          <w:b/>
          <w:bCs/>
          <w:sz w:val="18"/>
          <w:szCs w:val="18"/>
          <w:lang w:val="ro-RO"/>
        </w:rPr>
        <w:t>Despre Radu şi Asociații SPRL</w:t>
      </w:r>
    </w:p>
    <w:p w14:paraId="1D19DAF2" w14:textId="237FEEAE" w:rsidR="00AD7CDA" w:rsidRPr="00401EED" w:rsidRDefault="002A2551" w:rsidP="000702A4">
      <w:pPr>
        <w:spacing w:after="0" w:line="240" w:lineRule="auto"/>
        <w:rPr>
          <w:rFonts w:ascii="Arial" w:hAnsi="Arial" w:cs="Arial"/>
          <w:b/>
          <w:bCs/>
          <w:sz w:val="18"/>
          <w:szCs w:val="18"/>
          <w:lang w:val="ro-RO"/>
        </w:rPr>
      </w:pPr>
      <w:r w:rsidRPr="00401EED">
        <w:rPr>
          <w:rFonts w:ascii="Arial" w:hAnsi="Arial" w:cs="Arial"/>
          <w:sz w:val="18"/>
          <w:szCs w:val="18"/>
          <w:lang w:val="ro-RO"/>
        </w:rPr>
        <w:t>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79269F45" w14:textId="7DF4551C" w:rsidR="00AD7CDA" w:rsidRPr="00401EED" w:rsidRDefault="002A2551" w:rsidP="000702A4">
      <w:pPr>
        <w:spacing w:after="0" w:line="240" w:lineRule="auto"/>
        <w:rPr>
          <w:rFonts w:ascii="Arial" w:hAnsi="Arial" w:cs="Arial"/>
          <w:sz w:val="18"/>
          <w:szCs w:val="18"/>
          <w:lang w:val="ro-RO"/>
        </w:rPr>
      </w:pPr>
      <w:r w:rsidRPr="00401EED">
        <w:rPr>
          <w:rFonts w:ascii="Arial" w:hAnsi="Arial" w:cs="Arial"/>
          <w:sz w:val="18"/>
          <w:szCs w:val="18"/>
          <w:lang w:val="ro-RO"/>
        </w:rPr>
        <w:t xml:space="preserve">Radu și Asociații SPRL este membră a societăților din grupul Ernst &amp; Young Global Ltd și face parte din rețeaua globală EY Law, aflată în plină expansiune, în cadrul căreia lucrează peste 2400 de avocați în mai mult de </w:t>
      </w:r>
      <w:r w:rsidR="00A2202D" w:rsidRPr="00401EED">
        <w:rPr>
          <w:rFonts w:ascii="Arial" w:hAnsi="Arial" w:cs="Arial"/>
          <w:sz w:val="18"/>
          <w:szCs w:val="18"/>
          <w:lang w:val="ro-RO"/>
        </w:rPr>
        <w:t>90</w:t>
      </w:r>
      <w:r w:rsidRPr="00401EED">
        <w:rPr>
          <w:rFonts w:ascii="Arial" w:hAnsi="Arial" w:cs="Arial"/>
          <w:sz w:val="18"/>
          <w:szCs w:val="18"/>
          <w:lang w:val="ro-RO"/>
        </w:rPr>
        <w:t xml:space="preserve"> de </w:t>
      </w:r>
      <w:r w:rsidR="00A2202D" w:rsidRPr="00401EED">
        <w:rPr>
          <w:rFonts w:ascii="Arial" w:hAnsi="Arial" w:cs="Arial"/>
          <w:sz w:val="18"/>
          <w:szCs w:val="18"/>
          <w:lang w:val="ro-RO"/>
        </w:rPr>
        <w:t>jurisdicții</w:t>
      </w:r>
      <w:r w:rsidRPr="00401EED">
        <w:rPr>
          <w:rFonts w:ascii="Arial" w:hAnsi="Arial" w:cs="Arial"/>
          <w:sz w:val="18"/>
          <w:szCs w:val="18"/>
          <w:lang w:val="ro-RO"/>
        </w:rPr>
        <w:t>.</w:t>
      </w:r>
      <w:r w:rsidR="00E1459D" w:rsidRPr="00401EED">
        <w:rPr>
          <w:rFonts w:ascii="Arial" w:hAnsi="Arial" w:cs="Arial"/>
          <w:sz w:val="18"/>
          <w:szCs w:val="18"/>
          <w:lang w:val="ro-RO"/>
        </w:rPr>
        <w:t xml:space="preserve"> </w:t>
      </w:r>
    </w:p>
    <w:p w14:paraId="2BD8AA55" w14:textId="7AA3A6EA" w:rsidR="00AD7CDA" w:rsidRPr="00401EED" w:rsidRDefault="0097741E" w:rsidP="000702A4">
      <w:pPr>
        <w:spacing w:after="0" w:line="240" w:lineRule="auto"/>
        <w:rPr>
          <w:rFonts w:ascii="Arial" w:hAnsi="Arial" w:cs="Arial"/>
          <w:sz w:val="18"/>
          <w:szCs w:val="18"/>
          <w:lang w:val="ro-RO"/>
        </w:rPr>
      </w:pPr>
      <w:proofErr w:type="spellStart"/>
      <w:r w:rsidRPr="0097741E">
        <w:rPr>
          <w:rFonts w:ascii="Arial" w:hAnsi="Arial" w:cs="Arial"/>
          <w:sz w:val="18"/>
          <w:szCs w:val="18"/>
          <w:lang w:val="ro-RO"/>
        </w:rPr>
        <w:t>Chambers</w:t>
      </w:r>
      <w:proofErr w:type="spellEnd"/>
      <w:r w:rsidRPr="0097741E">
        <w:rPr>
          <w:rFonts w:ascii="Arial" w:hAnsi="Arial" w:cs="Arial"/>
          <w:sz w:val="18"/>
          <w:szCs w:val="18"/>
          <w:lang w:val="ro-RO"/>
        </w:rPr>
        <w:t xml:space="preserve"> Global 2019 a recunoscut practica noastră de </w:t>
      </w:r>
      <w:proofErr w:type="spellStart"/>
      <w:r w:rsidRPr="0097741E">
        <w:rPr>
          <w:rFonts w:ascii="Arial" w:hAnsi="Arial" w:cs="Arial"/>
          <w:sz w:val="18"/>
          <w:szCs w:val="18"/>
          <w:lang w:val="ro-RO"/>
        </w:rPr>
        <w:t>Corporate</w:t>
      </w:r>
      <w:proofErr w:type="spellEnd"/>
      <w:r w:rsidRPr="0097741E">
        <w:rPr>
          <w:rFonts w:ascii="Arial" w:hAnsi="Arial" w:cs="Arial"/>
          <w:sz w:val="18"/>
          <w:szCs w:val="18"/>
          <w:lang w:val="ro-RO"/>
        </w:rPr>
        <w:t xml:space="preserve">/M&amp;A în timp ce </w:t>
      </w:r>
      <w:proofErr w:type="spellStart"/>
      <w:r w:rsidRPr="0097741E">
        <w:rPr>
          <w:rFonts w:ascii="Arial" w:hAnsi="Arial" w:cs="Arial"/>
          <w:sz w:val="18"/>
          <w:szCs w:val="18"/>
          <w:lang w:val="ro-RO"/>
        </w:rPr>
        <w:t>Chambers</w:t>
      </w:r>
      <w:proofErr w:type="spellEnd"/>
      <w:r w:rsidRPr="0097741E">
        <w:rPr>
          <w:rFonts w:ascii="Arial" w:hAnsi="Arial" w:cs="Arial"/>
          <w:sz w:val="18"/>
          <w:szCs w:val="18"/>
          <w:lang w:val="ro-RO"/>
        </w:rPr>
        <w:t xml:space="preserve"> Europe 2019, 2020 și 2021 au plasat practica noastră de Controverse și Dispute Fiscale pe banda 1. Totodată, The Legal 500 Europe, </w:t>
      </w:r>
      <w:proofErr w:type="spellStart"/>
      <w:r w:rsidRPr="0097741E">
        <w:rPr>
          <w:rFonts w:ascii="Arial" w:hAnsi="Arial" w:cs="Arial"/>
          <w:sz w:val="18"/>
          <w:szCs w:val="18"/>
          <w:lang w:val="ro-RO"/>
        </w:rPr>
        <w:t>Middle</w:t>
      </w:r>
      <w:proofErr w:type="spellEnd"/>
      <w:r w:rsidRPr="0097741E">
        <w:rPr>
          <w:rFonts w:ascii="Arial" w:hAnsi="Arial" w:cs="Arial"/>
          <w:sz w:val="18"/>
          <w:szCs w:val="18"/>
          <w:lang w:val="ro-RO"/>
        </w:rPr>
        <w:t xml:space="preserve"> </w:t>
      </w:r>
      <w:proofErr w:type="spellStart"/>
      <w:r w:rsidRPr="0097741E">
        <w:rPr>
          <w:rFonts w:ascii="Arial" w:hAnsi="Arial" w:cs="Arial"/>
          <w:sz w:val="18"/>
          <w:szCs w:val="18"/>
          <w:lang w:val="ro-RO"/>
        </w:rPr>
        <w:t>East</w:t>
      </w:r>
      <w:proofErr w:type="spellEnd"/>
      <w:r w:rsidRPr="0097741E">
        <w:rPr>
          <w:rFonts w:ascii="Arial" w:hAnsi="Arial" w:cs="Arial"/>
          <w:sz w:val="18"/>
          <w:szCs w:val="18"/>
          <w:lang w:val="ro-RO"/>
        </w:rPr>
        <w:t xml:space="preserve"> </w:t>
      </w:r>
      <w:proofErr w:type="spellStart"/>
      <w:r w:rsidRPr="0097741E">
        <w:rPr>
          <w:rFonts w:ascii="Arial" w:hAnsi="Arial" w:cs="Arial"/>
          <w:sz w:val="18"/>
          <w:szCs w:val="18"/>
          <w:lang w:val="ro-RO"/>
        </w:rPr>
        <w:t>and</w:t>
      </w:r>
      <w:proofErr w:type="spellEnd"/>
      <w:r w:rsidRPr="0097741E">
        <w:rPr>
          <w:rFonts w:ascii="Arial" w:hAnsi="Arial" w:cs="Arial"/>
          <w:sz w:val="18"/>
          <w:szCs w:val="18"/>
          <w:lang w:val="ro-RO"/>
        </w:rPr>
        <w:t xml:space="preserve"> Africa 2019, 2020 și 2021 au premiat practica noastră de Drept Comercial, Drept Societar și M&amp;A, edițiile 2020 și 2021 plasând practica de Controverse și Dispute Fiscale pe poziția 1.</w:t>
      </w:r>
    </w:p>
    <w:p w14:paraId="6E3BF15D" w14:textId="300E5856" w:rsidR="00743C1B" w:rsidRPr="008B41A0" w:rsidRDefault="00743C1B" w:rsidP="000702A4">
      <w:pPr>
        <w:spacing w:after="0" w:line="240" w:lineRule="auto"/>
        <w:rPr>
          <w:rFonts w:ascii="Arial" w:hAnsi="Arial" w:cs="Arial"/>
          <w:sz w:val="18"/>
          <w:szCs w:val="18"/>
          <w:lang w:val="ro-RO"/>
        </w:rPr>
      </w:pPr>
      <w:r w:rsidRPr="00401EED">
        <w:rPr>
          <w:rFonts w:ascii="Arial" w:hAnsi="Arial" w:cs="Arial"/>
          <w:sz w:val="18"/>
          <w:szCs w:val="18"/>
          <w:lang w:val="ro-RO"/>
        </w:rPr>
        <w:t xml:space="preserve">Pentru informații suplimentare cu privire la societatea noastră de avocați vă rugăm accesați </w:t>
      </w:r>
      <w:hyperlink r:id="rId13" w:history="1">
        <w:r w:rsidR="00AD7CDA" w:rsidRPr="00401EED">
          <w:rPr>
            <w:rStyle w:val="Hyperlink"/>
            <w:rFonts w:ascii="Arial" w:hAnsi="Arial" w:cs="Arial"/>
            <w:sz w:val="18"/>
            <w:szCs w:val="18"/>
            <w:lang w:val="ro-RO"/>
          </w:rPr>
          <w:t>www.ra-law.ro</w:t>
        </w:r>
      </w:hyperlink>
      <w:r w:rsidR="00AD7CDA" w:rsidRPr="00401EED">
        <w:rPr>
          <w:rFonts w:ascii="Arial" w:hAnsi="Arial" w:cs="Arial"/>
          <w:sz w:val="18"/>
          <w:szCs w:val="18"/>
          <w:lang w:val="ro-RO"/>
        </w:rPr>
        <w:t xml:space="preserve">. </w:t>
      </w:r>
    </w:p>
    <w:sectPr w:rsidR="00743C1B" w:rsidRPr="008B41A0" w:rsidSect="006B533F">
      <w:headerReference w:type="default" r:id="rId14"/>
      <w:pgSz w:w="12240" w:h="15840"/>
      <w:pgMar w:top="0"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1557" w14:textId="77777777" w:rsidR="00740AB7" w:rsidRDefault="00740AB7" w:rsidP="00A05E84">
      <w:pPr>
        <w:spacing w:after="0" w:line="240" w:lineRule="auto"/>
      </w:pPr>
      <w:r>
        <w:separator/>
      </w:r>
    </w:p>
  </w:endnote>
  <w:endnote w:type="continuationSeparator" w:id="0">
    <w:p w14:paraId="47B642A9" w14:textId="77777777" w:rsidR="00740AB7" w:rsidRDefault="00740AB7" w:rsidP="00A0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00000001"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B133E" w14:textId="77777777" w:rsidR="00740AB7" w:rsidRDefault="00740AB7" w:rsidP="00A05E84">
      <w:pPr>
        <w:spacing w:after="0" w:line="240" w:lineRule="auto"/>
      </w:pPr>
      <w:r>
        <w:separator/>
      </w:r>
    </w:p>
  </w:footnote>
  <w:footnote w:type="continuationSeparator" w:id="0">
    <w:p w14:paraId="3E8BC381" w14:textId="77777777" w:rsidR="00740AB7" w:rsidRDefault="00740AB7" w:rsidP="00A05E84">
      <w:pPr>
        <w:spacing w:after="0" w:line="240" w:lineRule="auto"/>
      </w:pPr>
      <w:r>
        <w:continuationSeparator/>
      </w:r>
    </w:p>
  </w:footnote>
  <w:footnote w:id="1">
    <w:p w14:paraId="4F850279" w14:textId="77777777" w:rsidR="00B03F38" w:rsidRPr="000702A4" w:rsidRDefault="00B03F38" w:rsidP="00B03F38">
      <w:pPr>
        <w:pStyle w:val="Textnotdesubsol"/>
        <w:rPr>
          <w:rFonts w:ascii="Arial" w:hAnsi="Arial" w:cs="Arial"/>
          <w:sz w:val="16"/>
          <w:szCs w:val="16"/>
          <w:lang w:val="ro-RO"/>
        </w:rPr>
      </w:pPr>
      <w:r w:rsidRPr="000702A4">
        <w:rPr>
          <w:rStyle w:val="Referinnotdesubsol"/>
          <w:rFonts w:ascii="Arial" w:hAnsi="Arial" w:cs="Arial"/>
          <w:sz w:val="16"/>
          <w:szCs w:val="16"/>
        </w:rPr>
        <w:footnoteRef/>
      </w:r>
      <w:r w:rsidRPr="000702A4">
        <w:rPr>
          <w:rFonts w:ascii="Arial" w:hAnsi="Arial" w:cs="Arial"/>
          <w:sz w:val="16"/>
          <w:szCs w:val="16"/>
        </w:rPr>
        <w:t xml:space="preserve"> </w:t>
      </w:r>
      <w:r w:rsidRPr="000702A4">
        <w:rPr>
          <w:rFonts w:ascii="Arial" w:hAnsi="Arial" w:cs="Arial"/>
          <w:sz w:val="16"/>
          <w:szCs w:val="16"/>
          <w:lang w:val="ro-RO"/>
        </w:rPr>
        <w:t>A se vedea OECD (2019), “</w:t>
      </w:r>
      <w:proofErr w:type="spellStart"/>
      <w:r w:rsidRPr="000702A4">
        <w:rPr>
          <w:rFonts w:ascii="Arial" w:hAnsi="Arial" w:cs="Arial"/>
          <w:sz w:val="16"/>
          <w:szCs w:val="16"/>
          <w:lang w:val="ro-RO"/>
        </w:rPr>
        <w:t>Joint</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Audits</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within</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international</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tax</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co-operation</w:t>
      </w:r>
      <w:proofErr w:type="spellEnd"/>
      <w:r w:rsidRPr="000702A4">
        <w:rPr>
          <w:rFonts w:ascii="Arial" w:hAnsi="Arial" w:cs="Arial"/>
          <w:sz w:val="16"/>
          <w:szCs w:val="16"/>
          <w:lang w:val="ro-RO"/>
        </w:rPr>
        <w:t xml:space="preserve">”, in </w:t>
      </w:r>
      <w:proofErr w:type="spellStart"/>
      <w:r w:rsidRPr="000702A4">
        <w:rPr>
          <w:rFonts w:ascii="Arial" w:hAnsi="Arial" w:cs="Arial"/>
          <w:sz w:val="16"/>
          <w:szCs w:val="16"/>
          <w:lang w:val="ro-RO"/>
        </w:rPr>
        <w:t>Joint</w:t>
      </w:r>
      <w:proofErr w:type="spellEnd"/>
      <w:r w:rsidRPr="000702A4">
        <w:rPr>
          <w:rFonts w:ascii="Arial" w:hAnsi="Arial" w:cs="Arial"/>
          <w:sz w:val="16"/>
          <w:szCs w:val="16"/>
          <w:lang w:val="ro-RO"/>
        </w:rPr>
        <w:t xml:space="preserve"> Audit 2019 – </w:t>
      </w:r>
      <w:proofErr w:type="spellStart"/>
      <w:r w:rsidRPr="000702A4">
        <w:rPr>
          <w:rFonts w:ascii="Arial" w:hAnsi="Arial" w:cs="Arial"/>
          <w:sz w:val="16"/>
          <w:szCs w:val="16"/>
          <w:lang w:val="ro-RO"/>
        </w:rPr>
        <w:t>Enhancing</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Tax</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Co-operation</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and</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Improving</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Tax</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Certainty</w:t>
      </w:r>
      <w:proofErr w:type="spellEnd"/>
      <w:r w:rsidRPr="000702A4">
        <w:rPr>
          <w:rFonts w:ascii="Arial" w:hAnsi="Arial" w:cs="Arial"/>
          <w:sz w:val="16"/>
          <w:szCs w:val="16"/>
          <w:lang w:val="ro-RO"/>
        </w:rPr>
        <w:t xml:space="preserve">: Forum on </w:t>
      </w:r>
      <w:proofErr w:type="spellStart"/>
      <w:r w:rsidRPr="000702A4">
        <w:rPr>
          <w:rFonts w:ascii="Arial" w:hAnsi="Arial" w:cs="Arial"/>
          <w:sz w:val="16"/>
          <w:szCs w:val="16"/>
          <w:lang w:val="ro-RO"/>
        </w:rPr>
        <w:t>Tax</w:t>
      </w:r>
      <w:proofErr w:type="spellEnd"/>
      <w:r w:rsidRPr="000702A4">
        <w:rPr>
          <w:rFonts w:ascii="Arial" w:hAnsi="Arial" w:cs="Arial"/>
          <w:sz w:val="16"/>
          <w:szCs w:val="16"/>
          <w:lang w:val="ro-RO"/>
        </w:rPr>
        <w:t xml:space="preserve"> </w:t>
      </w:r>
      <w:proofErr w:type="spellStart"/>
      <w:r w:rsidRPr="000702A4">
        <w:rPr>
          <w:rFonts w:ascii="Arial" w:hAnsi="Arial" w:cs="Arial"/>
          <w:sz w:val="16"/>
          <w:szCs w:val="16"/>
          <w:lang w:val="ro-RO"/>
        </w:rPr>
        <w:t>Administration</w:t>
      </w:r>
      <w:proofErr w:type="spellEnd"/>
      <w:r w:rsidRPr="000702A4">
        <w:rPr>
          <w:rFonts w:ascii="Arial" w:hAnsi="Arial" w:cs="Arial"/>
          <w:sz w:val="16"/>
          <w:szCs w:val="16"/>
          <w:lang w:val="ro-RO"/>
        </w:rPr>
        <w:t xml:space="preserve">, OECD </w:t>
      </w:r>
      <w:proofErr w:type="spellStart"/>
      <w:r w:rsidRPr="000702A4">
        <w:rPr>
          <w:rFonts w:ascii="Arial" w:hAnsi="Arial" w:cs="Arial"/>
          <w:sz w:val="16"/>
          <w:szCs w:val="16"/>
          <w:lang w:val="ro-RO"/>
        </w:rPr>
        <w:t>Publishing</w:t>
      </w:r>
      <w:proofErr w:type="spellEnd"/>
      <w:r w:rsidRPr="000702A4">
        <w:rPr>
          <w:rFonts w:ascii="Arial" w:hAnsi="Arial" w:cs="Arial"/>
          <w:sz w:val="16"/>
          <w:szCs w:val="16"/>
          <w:lang w:val="ro-RO"/>
        </w:rPr>
        <w:t>, Paris</w:t>
      </w:r>
    </w:p>
  </w:footnote>
  <w:footnote w:id="2">
    <w:p w14:paraId="3CBCC741" w14:textId="77777777" w:rsidR="00B03F38" w:rsidRPr="000702A4" w:rsidRDefault="00B03F38" w:rsidP="00B03F38">
      <w:pPr>
        <w:pStyle w:val="Textnotdesubsol"/>
        <w:rPr>
          <w:rFonts w:ascii="Arial" w:hAnsi="Arial" w:cs="Arial"/>
          <w:sz w:val="16"/>
          <w:szCs w:val="16"/>
          <w:lang w:val="ro-RO"/>
        </w:rPr>
      </w:pPr>
      <w:r w:rsidRPr="000702A4">
        <w:rPr>
          <w:rStyle w:val="Referinnotdesubsol"/>
          <w:rFonts w:ascii="Arial" w:hAnsi="Arial" w:cs="Arial"/>
          <w:sz w:val="16"/>
          <w:szCs w:val="16"/>
          <w:lang w:val="ro-RO"/>
        </w:rPr>
        <w:footnoteRef/>
      </w:r>
      <w:r w:rsidRPr="000702A4">
        <w:rPr>
          <w:rFonts w:ascii="Arial" w:hAnsi="Arial" w:cs="Arial"/>
          <w:sz w:val="16"/>
          <w:szCs w:val="16"/>
          <w:lang w:val="ro-RO"/>
        </w:rPr>
        <w:t xml:space="preserve"> Există două tipuri principale de controale coordonate după cum urmează:</w:t>
      </w:r>
    </w:p>
    <w:p w14:paraId="3134E6A6" w14:textId="77777777" w:rsidR="00B03F38" w:rsidRPr="000702A4" w:rsidRDefault="00B03F38" w:rsidP="00B03F38">
      <w:pPr>
        <w:pStyle w:val="Textnotdesubsol"/>
        <w:numPr>
          <w:ilvl w:val="0"/>
          <w:numId w:val="3"/>
        </w:numPr>
        <w:ind w:hanging="630"/>
        <w:rPr>
          <w:rFonts w:ascii="Arial" w:hAnsi="Arial" w:cs="Arial"/>
          <w:sz w:val="16"/>
          <w:szCs w:val="16"/>
          <w:lang w:val="ro-RO"/>
        </w:rPr>
      </w:pPr>
      <w:r w:rsidRPr="000702A4">
        <w:rPr>
          <w:rFonts w:ascii="Arial" w:hAnsi="Arial" w:cs="Arial"/>
          <w:sz w:val="16"/>
          <w:szCs w:val="16"/>
          <w:lang w:val="ro-RO"/>
        </w:rPr>
        <w:t>Controalele simultane - se referă la o înțelegere între două sau mai multe administrații fiscale de a examina în același timp, fiecare în propriul teritoriu, aspectele fiscale ale unuia sau mai multor contribuabili în privința cărora au un interes comun sau asociat, cu scopul de a-și împărtăși reciproc orice informații relevante pe care le-ar obține astfel. Realizarea de controale simultane implică coordonarea activităților întreprinse în cadrul inspecțiilor individuale din cele două (sau mai multe) jurisdicții.</w:t>
      </w:r>
    </w:p>
    <w:p w14:paraId="55814692" w14:textId="77777777" w:rsidR="00B03F38" w:rsidRPr="000702A4" w:rsidRDefault="00B03F38" w:rsidP="00B03F38">
      <w:pPr>
        <w:pStyle w:val="Textnotdesubsol"/>
        <w:ind w:left="720"/>
        <w:rPr>
          <w:rFonts w:ascii="Arial" w:hAnsi="Arial" w:cs="Arial"/>
          <w:sz w:val="16"/>
          <w:szCs w:val="16"/>
          <w:lang w:val="ro-RO"/>
        </w:rPr>
      </w:pPr>
      <w:r w:rsidRPr="000702A4">
        <w:rPr>
          <w:rFonts w:ascii="Arial" w:hAnsi="Arial" w:cs="Arial"/>
          <w:sz w:val="16"/>
          <w:szCs w:val="16"/>
          <w:lang w:val="ro-RO"/>
        </w:rPr>
        <w:t>Controalele simultane pot fi de asemenea combinate cu prezența oficialilor fiscali în străinătate, având astfel un organ de inspecție fiscală controlând simultan aspectele fiscale ale unui contribuabil în prezența oficialilor celeilalte administrații fiscale.</w:t>
      </w:r>
    </w:p>
    <w:p w14:paraId="5B7D27D4" w14:textId="77777777" w:rsidR="00B03F38" w:rsidRPr="000702A4" w:rsidRDefault="00B03F38" w:rsidP="00B03F38">
      <w:pPr>
        <w:pStyle w:val="Textnotdesubsol"/>
        <w:numPr>
          <w:ilvl w:val="0"/>
          <w:numId w:val="3"/>
        </w:numPr>
        <w:ind w:hanging="630"/>
        <w:rPr>
          <w:rFonts w:ascii="Arial" w:hAnsi="Arial" w:cs="Arial"/>
          <w:sz w:val="16"/>
          <w:szCs w:val="16"/>
          <w:lang w:val="ro-RO"/>
        </w:rPr>
      </w:pPr>
      <w:r w:rsidRPr="000702A4">
        <w:rPr>
          <w:rFonts w:ascii="Arial" w:hAnsi="Arial" w:cs="Arial"/>
          <w:sz w:val="16"/>
          <w:szCs w:val="16"/>
          <w:lang w:val="ro-RO"/>
        </w:rPr>
        <w:t>Controalele comune – conceptul creat de OCDE se referă la un control desfășurat de două sau mai multe administrații fiscale ce se alătură pentru a examina un aspect/o tranzacție al unui/unor contribuabil/contribuabili ce au activitate transfrontalieră. Administrațiile acționează coordonat, interacționează cu contribuabilul și primesc informațiile de la acesta iar oficialii din partea celeilalte administrații fiscale sunt prezenți la control.</w:t>
      </w:r>
    </w:p>
  </w:footnote>
  <w:footnote w:id="3">
    <w:p w14:paraId="6B6DD338" w14:textId="2502D2DF" w:rsidR="00B03F38" w:rsidRPr="000702A4" w:rsidRDefault="00B03F38" w:rsidP="00B03F38">
      <w:pPr>
        <w:pStyle w:val="Textnotdesubsol"/>
        <w:rPr>
          <w:rFonts w:ascii="Arial" w:hAnsi="Arial" w:cs="Arial"/>
          <w:sz w:val="18"/>
          <w:szCs w:val="18"/>
          <w:lang w:val="ro-RO"/>
        </w:rPr>
      </w:pPr>
      <w:r w:rsidRPr="000702A4">
        <w:rPr>
          <w:rStyle w:val="Referinnotdesubsol"/>
          <w:rFonts w:ascii="Arial" w:hAnsi="Arial" w:cs="Arial"/>
          <w:sz w:val="16"/>
          <w:szCs w:val="16"/>
          <w:lang w:val="ro-RO"/>
        </w:rPr>
        <w:footnoteRef/>
      </w:r>
      <w:r w:rsidRPr="000702A4">
        <w:rPr>
          <w:rFonts w:ascii="Arial" w:hAnsi="Arial" w:cs="Arial"/>
          <w:sz w:val="16"/>
          <w:szCs w:val="16"/>
          <w:lang w:val="ro-RO"/>
        </w:rPr>
        <w:t xml:space="preserve"> </w:t>
      </w:r>
      <w:r w:rsidR="000702A4" w:rsidRPr="000702A4">
        <w:rPr>
          <w:rFonts w:ascii="Arial" w:hAnsi="Arial" w:cs="Arial"/>
          <w:sz w:val="16"/>
          <w:szCs w:val="16"/>
          <w:lang w:val="ro-RO"/>
        </w:rPr>
        <w:t xml:space="preserve">Disponibile aici –&gt; </w:t>
      </w:r>
      <w:hyperlink r:id="rId1" w:history="1">
        <w:r w:rsidR="000702A4" w:rsidRPr="000702A4">
          <w:rPr>
            <w:rStyle w:val="Hyperlink"/>
            <w:rFonts w:ascii="Arial" w:hAnsi="Arial" w:cs="Arial"/>
            <w:sz w:val="16"/>
            <w:szCs w:val="16"/>
            <w:lang w:val="ro-RO"/>
          </w:rPr>
          <w:t>Rapoarte ANAF</w:t>
        </w:r>
        <w:r w:rsidR="000702A4" w:rsidRPr="000702A4">
          <w:rPr>
            <w:rStyle w:val="Hyperlink"/>
            <w:rFonts w:ascii="Arial" w:hAnsi="Arial" w:cs="Arial"/>
            <w:sz w:val="18"/>
            <w:szCs w:val="18"/>
            <w:lang w:val="ro-RO"/>
          </w:rPr>
          <w:t xml:space="preserve"> </w:t>
        </w:r>
      </w:hyperlink>
      <w:r w:rsidRPr="000702A4">
        <w:rPr>
          <w:rFonts w:ascii="Arial" w:hAnsi="Arial" w:cs="Arial"/>
          <w:sz w:val="18"/>
          <w:szCs w:val="18"/>
          <w:lang w:val="ro-RO"/>
        </w:rPr>
        <w:t xml:space="preserve"> </w:t>
      </w:r>
    </w:p>
  </w:footnote>
  <w:footnote w:id="4">
    <w:p w14:paraId="76D56D3A" w14:textId="7F907351" w:rsidR="00B03F38" w:rsidRPr="000702A4" w:rsidRDefault="00B03F38" w:rsidP="00B03F38">
      <w:pPr>
        <w:pStyle w:val="Textnotdesubsol"/>
        <w:rPr>
          <w:rFonts w:ascii="Arial" w:hAnsi="Arial" w:cs="Arial"/>
          <w:sz w:val="16"/>
          <w:szCs w:val="16"/>
          <w:lang w:val="ro-RO"/>
        </w:rPr>
      </w:pPr>
      <w:r w:rsidRPr="000702A4">
        <w:rPr>
          <w:rStyle w:val="Referinnotdesubsol"/>
          <w:rFonts w:ascii="Arial" w:hAnsi="Arial" w:cs="Arial"/>
          <w:sz w:val="16"/>
          <w:szCs w:val="16"/>
          <w:lang w:val="ro-RO"/>
        </w:rPr>
        <w:footnoteRef/>
      </w:r>
      <w:r w:rsidRPr="000702A4">
        <w:rPr>
          <w:rFonts w:ascii="Arial" w:hAnsi="Arial" w:cs="Arial"/>
          <w:sz w:val="16"/>
          <w:szCs w:val="16"/>
          <w:lang w:val="ro-RO"/>
        </w:rPr>
        <w:t xml:space="preserve"> Comisia Europeană, Orientări politice pentru viitoarea Comisie Europeană 2019-2024, O Uniune mai ambițioasă, </w:t>
      </w:r>
      <w:hyperlink r:id="rId2" w:history="1">
        <w:r w:rsidR="00173887" w:rsidRPr="00C87CF1">
          <w:rPr>
            <w:rStyle w:val="Hyperlink"/>
            <w:rFonts w:ascii="Arial" w:hAnsi="Arial" w:cs="Arial"/>
            <w:sz w:val="16"/>
            <w:szCs w:val="16"/>
            <w:lang w:val="ro-RO"/>
          </w:rPr>
          <w:t>https://ec.europa.eu/info/sites/default/files/political-guidelines-next-commission_ro.pdf</w:t>
        </w:r>
      </w:hyperlink>
      <w:r w:rsidR="00173887">
        <w:rPr>
          <w:rFonts w:ascii="Arial" w:hAnsi="Arial" w:cs="Arial"/>
          <w:sz w:val="16"/>
          <w:szCs w:val="16"/>
          <w:lang w:val="ro-RO"/>
        </w:rPr>
        <w:t xml:space="preserve"> </w:t>
      </w:r>
    </w:p>
  </w:footnote>
  <w:footnote w:id="5">
    <w:p w14:paraId="74CC4E2A" w14:textId="77777777" w:rsidR="00B03F38" w:rsidRPr="00173887" w:rsidRDefault="00B03F38" w:rsidP="00B03F38">
      <w:pPr>
        <w:pStyle w:val="Textnotdesubsol"/>
        <w:numPr>
          <w:ilvl w:val="0"/>
          <w:numId w:val="2"/>
        </w:numPr>
        <w:ind w:hanging="720"/>
        <w:rPr>
          <w:rFonts w:ascii="Arial" w:hAnsi="Arial" w:cs="Arial"/>
          <w:sz w:val="16"/>
          <w:szCs w:val="16"/>
          <w:lang w:val="ro-RO"/>
        </w:rPr>
      </w:pPr>
      <w:r w:rsidRPr="00173887">
        <w:rPr>
          <w:rStyle w:val="Referinnotdesubsol"/>
          <w:rFonts w:ascii="Arial" w:hAnsi="Arial" w:cs="Arial"/>
          <w:sz w:val="16"/>
          <w:szCs w:val="16"/>
          <w:lang w:val="ro-RO"/>
        </w:rPr>
        <w:footnoteRef/>
      </w:r>
      <w:r w:rsidRPr="00173887">
        <w:rPr>
          <w:rFonts w:ascii="Arial" w:hAnsi="Arial" w:cs="Arial"/>
          <w:sz w:val="16"/>
          <w:szCs w:val="16"/>
          <w:lang w:val="ro-RO"/>
        </w:rPr>
        <w:t xml:space="preserve"> Directiva 2014/107/UE a Consiliului din 9 decembrie 2014 (</w:t>
      </w:r>
      <w:r w:rsidRPr="00173887">
        <w:rPr>
          <w:rFonts w:ascii="Arial" w:hAnsi="Arial" w:cs="Arial"/>
          <w:b/>
          <w:bCs/>
          <w:sz w:val="16"/>
          <w:szCs w:val="16"/>
          <w:lang w:val="ro-RO"/>
        </w:rPr>
        <w:t>DAC 2</w:t>
      </w:r>
      <w:r w:rsidRPr="00173887">
        <w:rPr>
          <w:rFonts w:ascii="Arial" w:hAnsi="Arial" w:cs="Arial"/>
          <w:sz w:val="16"/>
          <w:szCs w:val="16"/>
          <w:lang w:val="ro-RO"/>
        </w:rPr>
        <w:t xml:space="preserve">) referitoare la schimbul automat de informații privind conturile financiare între statele membre pe baza Standardului comun de raportare (SCR) al OCDE care prevede schimbul automat de informații cu privire la conturile financiare deținute de nerezidenți; </w:t>
      </w:r>
    </w:p>
    <w:p w14:paraId="5CDFAA73" w14:textId="77777777" w:rsidR="00B03F38" w:rsidRPr="00173887" w:rsidRDefault="00B03F38" w:rsidP="00B03F38">
      <w:pPr>
        <w:pStyle w:val="Textnotdesubsol"/>
        <w:numPr>
          <w:ilvl w:val="0"/>
          <w:numId w:val="2"/>
        </w:numPr>
        <w:ind w:hanging="720"/>
        <w:rPr>
          <w:rFonts w:ascii="Arial" w:hAnsi="Arial" w:cs="Arial"/>
          <w:sz w:val="16"/>
          <w:szCs w:val="16"/>
          <w:lang w:val="ro-RO"/>
        </w:rPr>
      </w:pPr>
      <w:r w:rsidRPr="00173887">
        <w:rPr>
          <w:rFonts w:ascii="Arial" w:hAnsi="Arial" w:cs="Arial"/>
          <w:sz w:val="16"/>
          <w:szCs w:val="16"/>
          <w:lang w:val="ro-RO"/>
        </w:rPr>
        <w:t>Directiva (UE) 2015/2376 a Consiliului din 8 decembrie 201510 (</w:t>
      </w:r>
      <w:r w:rsidRPr="00173887">
        <w:rPr>
          <w:rFonts w:ascii="Arial" w:hAnsi="Arial" w:cs="Arial"/>
          <w:b/>
          <w:bCs/>
          <w:sz w:val="16"/>
          <w:szCs w:val="16"/>
          <w:lang w:val="ro-RO"/>
        </w:rPr>
        <w:t>DAC 3</w:t>
      </w:r>
      <w:r w:rsidRPr="00173887">
        <w:rPr>
          <w:rFonts w:ascii="Arial" w:hAnsi="Arial" w:cs="Arial"/>
          <w:sz w:val="16"/>
          <w:szCs w:val="16"/>
          <w:lang w:val="ro-RO"/>
        </w:rPr>
        <w:t xml:space="preserve">) referitoare la schimbul automat obligatoriu de informații privind deciziile fiscale anticipate cu aplicare transfrontalieră; </w:t>
      </w:r>
    </w:p>
    <w:p w14:paraId="0B9AEE19" w14:textId="77777777" w:rsidR="00B03F38" w:rsidRPr="00173887" w:rsidRDefault="00B03F38" w:rsidP="00B03F38">
      <w:pPr>
        <w:pStyle w:val="Textnotdesubsol"/>
        <w:numPr>
          <w:ilvl w:val="0"/>
          <w:numId w:val="2"/>
        </w:numPr>
        <w:ind w:hanging="720"/>
        <w:rPr>
          <w:rFonts w:ascii="Arial" w:hAnsi="Arial" w:cs="Arial"/>
          <w:sz w:val="16"/>
          <w:szCs w:val="16"/>
          <w:lang w:val="ro-RO"/>
        </w:rPr>
      </w:pPr>
      <w:r w:rsidRPr="00173887">
        <w:rPr>
          <w:rFonts w:ascii="Arial" w:hAnsi="Arial" w:cs="Arial"/>
          <w:sz w:val="16"/>
          <w:szCs w:val="16"/>
          <w:lang w:val="ro-RO"/>
        </w:rPr>
        <w:t>Directiva (UE) 2016/881 a Consiliului din 25 mai 201611 (</w:t>
      </w:r>
      <w:r w:rsidRPr="00173887">
        <w:rPr>
          <w:rFonts w:ascii="Arial" w:hAnsi="Arial" w:cs="Arial"/>
          <w:b/>
          <w:bCs/>
          <w:sz w:val="16"/>
          <w:szCs w:val="16"/>
          <w:lang w:val="ro-RO"/>
        </w:rPr>
        <w:t>DAC 4</w:t>
      </w:r>
      <w:r w:rsidRPr="00173887">
        <w:rPr>
          <w:rFonts w:ascii="Arial" w:hAnsi="Arial" w:cs="Arial"/>
          <w:sz w:val="16"/>
          <w:szCs w:val="16"/>
          <w:lang w:val="ro-RO"/>
        </w:rPr>
        <w:t xml:space="preserve">) referitoare la schimbul automat obligatoriu de informații privind raportarea pentru fiecare țară în parte în rândul autorităților fiscale; </w:t>
      </w:r>
    </w:p>
    <w:p w14:paraId="51ACF346" w14:textId="77777777" w:rsidR="00B03F38" w:rsidRPr="00173887" w:rsidRDefault="00B03F38" w:rsidP="00B03F38">
      <w:pPr>
        <w:pStyle w:val="Textnotdesubsol"/>
        <w:numPr>
          <w:ilvl w:val="0"/>
          <w:numId w:val="2"/>
        </w:numPr>
        <w:ind w:hanging="720"/>
        <w:rPr>
          <w:rFonts w:ascii="Arial" w:hAnsi="Arial" w:cs="Arial"/>
          <w:sz w:val="16"/>
          <w:szCs w:val="16"/>
          <w:lang w:val="ro-RO"/>
        </w:rPr>
      </w:pPr>
      <w:r w:rsidRPr="00173887">
        <w:rPr>
          <w:rFonts w:ascii="Arial" w:hAnsi="Arial" w:cs="Arial"/>
          <w:sz w:val="16"/>
          <w:szCs w:val="16"/>
          <w:lang w:val="ro-RO"/>
        </w:rPr>
        <w:t>Directiva (UE) 2016/2258 a Consiliului din 6 decembrie 201612 (</w:t>
      </w:r>
      <w:r w:rsidRPr="00173887">
        <w:rPr>
          <w:rFonts w:ascii="Arial" w:hAnsi="Arial" w:cs="Arial"/>
          <w:b/>
          <w:bCs/>
          <w:sz w:val="16"/>
          <w:szCs w:val="16"/>
          <w:lang w:val="ro-RO"/>
        </w:rPr>
        <w:t>DAC 5</w:t>
      </w:r>
      <w:r w:rsidRPr="00173887">
        <w:rPr>
          <w:rFonts w:ascii="Arial" w:hAnsi="Arial" w:cs="Arial"/>
          <w:sz w:val="16"/>
          <w:szCs w:val="16"/>
          <w:lang w:val="ro-RO"/>
        </w:rPr>
        <w:t xml:space="preserve">) referitoare la accesul autorităților fiscale la informații privind combaterea spălării banilor; </w:t>
      </w:r>
    </w:p>
    <w:p w14:paraId="72FD9520" w14:textId="77777777" w:rsidR="00B03F38" w:rsidRPr="00173887" w:rsidRDefault="00B03F38" w:rsidP="00B03F38">
      <w:pPr>
        <w:pStyle w:val="Textnotdesubsol"/>
        <w:numPr>
          <w:ilvl w:val="0"/>
          <w:numId w:val="2"/>
        </w:numPr>
        <w:ind w:hanging="720"/>
        <w:rPr>
          <w:rFonts w:ascii="Arial" w:hAnsi="Arial" w:cs="Arial"/>
          <w:sz w:val="16"/>
          <w:szCs w:val="16"/>
          <w:lang w:val="ro-RO"/>
        </w:rPr>
      </w:pPr>
      <w:r w:rsidRPr="00173887">
        <w:rPr>
          <w:rFonts w:ascii="Arial" w:hAnsi="Arial" w:cs="Arial"/>
          <w:sz w:val="16"/>
          <w:szCs w:val="16"/>
          <w:lang w:val="ro-RO"/>
        </w:rPr>
        <w:t>Directiva (UE) 2018/822 a Consiliului din 25 mai 201813 (</w:t>
      </w:r>
      <w:r w:rsidRPr="00173887">
        <w:rPr>
          <w:rFonts w:ascii="Arial" w:hAnsi="Arial" w:cs="Arial"/>
          <w:b/>
          <w:bCs/>
          <w:sz w:val="16"/>
          <w:szCs w:val="16"/>
          <w:lang w:val="ro-RO"/>
        </w:rPr>
        <w:t>DAC 6</w:t>
      </w:r>
      <w:r w:rsidRPr="00173887">
        <w:rPr>
          <w:rFonts w:ascii="Arial" w:hAnsi="Arial" w:cs="Arial"/>
          <w:sz w:val="16"/>
          <w:szCs w:val="16"/>
          <w:lang w:val="ro-RO"/>
        </w:rPr>
        <w:t>) referitoare la schimbul automat obligatoriu de informații în domeniul fiscal cu privire la modalitățile transfrontaliere care fac obiectul raportării.</w:t>
      </w:r>
    </w:p>
  </w:footnote>
  <w:footnote w:id="6">
    <w:p w14:paraId="054EDE85" w14:textId="77777777" w:rsidR="00B03F38" w:rsidRPr="00173887" w:rsidRDefault="00B03F38" w:rsidP="00B03F38">
      <w:pPr>
        <w:pStyle w:val="Textnotdesubsol"/>
        <w:rPr>
          <w:rFonts w:ascii="Arial" w:hAnsi="Arial" w:cs="Arial"/>
          <w:sz w:val="18"/>
          <w:szCs w:val="18"/>
          <w:lang w:val="ro-RO"/>
        </w:rPr>
      </w:pPr>
      <w:r w:rsidRPr="00173887">
        <w:rPr>
          <w:rStyle w:val="Referinnotdesubsol"/>
          <w:rFonts w:ascii="Arial" w:hAnsi="Arial" w:cs="Arial"/>
          <w:sz w:val="16"/>
          <w:szCs w:val="16"/>
          <w:lang w:val="ro-RO"/>
        </w:rPr>
        <w:footnoteRef/>
      </w:r>
      <w:r w:rsidRPr="00173887">
        <w:rPr>
          <w:rFonts w:ascii="Arial" w:hAnsi="Arial" w:cs="Arial"/>
          <w:sz w:val="16"/>
          <w:szCs w:val="16"/>
          <w:lang w:val="ro-RO"/>
        </w:rPr>
        <w:t xml:space="preserve"> Directiva 2021/514 Consiliului din 22 martie 2021 de modificare a Directivei 2011/16/UE privind cooperarea administrativă în domeniul fiscal, disponibilă aici: </w:t>
      </w:r>
      <w:hyperlink r:id="rId3" w:history="1">
        <w:r w:rsidRPr="00173887">
          <w:rPr>
            <w:rStyle w:val="Hyperlink"/>
            <w:rFonts w:ascii="Arial" w:hAnsi="Arial" w:cs="Arial"/>
            <w:sz w:val="16"/>
            <w:szCs w:val="16"/>
            <w:lang w:val="ro-RO"/>
          </w:rPr>
          <w:t>https://eur-lex.europa.eu/legal-content/RO/TXT/PDF/?uri=CELEX:32021L0514&amp;from=RO</w:t>
        </w:r>
      </w:hyperlink>
      <w:r w:rsidRPr="00173887">
        <w:rPr>
          <w:rFonts w:ascii="Arial" w:hAnsi="Arial" w:cs="Arial"/>
          <w:sz w:val="18"/>
          <w:szCs w:val="18"/>
          <w:lang w:val="ro-RO"/>
        </w:rPr>
        <w:t xml:space="preserve"> </w:t>
      </w:r>
    </w:p>
  </w:footnote>
  <w:footnote w:id="7">
    <w:p w14:paraId="3DBB4B64" w14:textId="77777777" w:rsidR="00B03F38" w:rsidRPr="000702A4" w:rsidRDefault="00B03F38" w:rsidP="00B03F38">
      <w:pPr>
        <w:pStyle w:val="Textnotdesubsol"/>
        <w:rPr>
          <w:rFonts w:ascii="Arial" w:hAnsi="Arial" w:cs="Arial"/>
          <w:sz w:val="16"/>
          <w:szCs w:val="16"/>
          <w:lang w:val="ro-RO"/>
        </w:rPr>
      </w:pPr>
      <w:r w:rsidRPr="000702A4">
        <w:rPr>
          <w:rStyle w:val="Referinnotdesubsol"/>
          <w:rFonts w:ascii="Arial" w:hAnsi="Arial" w:cs="Arial"/>
          <w:sz w:val="16"/>
          <w:szCs w:val="16"/>
        </w:rPr>
        <w:footnoteRef/>
      </w:r>
      <w:r w:rsidRPr="000702A4">
        <w:rPr>
          <w:rFonts w:ascii="Arial" w:hAnsi="Arial" w:cs="Arial"/>
          <w:sz w:val="16"/>
          <w:szCs w:val="16"/>
        </w:rPr>
        <w:t xml:space="preserve"> </w:t>
      </w:r>
      <w:proofErr w:type="spellStart"/>
      <w:r w:rsidRPr="000702A4">
        <w:rPr>
          <w:rFonts w:ascii="Arial" w:hAnsi="Arial" w:cs="Arial"/>
          <w:sz w:val="16"/>
          <w:szCs w:val="16"/>
        </w:rPr>
        <w:t>Propunere</w:t>
      </w:r>
      <w:proofErr w:type="spellEnd"/>
      <w:r w:rsidRPr="000702A4">
        <w:rPr>
          <w:rFonts w:ascii="Arial" w:hAnsi="Arial" w:cs="Arial"/>
          <w:sz w:val="16"/>
          <w:szCs w:val="16"/>
        </w:rPr>
        <w:t xml:space="preserve"> de DIRECTIVĂ A CONSILIULUI de </w:t>
      </w:r>
      <w:proofErr w:type="spellStart"/>
      <w:r w:rsidRPr="000702A4">
        <w:rPr>
          <w:rFonts w:ascii="Arial" w:hAnsi="Arial" w:cs="Arial"/>
          <w:sz w:val="16"/>
          <w:szCs w:val="16"/>
        </w:rPr>
        <w:t>modificare</w:t>
      </w:r>
      <w:proofErr w:type="spellEnd"/>
      <w:r w:rsidRPr="000702A4">
        <w:rPr>
          <w:rFonts w:ascii="Arial" w:hAnsi="Arial" w:cs="Arial"/>
          <w:sz w:val="16"/>
          <w:szCs w:val="16"/>
        </w:rPr>
        <w:t xml:space="preserve"> a </w:t>
      </w:r>
      <w:proofErr w:type="spellStart"/>
      <w:r w:rsidRPr="000702A4">
        <w:rPr>
          <w:rFonts w:ascii="Arial" w:hAnsi="Arial" w:cs="Arial"/>
          <w:sz w:val="16"/>
          <w:szCs w:val="16"/>
        </w:rPr>
        <w:t>Directivei</w:t>
      </w:r>
      <w:proofErr w:type="spellEnd"/>
      <w:r w:rsidRPr="000702A4">
        <w:rPr>
          <w:rFonts w:ascii="Arial" w:hAnsi="Arial" w:cs="Arial"/>
          <w:sz w:val="16"/>
          <w:szCs w:val="16"/>
        </w:rPr>
        <w:t xml:space="preserve"> 2011/16/UE </w:t>
      </w:r>
      <w:proofErr w:type="spellStart"/>
      <w:r w:rsidRPr="000702A4">
        <w:rPr>
          <w:rFonts w:ascii="Arial" w:hAnsi="Arial" w:cs="Arial"/>
          <w:sz w:val="16"/>
          <w:szCs w:val="16"/>
        </w:rPr>
        <w:t>privind</w:t>
      </w:r>
      <w:proofErr w:type="spellEnd"/>
      <w:r w:rsidRPr="000702A4">
        <w:rPr>
          <w:rFonts w:ascii="Arial" w:hAnsi="Arial" w:cs="Arial"/>
          <w:sz w:val="16"/>
          <w:szCs w:val="16"/>
        </w:rPr>
        <w:t xml:space="preserve"> </w:t>
      </w:r>
      <w:proofErr w:type="spellStart"/>
      <w:r w:rsidRPr="000702A4">
        <w:rPr>
          <w:rFonts w:ascii="Arial" w:hAnsi="Arial" w:cs="Arial"/>
          <w:sz w:val="16"/>
          <w:szCs w:val="16"/>
        </w:rPr>
        <w:t>cooperarea</w:t>
      </w:r>
      <w:proofErr w:type="spellEnd"/>
      <w:r w:rsidRPr="000702A4">
        <w:rPr>
          <w:rFonts w:ascii="Arial" w:hAnsi="Arial" w:cs="Arial"/>
          <w:sz w:val="16"/>
          <w:szCs w:val="16"/>
        </w:rPr>
        <w:t xml:space="preserve"> </w:t>
      </w:r>
      <w:proofErr w:type="spellStart"/>
      <w:r w:rsidRPr="000702A4">
        <w:rPr>
          <w:rFonts w:ascii="Arial" w:hAnsi="Arial" w:cs="Arial"/>
          <w:sz w:val="16"/>
          <w:szCs w:val="16"/>
        </w:rPr>
        <w:t>administrativă</w:t>
      </w:r>
      <w:proofErr w:type="spellEnd"/>
      <w:r w:rsidRPr="000702A4">
        <w:rPr>
          <w:rFonts w:ascii="Arial" w:hAnsi="Arial" w:cs="Arial"/>
          <w:sz w:val="16"/>
          <w:szCs w:val="16"/>
        </w:rPr>
        <w:t xml:space="preserve"> </w:t>
      </w:r>
      <w:proofErr w:type="spellStart"/>
      <w:r w:rsidRPr="000702A4">
        <w:rPr>
          <w:rFonts w:ascii="Arial" w:hAnsi="Arial" w:cs="Arial"/>
          <w:sz w:val="16"/>
          <w:szCs w:val="16"/>
        </w:rPr>
        <w:t>în</w:t>
      </w:r>
      <w:proofErr w:type="spellEnd"/>
      <w:r w:rsidRPr="000702A4">
        <w:rPr>
          <w:rFonts w:ascii="Arial" w:hAnsi="Arial" w:cs="Arial"/>
          <w:sz w:val="16"/>
          <w:szCs w:val="16"/>
        </w:rPr>
        <w:t xml:space="preserve"> </w:t>
      </w:r>
      <w:proofErr w:type="spellStart"/>
      <w:r w:rsidRPr="000702A4">
        <w:rPr>
          <w:rFonts w:ascii="Arial" w:hAnsi="Arial" w:cs="Arial"/>
          <w:sz w:val="16"/>
          <w:szCs w:val="16"/>
        </w:rPr>
        <w:t>domeniul</w:t>
      </w:r>
      <w:proofErr w:type="spellEnd"/>
      <w:r w:rsidRPr="000702A4">
        <w:rPr>
          <w:rFonts w:ascii="Arial" w:hAnsi="Arial" w:cs="Arial"/>
          <w:sz w:val="16"/>
          <w:szCs w:val="16"/>
        </w:rPr>
        <w:t xml:space="preserve"> fiscal din 15.07.2020, </w:t>
      </w:r>
      <w:proofErr w:type="spellStart"/>
      <w:r w:rsidRPr="000702A4">
        <w:rPr>
          <w:rFonts w:ascii="Arial" w:hAnsi="Arial" w:cs="Arial"/>
          <w:sz w:val="16"/>
          <w:szCs w:val="16"/>
        </w:rPr>
        <w:t>disponibilă</w:t>
      </w:r>
      <w:proofErr w:type="spellEnd"/>
      <w:r w:rsidRPr="000702A4">
        <w:rPr>
          <w:rFonts w:ascii="Arial" w:hAnsi="Arial" w:cs="Arial"/>
          <w:sz w:val="16"/>
          <w:szCs w:val="16"/>
        </w:rPr>
        <w:t xml:space="preserve"> </w:t>
      </w:r>
      <w:proofErr w:type="spellStart"/>
      <w:r w:rsidRPr="000702A4">
        <w:rPr>
          <w:rFonts w:ascii="Arial" w:hAnsi="Arial" w:cs="Arial"/>
          <w:sz w:val="16"/>
          <w:szCs w:val="16"/>
        </w:rPr>
        <w:t>aici</w:t>
      </w:r>
      <w:proofErr w:type="spellEnd"/>
      <w:r w:rsidRPr="000702A4">
        <w:rPr>
          <w:rFonts w:ascii="Arial" w:hAnsi="Arial" w:cs="Arial"/>
          <w:sz w:val="16"/>
          <w:szCs w:val="16"/>
        </w:rPr>
        <w:t xml:space="preserve">: </w:t>
      </w:r>
      <w:hyperlink r:id="rId4" w:history="1">
        <w:r w:rsidRPr="000702A4">
          <w:rPr>
            <w:rStyle w:val="Hyperlink"/>
            <w:rFonts w:ascii="Arial" w:hAnsi="Arial" w:cs="Arial"/>
            <w:sz w:val="16"/>
            <w:szCs w:val="16"/>
          </w:rPr>
          <w:t>EUR-Lex - 52020PC0314 - EN - EUR-Lex (europa.eu)</w:t>
        </w:r>
      </w:hyperlink>
    </w:p>
  </w:footnote>
  <w:footnote w:id="8">
    <w:p w14:paraId="4689A503" w14:textId="092B4287" w:rsidR="00B03F38" w:rsidRPr="00173887" w:rsidRDefault="00B03F38" w:rsidP="00B03F38">
      <w:pPr>
        <w:pStyle w:val="Textnotdesubsol"/>
        <w:rPr>
          <w:rFonts w:ascii="Arial" w:hAnsi="Arial" w:cs="Arial"/>
          <w:sz w:val="16"/>
          <w:szCs w:val="16"/>
          <w:lang w:val="ro-RO"/>
        </w:rPr>
      </w:pPr>
      <w:r w:rsidRPr="000702A4">
        <w:rPr>
          <w:rStyle w:val="Referinnotdesubsol"/>
          <w:rFonts w:ascii="Arial" w:hAnsi="Arial" w:cs="Arial"/>
          <w:sz w:val="16"/>
          <w:szCs w:val="16"/>
        </w:rPr>
        <w:footnoteRef/>
      </w:r>
      <w:r w:rsidRPr="000702A4">
        <w:rPr>
          <w:rFonts w:ascii="Arial" w:hAnsi="Arial" w:cs="Arial"/>
          <w:sz w:val="16"/>
          <w:szCs w:val="16"/>
        </w:rPr>
        <w:t xml:space="preserve"> </w:t>
      </w:r>
      <w:r w:rsidRPr="000702A4">
        <w:rPr>
          <w:rFonts w:ascii="Arial" w:hAnsi="Arial" w:cs="Arial"/>
          <w:sz w:val="16"/>
          <w:szCs w:val="16"/>
          <w:lang w:val="ro-RO"/>
        </w:rPr>
        <w:t>Art. 12a alin. (4) din Propunerea DAC 7:</w:t>
      </w:r>
      <w:r w:rsidR="00173887">
        <w:rPr>
          <w:rFonts w:ascii="Arial" w:hAnsi="Arial" w:cs="Arial"/>
          <w:sz w:val="16"/>
          <w:szCs w:val="16"/>
          <w:lang w:val="ro-RO"/>
        </w:rPr>
        <w:t xml:space="preserve"> </w:t>
      </w:r>
      <w:r w:rsidRPr="000702A4">
        <w:rPr>
          <w:rFonts w:ascii="Arial" w:hAnsi="Arial" w:cs="Arial"/>
          <w:sz w:val="16"/>
          <w:szCs w:val="16"/>
          <w:lang w:val="ro-RO"/>
        </w:rPr>
        <w:t>„</w:t>
      </w:r>
      <w:r w:rsidRPr="000702A4">
        <w:rPr>
          <w:rFonts w:ascii="Arial" w:hAnsi="Arial" w:cs="Arial"/>
          <w:i/>
          <w:iCs/>
          <w:sz w:val="16"/>
          <w:szCs w:val="16"/>
          <w:lang w:val="ro-RO"/>
        </w:rPr>
        <w:t xml:space="preserve">În cazul în care una sau mai multe persoane solicită autorităților competente din două sau mai multe state membre să o (le) auditeze în comun, autoritățile solicitate răspund la cerere în termen de 30 de zile. </w:t>
      </w:r>
    </w:p>
    <w:p w14:paraId="298C444D" w14:textId="77777777" w:rsidR="00B03F38" w:rsidRPr="000702A4" w:rsidRDefault="00B03F38" w:rsidP="00B03F38">
      <w:pPr>
        <w:pStyle w:val="Textnotdesubsol"/>
        <w:rPr>
          <w:rFonts w:ascii="Arial" w:hAnsi="Arial" w:cs="Arial"/>
          <w:sz w:val="16"/>
          <w:szCs w:val="16"/>
          <w:lang w:val="ro-RO"/>
        </w:rPr>
      </w:pPr>
      <w:r w:rsidRPr="000702A4">
        <w:rPr>
          <w:rFonts w:ascii="Arial" w:hAnsi="Arial" w:cs="Arial"/>
          <w:i/>
          <w:iCs/>
          <w:sz w:val="16"/>
          <w:szCs w:val="16"/>
          <w:lang w:val="ro-RO"/>
        </w:rPr>
        <w:t>Dacă autoritatea solicitată respinge cererea, aceasta informează persoana solicitantă (persoanele solicitante) cu privire la motivele deciziei sale</w:t>
      </w:r>
      <w:r w:rsidRPr="000702A4">
        <w:rPr>
          <w:rFonts w:ascii="Arial" w:hAnsi="Arial" w:cs="Arial"/>
          <w:sz w:val="16"/>
          <w:szCs w:val="16"/>
          <w:lang w:val="ro-RO"/>
        </w:rPr>
        <w:t>.”</w:t>
      </w:r>
    </w:p>
  </w:footnote>
  <w:footnote w:id="9">
    <w:p w14:paraId="0524FA25" w14:textId="77777777" w:rsidR="00B03F38" w:rsidRPr="00CF349F" w:rsidRDefault="00B03F38" w:rsidP="00B03F38">
      <w:pPr>
        <w:pStyle w:val="Textnotdesubsol"/>
        <w:rPr>
          <w:rFonts w:ascii="Arial" w:hAnsi="Arial" w:cs="Arial"/>
          <w:sz w:val="18"/>
          <w:szCs w:val="18"/>
          <w:lang w:val="ro-RO"/>
        </w:rPr>
      </w:pPr>
      <w:r w:rsidRPr="000702A4">
        <w:rPr>
          <w:rStyle w:val="Referinnotdesubsol"/>
          <w:rFonts w:ascii="Arial" w:hAnsi="Arial" w:cs="Arial"/>
          <w:sz w:val="16"/>
          <w:szCs w:val="16"/>
        </w:rPr>
        <w:footnoteRef/>
      </w:r>
      <w:r w:rsidRPr="000702A4">
        <w:rPr>
          <w:rFonts w:ascii="Arial" w:hAnsi="Arial" w:cs="Arial"/>
          <w:sz w:val="16"/>
          <w:szCs w:val="16"/>
        </w:rPr>
        <w:t xml:space="preserve"> OECD (2019), “</w:t>
      </w:r>
      <w:r w:rsidRPr="000702A4">
        <w:rPr>
          <w:rFonts w:ascii="Arial" w:hAnsi="Arial" w:cs="Arial"/>
          <w:i/>
          <w:iCs/>
          <w:sz w:val="16"/>
          <w:szCs w:val="16"/>
        </w:rPr>
        <w:t>Joint Audits within international tax co-operation</w:t>
      </w:r>
      <w:r w:rsidRPr="000702A4">
        <w:rPr>
          <w:rFonts w:ascii="Arial" w:hAnsi="Arial" w:cs="Arial"/>
          <w:sz w:val="16"/>
          <w:szCs w:val="16"/>
        </w:rPr>
        <w:t xml:space="preserve">”, in Joint Audit 2019 – Enhancing Tax Co-operation and Improving Tax Certainty: Forum on Tax Administration, OECD Publishing, Paris, Chapter 5 – </w:t>
      </w:r>
      <w:r w:rsidRPr="000702A4">
        <w:rPr>
          <w:rFonts w:ascii="Arial" w:hAnsi="Arial" w:cs="Arial"/>
          <w:i/>
          <w:iCs/>
          <w:sz w:val="16"/>
          <w:szCs w:val="16"/>
        </w:rPr>
        <w:t xml:space="preserve">The role of the taxpayer, </w:t>
      </w:r>
      <w:proofErr w:type="spellStart"/>
      <w:r w:rsidRPr="000702A4">
        <w:rPr>
          <w:rFonts w:ascii="Arial" w:hAnsi="Arial" w:cs="Arial"/>
          <w:sz w:val="16"/>
          <w:szCs w:val="16"/>
        </w:rPr>
        <w:t>pag</w:t>
      </w:r>
      <w:proofErr w:type="spellEnd"/>
      <w:r w:rsidRPr="000702A4">
        <w:rPr>
          <w:rFonts w:ascii="Arial" w:hAnsi="Arial" w:cs="Arial"/>
          <w:sz w:val="16"/>
          <w:szCs w:val="16"/>
        </w:rPr>
        <w:t>.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D000" w14:textId="6F324D22" w:rsidR="00A05E84" w:rsidRDefault="00A05E84">
    <w:pPr>
      <w:pStyle w:val="Antet"/>
    </w:pPr>
    <w:r>
      <w:rPr>
        <w:rFonts w:ascii="Times New Roman" w:hAnsi="Times New Roman"/>
        <w:noProof/>
        <w:sz w:val="24"/>
        <w:lang w:val="ro-RO" w:eastAsia="ro-RO"/>
      </w:rPr>
      <mc:AlternateContent>
        <mc:Choice Requires="wps">
          <w:drawing>
            <wp:anchor distT="0" distB="0" distL="114300" distR="114300" simplePos="0" relativeHeight="251659264" behindDoc="0" locked="1" layoutInCell="1" allowOverlap="1" wp14:anchorId="77C601BE" wp14:editId="023DC18D">
              <wp:simplePos x="0" y="0"/>
              <wp:positionH relativeFrom="page">
                <wp:posOffset>3610610</wp:posOffset>
              </wp:positionH>
              <wp:positionV relativeFrom="page">
                <wp:posOffset>377190</wp:posOffset>
              </wp:positionV>
              <wp:extent cx="3962400" cy="571500"/>
              <wp:effectExtent l="0" t="0" r="0" b="0"/>
              <wp:wrapSquare wrapText="bothSides"/>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A05E84" w14:paraId="49DFFA5E" w14:textId="77777777">
                            <w:tc>
                              <w:tcPr>
                                <w:tcW w:w="3119" w:type="dxa"/>
                                <w:hideMark/>
                              </w:tcPr>
                              <w:p w14:paraId="5AB2ABCA" w14:textId="77777777" w:rsidR="00A05E84" w:rsidRDefault="00A05E84">
                                <w:pPr>
                                  <w:pStyle w:val="EYBusinessaddress"/>
                                  <w:rPr>
                                    <w:color w:val="auto"/>
                                    <w:lang w:val="ro-RO"/>
                                  </w:rPr>
                                </w:pPr>
                                <w:r>
                                  <w:rPr>
                                    <w:color w:val="auto"/>
                                    <w:lang w:val="ro-RO"/>
                                  </w:rPr>
                                  <w:t>Radu si Asociații SPRL</w:t>
                                </w:r>
                              </w:p>
                              <w:p w14:paraId="137541E5" w14:textId="77777777" w:rsidR="00A05E84" w:rsidRDefault="00A05E84">
                                <w:pPr>
                                  <w:pStyle w:val="EYBusinessaddress"/>
                                  <w:rPr>
                                    <w:color w:val="auto"/>
                                    <w:lang w:val="ro-RO"/>
                                  </w:rPr>
                                </w:pPr>
                                <w:proofErr w:type="spellStart"/>
                                <w:r>
                                  <w:rPr>
                                    <w:color w:val="auto"/>
                                    <w:lang w:val="ro-RO"/>
                                  </w:rPr>
                                  <w:t>Bucharest</w:t>
                                </w:r>
                                <w:proofErr w:type="spellEnd"/>
                                <w:r>
                                  <w:rPr>
                                    <w:color w:val="auto"/>
                                    <w:lang w:val="ro-RO"/>
                                  </w:rPr>
                                  <w:t xml:space="preserve"> </w:t>
                                </w:r>
                                <w:proofErr w:type="spellStart"/>
                                <w:r>
                                  <w:rPr>
                                    <w:color w:val="auto"/>
                                    <w:lang w:val="ro-RO"/>
                                  </w:rPr>
                                  <w:t>Tower</w:t>
                                </w:r>
                                <w:proofErr w:type="spellEnd"/>
                                <w:r>
                                  <w:rPr>
                                    <w:color w:val="auto"/>
                                    <w:lang w:val="ro-RO"/>
                                  </w:rPr>
                                  <w:t xml:space="preserve"> Center Building, 22</w:t>
                                </w:r>
                                <w:r>
                                  <w:rPr>
                                    <w:color w:val="auto"/>
                                    <w:vertAlign w:val="superscript"/>
                                    <w:lang w:val="ro-RO"/>
                                  </w:rPr>
                                  <w:t>nd</w:t>
                                </w:r>
                                <w:r>
                                  <w:rPr>
                                    <w:color w:val="auto"/>
                                    <w:lang w:val="ro-RO"/>
                                  </w:rPr>
                                  <w:t xml:space="preserve"> </w:t>
                                </w:r>
                                <w:proofErr w:type="spellStart"/>
                                <w:r>
                                  <w:rPr>
                                    <w:color w:val="auto"/>
                                    <w:lang w:val="ro-RO"/>
                                  </w:rPr>
                                  <w:t>Floor</w:t>
                                </w:r>
                                <w:proofErr w:type="spellEnd"/>
                              </w:p>
                              <w:p w14:paraId="146DBC0B" w14:textId="77777777" w:rsidR="00A05E84" w:rsidRDefault="00A05E84">
                                <w:pPr>
                                  <w:pStyle w:val="EYBusinessaddress"/>
                                  <w:rPr>
                                    <w:color w:val="auto"/>
                                    <w:lang w:val="ro-RO"/>
                                  </w:rPr>
                                </w:pPr>
                                <w:r>
                                  <w:rPr>
                                    <w:color w:val="auto"/>
                                    <w:lang w:val="ro-RO"/>
                                  </w:rPr>
                                  <w:t xml:space="preserve">15-17 Ion Mihalache </w:t>
                                </w:r>
                                <w:proofErr w:type="spellStart"/>
                                <w:r>
                                  <w:rPr>
                                    <w:color w:val="auto"/>
                                    <w:lang w:val="ro-RO"/>
                                  </w:rPr>
                                  <w:t>Blvd</w:t>
                                </w:r>
                                <w:proofErr w:type="spellEnd"/>
                                <w:r>
                                  <w:rPr>
                                    <w:color w:val="auto"/>
                                    <w:lang w:val="ro-RO"/>
                                  </w:rPr>
                                  <w:t>., Sector 1</w:t>
                                </w:r>
                              </w:p>
                              <w:p w14:paraId="50D3C145" w14:textId="77777777" w:rsidR="00A05E84" w:rsidRDefault="00A05E84">
                                <w:pPr>
                                  <w:pStyle w:val="EYBusinessaddress"/>
                                  <w:rPr>
                                    <w:color w:val="auto"/>
                                    <w:lang w:val="ro-RO"/>
                                  </w:rPr>
                                </w:pPr>
                                <w:r>
                                  <w:rPr>
                                    <w:color w:val="auto"/>
                                    <w:lang w:val="ro-RO"/>
                                  </w:rPr>
                                  <w:t xml:space="preserve">011171 </w:t>
                                </w:r>
                                <w:proofErr w:type="spellStart"/>
                                <w:r>
                                  <w:rPr>
                                    <w:color w:val="auto"/>
                                    <w:lang w:val="ro-RO"/>
                                  </w:rPr>
                                  <w:t>Bucharest</w:t>
                                </w:r>
                                <w:proofErr w:type="spellEnd"/>
                                <w:r>
                                  <w:rPr>
                                    <w:color w:val="auto"/>
                                    <w:lang w:val="ro-RO"/>
                                  </w:rPr>
                                  <w:t>, Romania</w:t>
                                </w:r>
                              </w:p>
                            </w:tc>
                            <w:tc>
                              <w:tcPr>
                                <w:tcW w:w="142" w:type="dxa"/>
                              </w:tcPr>
                              <w:p w14:paraId="66AA54A6" w14:textId="77777777" w:rsidR="00A05E84" w:rsidRDefault="00A05E84">
                                <w:pPr>
                                  <w:pStyle w:val="EYBusinessaddress"/>
                                  <w:rPr>
                                    <w:color w:val="auto"/>
                                    <w:lang w:val="ro-RO"/>
                                  </w:rPr>
                                </w:pPr>
                              </w:p>
                            </w:tc>
                            <w:tc>
                              <w:tcPr>
                                <w:tcW w:w="2835" w:type="dxa"/>
                                <w:hideMark/>
                              </w:tcPr>
                              <w:p w14:paraId="2F7E4351" w14:textId="77777777" w:rsidR="00A05E84" w:rsidRDefault="00A05E84">
                                <w:pPr>
                                  <w:pStyle w:val="EYBusinessaddress"/>
                                  <w:rPr>
                                    <w:color w:val="auto"/>
                                    <w:lang w:val="ro-RO"/>
                                  </w:rPr>
                                </w:pPr>
                                <w:r>
                                  <w:rPr>
                                    <w:color w:val="auto"/>
                                    <w:lang w:val="ro-RO"/>
                                  </w:rPr>
                                  <w:t>Tel:  +40 21 402 4000</w:t>
                                </w:r>
                              </w:p>
                              <w:p w14:paraId="19E93A31" w14:textId="77777777" w:rsidR="00A05E84" w:rsidRDefault="00A05E84">
                                <w:pPr>
                                  <w:pStyle w:val="EYBusinessaddress"/>
                                  <w:rPr>
                                    <w:color w:val="auto"/>
                                    <w:lang w:val="ro-RO"/>
                                  </w:rPr>
                                </w:pPr>
                                <w:r>
                                  <w:rPr>
                                    <w:color w:val="auto"/>
                                    <w:lang w:val="ro-RO"/>
                                  </w:rPr>
                                  <w:t>Fax: +40 21 310 6987</w:t>
                                </w:r>
                              </w:p>
                              <w:p w14:paraId="236A3362" w14:textId="77777777" w:rsidR="00A05E84" w:rsidRDefault="00A05E84">
                                <w:pPr>
                                  <w:pStyle w:val="EYBusinessaddress"/>
                                  <w:rPr>
                                    <w:color w:val="auto"/>
                                    <w:lang w:val="ro-RO"/>
                                  </w:rPr>
                                </w:pPr>
                                <w:r>
                                  <w:rPr>
                                    <w:color w:val="auto"/>
                                    <w:lang w:val="ro-RO"/>
                                  </w:rPr>
                                  <w:t>E-mail: office@ra-law.ro</w:t>
                                </w:r>
                              </w:p>
                              <w:p w14:paraId="3C41F850" w14:textId="77777777" w:rsidR="00A05E84" w:rsidRDefault="00A05E84">
                                <w:pPr>
                                  <w:pStyle w:val="EYBusinessaddress"/>
                                  <w:rPr>
                                    <w:color w:val="auto"/>
                                    <w:lang w:val="ro-RO"/>
                                  </w:rPr>
                                </w:pPr>
                                <w:r>
                                  <w:rPr>
                                    <w:color w:val="auto"/>
                                    <w:lang w:val="ro-RO"/>
                                  </w:rPr>
                                  <w:t>www.</w:t>
                                </w:r>
                                <w:hyperlink r:id="rId1" w:history="1">
                                  <w:r>
                                    <w:rPr>
                                      <w:rStyle w:val="Hyperlink"/>
                                      <w:lang w:val="ro-RO"/>
                                    </w:rPr>
                                    <w:t>ra</w:t>
                                  </w:r>
                                </w:hyperlink>
                                <w:r>
                                  <w:rPr>
                                    <w:rStyle w:val="Hyperlink"/>
                                    <w:lang w:val="ro-RO"/>
                                  </w:rPr>
                                  <w:t>-law.ro</w:t>
                                </w:r>
                                <w:r>
                                  <w:rPr>
                                    <w:color w:val="auto"/>
                                    <w:lang w:val="ro-RO"/>
                                  </w:rPr>
                                  <w:t xml:space="preserve"> </w:t>
                                </w:r>
                              </w:p>
                            </w:tc>
                          </w:tr>
                        </w:tbl>
                        <w:p w14:paraId="3094B1CE" w14:textId="77777777" w:rsidR="00A05E84" w:rsidRDefault="00A05E84" w:rsidP="00A05E84">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0" o:spid="_x0000_s1026" type="#_x0000_t202" style="position:absolute;margin-left:284.3pt;margin-top:29.7pt;width:312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O3sgIAAK8FAAAOAAAAZHJzL2Uyb0RvYy54bWysVNtunDAQfa/Uf7D8ToAtewGFjRJYqkrp&#10;RUr7AV5sFqtgU9u7kFZ96q/1wzo2y2aTqFLVlgdrsMdn5swcz+XV0DbowJTmUqQ4vAgwYqKUlItd&#10;ij99LLwVRtoQQUkjBUvxPdP4av3yxWXfJWwma9lQphCACJ30XYprY7rE93VZs5boC9kxAYeVVC0x&#10;8Kt2PlWkB/S28WdBsPB7qWinZMm0ht18PMRrh19VrDTvq0ozg5oUQ27GrcqtW7v660uS7BTpal4e&#10;0yB/kUVLuICgJ6icGIL2ij+DanmppJaVuShl68uq4iVzHIBNGDxhc1eTjjkuUBzdncqk/x9s+e7w&#10;QSFOoXdQHkFa6FFGoGA/fyDDBoNgG2rUdzoB17sOnM1wIwfwd3x1dyvLzxoJmdVE7Ni1UrKvGaGQ&#10;Y2hv+mdXRxxtQbb9W0khFtkb6YCGSrW2gFASBOiQzP2pPzaPEjZfxYtZFMBRCWfzZTgH24YgyXS7&#10;U9q8ZrJF1kixgv47dHK41WZ0nVxsMCEL3jSwT5JGPNoAzHEHYsNVe2azcC39FgfxZrVZRV40W2y8&#10;KMhz77rIIm9RhMt5/irPsjz8buOGUVJzSpmwYSZ5hdGfte8o9FEYJ4Fp2XBq4WxKWu22WaPQgYC8&#10;C/cdC3Lm5j9Ow9ULuDyhFEJlb2axVyxWSy8qorkXL4OVF4TxTbwIojjKi8eUbrlg/04J9SmO57P5&#10;KKbfcgvc95wbSVpuYIA0vE3x6uREEivBjaCutYbwZrTPSmHTfygFtHtqtBOs1eioVjNsB0CxKt5K&#10;eg/SVRKUBSKEqQdGLdVXjHqYICnWX/ZEMYyaNwLkDy5mMtRkbCeDiBKupthgNJqZGcfSvlN8VwPy&#10;+MCEvIYnUnGn3ocsjg8LpoIjcZxgduyc/zuvhzm7/gUAAP//AwBQSwMEFAAGAAgAAAAhAL670tTe&#10;AAAACwEAAA8AAABkcnMvZG93bnJldi54bWxMj0FPwzAMhe9I/IfISNxYumlUa2k6TQhOSIiuHDim&#10;jddGa5zSZFv593gnuD0/Pz1/LrazG8QZp2A9KVguEhBIrTeWOgWf9evDBkSImowePKGCHwywLW9v&#10;Cp0bf6EKz/vYCS6hkGsFfYxjLmVoe3Q6LPyIxLuDn5yOPE6dNJO+cLkb5CpJUum0Jb7Q6xGfe2yP&#10;+5NTsPui6sV+vzcf1aGydZ0l9JYelbq/m3dPICLO8S8MV3xGh5KZGn8iE8Sg4DHdpBxlka1BXAPL&#10;bMVOw2rNliwL+f+H8hcAAP//AwBQSwECLQAUAAYACAAAACEAtoM4kv4AAADhAQAAEwAAAAAAAAAA&#10;AAAAAAAAAAAAW0NvbnRlbnRfVHlwZXNdLnhtbFBLAQItABQABgAIAAAAIQA4/SH/1gAAAJQBAAAL&#10;AAAAAAAAAAAAAAAAAC8BAABfcmVscy8ucmVsc1BLAQItABQABgAIAAAAIQCJiFO3sgIAAK8FAAAO&#10;AAAAAAAAAAAAAAAAAC4CAABkcnMvZTJvRG9jLnhtbFBLAQItABQABgAIAAAAIQC+u9LU3gAAAAsB&#10;AAAPAAAAAAAAAAAAAAAAAAwFAABkcnMvZG93bnJldi54bWxQSwUGAAAAAAQABADzAAAAFwYAAAAA&#10;" filled="f" stroked="f">
              <v:textbox inset="0,0,0,0">
                <w:txbxContent>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A05E84" w14:paraId="49DFFA5E" w14:textId="77777777">
                      <w:tc>
                        <w:tcPr>
                          <w:tcW w:w="3119" w:type="dxa"/>
                          <w:hideMark/>
                        </w:tcPr>
                        <w:p w14:paraId="5AB2ABCA" w14:textId="77777777" w:rsidR="00A05E84" w:rsidRDefault="00A05E84">
                          <w:pPr>
                            <w:pStyle w:val="EYBusinessaddress"/>
                            <w:rPr>
                              <w:color w:val="auto"/>
                              <w:lang w:val="ro-RO"/>
                            </w:rPr>
                          </w:pPr>
                          <w:r>
                            <w:rPr>
                              <w:color w:val="auto"/>
                              <w:lang w:val="ro-RO"/>
                            </w:rPr>
                            <w:t>Radu si Asociații SPRL</w:t>
                          </w:r>
                        </w:p>
                        <w:p w14:paraId="137541E5" w14:textId="77777777" w:rsidR="00A05E84" w:rsidRDefault="00A05E84">
                          <w:pPr>
                            <w:pStyle w:val="EYBusinessaddress"/>
                            <w:rPr>
                              <w:color w:val="auto"/>
                              <w:lang w:val="ro-RO"/>
                            </w:rPr>
                          </w:pPr>
                          <w:proofErr w:type="spellStart"/>
                          <w:r>
                            <w:rPr>
                              <w:color w:val="auto"/>
                              <w:lang w:val="ro-RO"/>
                            </w:rPr>
                            <w:t>Bucharest</w:t>
                          </w:r>
                          <w:proofErr w:type="spellEnd"/>
                          <w:r>
                            <w:rPr>
                              <w:color w:val="auto"/>
                              <w:lang w:val="ro-RO"/>
                            </w:rPr>
                            <w:t xml:space="preserve"> </w:t>
                          </w:r>
                          <w:proofErr w:type="spellStart"/>
                          <w:r>
                            <w:rPr>
                              <w:color w:val="auto"/>
                              <w:lang w:val="ro-RO"/>
                            </w:rPr>
                            <w:t>Tower</w:t>
                          </w:r>
                          <w:proofErr w:type="spellEnd"/>
                          <w:r>
                            <w:rPr>
                              <w:color w:val="auto"/>
                              <w:lang w:val="ro-RO"/>
                            </w:rPr>
                            <w:t xml:space="preserve"> Center Building, 22</w:t>
                          </w:r>
                          <w:r>
                            <w:rPr>
                              <w:color w:val="auto"/>
                              <w:vertAlign w:val="superscript"/>
                              <w:lang w:val="ro-RO"/>
                            </w:rPr>
                            <w:t>nd</w:t>
                          </w:r>
                          <w:r>
                            <w:rPr>
                              <w:color w:val="auto"/>
                              <w:lang w:val="ro-RO"/>
                            </w:rPr>
                            <w:t xml:space="preserve"> </w:t>
                          </w:r>
                          <w:proofErr w:type="spellStart"/>
                          <w:r>
                            <w:rPr>
                              <w:color w:val="auto"/>
                              <w:lang w:val="ro-RO"/>
                            </w:rPr>
                            <w:t>Floor</w:t>
                          </w:r>
                          <w:proofErr w:type="spellEnd"/>
                        </w:p>
                        <w:p w14:paraId="146DBC0B" w14:textId="77777777" w:rsidR="00A05E84" w:rsidRDefault="00A05E84">
                          <w:pPr>
                            <w:pStyle w:val="EYBusinessaddress"/>
                            <w:rPr>
                              <w:color w:val="auto"/>
                              <w:lang w:val="ro-RO"/>
                            </w:rPr>
                          </w:pPr>
                          <w:r>
                            <w:rPr>
                              <w:color w:val="auto"/>
                              <w:lang w:val="ro-RO"/>
                            </w:rPr>
                            <w:t xml:space="preserve">15-17 Ion Mihalache </w:t>
                          </w:r>
                          <w:proofErr w:type="spellStart"/>
                          <w:r>
                            <w:rPr>
                              <w:color w:val="auto"/>
                              <w:lang w:val="ro-RO"/>
                            </w:rPr>
                            <w:t>Blvd</w:t>
                          </w:r>
                          <w:proofErr w:type="spellEnd"/>
                          <w:r>
                            <w:rPr>
                              <w:color w:val="auto"/>
                              <w:lang w:val="ro-RO"/>
                            </w:rPr>
                            <w:t>., Sector 1</w:t>
                          </w:r>
                        </w:p>
                        <w:p w14:paraId="50D3C145" w14:textId="77777777" w:rsidR="00A05E84" w:rsidRDefault="00A05E84">
                          <w:pPr>
                            <w:pStyle w:val="EYBusinessaddress"/>
                            <w:rPr>
                              <w:color w:val="auto"/>
                              <w:lang w:val="ro-RO"/>
                            </w:rPr>
                          </w:pPr>
                          <w:r>
                            <w:rPr>
                              <w:color w:val="auto"/>
                              <w:lang w:val="ro-RO"/>
                            </w:rPr>
                            <w:t xml:space="preserve">011171 </w:t>
                          </w:r>
                          <w:proofErr w:type="spellStart"/>
                          <w:r>
                            <w:rPr>
                              <w:color w:val="auto"/>
                              <w:lang w:val="ro-RO"/>
                            </w:rPr>
                            <w:t>Bucharest</w:t>
                          </w:r>
                          <w:proofErr w:type="spellEnd"/>
                          <w:r>
                            <w:rPr>
                              <w:color w:val="auto"/>
                              <w:lang w:val="ro-RO"/>
                            </w:rPr>
                            <w:t>, Romania</w:t>
                          </w:r>
                        </w:p>
                      </w:tc>
                      <w:tc>
                        <w:tcPr>
                          <w:tcW w:w="142" w:type="dxa"/>
                        </w:tcPr>
                        <w:p w14:paraId="66AA54A6" w14:textId="77777777" w:rsidR="00A05E84" w:rsidRDefault="00A05E84">
                          <w:pPr>
                            <w:pStyle w:val="EYBusinessaddress"/>
                            <w:rPr>
                              <w:color w:val="auto"/>
                              <w:lang w:val="ro-RO"/>
                            </w:rPr>
                          </w:pPr>
                        </w:p>
                      </w:tc>
                      <w:tc>
                        <w:tcPr>
                          <w:tcW w:w="2835" w:type="dxa"/>
                          <w:hideMark/>
                        </w:tcPr>
                        <w:p w14:paraId="2F7E4351" w14:textId="77777777" w:rsidR="00A05E84" w:rsidRDefault="00A05E84">
                          <w:pPr>
                            <w:pStyle w:val="EYBusinessaddress"/>
                            <w:rPr>
                              <w:color w:val="auto"/>
                              <w:lang w:val="ro-RO"/>
                            </w:rPr>
                          </w:pPr>
                          <w:r>
                            <w:rPr>
                              <w:color w:val="auto"/>
                              <w:lang w:val="ro-RO"/>
                            </w:rPr>
                            <w:t>Tel:  +40 21 402 4000</w:t>
                          </w:r>
                        </w:p>
                        <w:p w14:paraId="19E93A31" w14:textId="77777777" w:rsidR="00A05E84" w:rsidRDefault="00A05E84">
                          <w:pPr>
                            <w:pStyle w:val="EYBusinessaddress"/>
                            <w:rPr>
                              <w:color w:val="auto"/>
                              <w:lang w:val="ro-RO"/>
                            </w:rPr>
                          </w:pPr>
                          <w:r>
                            <w:rPr>
                              <w:color w:val="auto"/>
                              <w:lang w:val="ro-RO"/>
                            </w:rPr>
                            <w:t>Fax: +40 21 310 6987</w:t>
                          </w:r>
                        </w:p>
                        <w:p w14:paraId="236A3362" w14:textId="77777777" w:rsidR="00A05E84" w:rsidRDefault="00A05E84">
                          <w:pPr>
                            <w:pStyle w:val="EYBusinessaddress"/>
                            <w:rPr>
                              <w:color w:val="auto"/>
                              <w:lang w:val="ro-RO"/>
                            </w:rPr>
                          </w:pPr>
                          <w:r>
                            <w:rPr>
                              <w:color w:val="auto"/>
                              <w:lang w:val="ro-RO"/>
                            </w:rPr>
                            <w:t>E-mail: office@ra-law.ro</w:t>
                          </w:r>
                        </w:p>
                        <w:p w14:paraId="3C41F850" w14:textId="77777777" w:rsidR="00A05E84" w:rsidRDefault="00A05E84">
                          <w:pPr>
                            <w:pStyle w:val="EYBusinessaddress"/>
                            <w:rPr>
                              <w:color w:val="auto"/>
                              <w:lang w:val="ro-RO"/>
                            </w:rPr>
                          </w:pPr>
                          <w:r>
                            <w:rPr>
                              <w:color w:val="auto"/>
                              <w:lang w:val="ro-RO"/>
                            </w:rPr>
                            <w:t>www.</w:t>
                          </w:r>
                          <w:hyperlink r:id="rId2" w:history="1">
                            <w:r>
                              <w:rPr>
                                <w:rStyle w:val="Hyperlink"/>
                                <w:lang w:val="ro-RO"/>
                              </w:rPr>
                              <w:t>ra</w:t>
                            </w:r>
                          </w:hyperlink>
                          <w:r>
                            <w:rPr>
                              <w:rStyle w:val="Hyperlink"/>
                              <w:lang w:val="ro-RO"/>
                            </w:rPr>
                            <w:t>-law.ro</w:t>
                          </w:r>
                          <w:r>
                            <w:rPr>
                              <w:color w:val="auto"/>
                              <w:lang w:val="ro-RO"/>
                            </w:rPr>
                            <w:t xml:space="preserve"> </w:t>
                          </w:r>
                        </w:p>
                      </w:tc>
                    </w:tr>
                  </w:tbl>
                  <w:p w14:paraId="3094B1CE" w14:textId="77777777" w:rsidR="00A05E84" w:rsidRDefault="00A05E84" w:rsidP="00A05E84">
                    <w:pPr>
                      <w:pStyle w:val="EYBusinessaddress"/>
                    </w:pPr>
                  </w:p>
                </w:txbxContent>
              </v:textbox>
              <w10:wrap type="square" anchorx="page" anchory="page"/>
              <w10:anchorlock/>
            </v:shape>
          </w:pict>
        </mc:Fallback>
      </mc:AlternateContent>
    </w:r>
    <w:r>
      <w:rPr>
        <w:noProof/>
        <w:lang w:val="ro-RO" w:eastAsia="ro-RO"/>
      </w:rPr>
      <w:drawing>
        <wp:inline distT="0" distB="0" distL="0" distR="0" wp14:anchorId="79D5F1D3" wp14:editId="1FAB3500">
          <wp:extent cx="2106295" cy="667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06295"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769"/>
    <w:multiLevelType w:val="hybridMultilevel"/>
    <w:tmpl w:val="FCD6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B733C"/>
    <w:multiLevelType w:val="multilevel"/>
    <w:tmpl w:val="6330AD0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B333432"/>
    <w:multiLevelType w:val="hybridMultilevel"/>
    <w:tmpl w:val="33B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63"/>
    <w:rsid w:val="00004B53"/>
    <w:rsid w:val="00005D04"/>
    <w:rsid w:val="00016E00"/>
    <w:rsid w:val="00017EB9"/>
    <w:rsid w:val="00034E95"/>
    <w:rsid w:val="00041FE3"/>
    <w:rsid w:val="00042216"/>
    <w:rsid w:val="000427B0"/>
    <w:rsid w:val="00043B6C"/>
    <w:rsid w:val="000458A3"/>
    <w:rsid w:val="00046BEA"/>
    <w:rsid w:val="000612D8"/>
    <w:rsid w:val="00065741"/>
    <w:rsid w:val="00066F6E"/>
    <w:rsid w:val="000702A4"/>
    <w:rsid w:val="00072CC6"/>
    <w:rsid w:val="00074FBA"/>
    <w:rsid w:val="000758EF"/>
    <w:rsid w:val="00084C4F"/>
    <w:rsid w:val="00091DDC"/>
    <w:rsid w:val="000A371B"/>
    <w:rsid w:val="000A637F"/>
    <w:rsid w:val="000B0771"/>
    <w:rsid w:val="000B08D4"/>
    <w:rsid w:val="000C246A"/>
    <w:rsid w:val="000E3D75"/>
    <w:rsid w:val="000F4B68"/>
    <w:rsid w:val="000F52A7"/>
    <w:rsid w:val="000F70E1"/>
    <w:rsid w:val="00104D97"/>
    <w:rsid w:val="00143F74"/>
    <w:rsid w:val="00150188"/>
    <w:rsid w:val="00154702"/>
    <w:rsid w:val="0016001F"/>
    <w:rsid w:val="00163C9C"/>
    <w:rsid w:val="0016523E"/>
    <w:rsid w:val="00165339"/>
    <w:rsid w:val="00173887"/>
    <w:rsid w:val="00182956"/>
    <w:rsid w:val="00193C68"/>
    <w:rsid w:val="001A4449"/>
    <w:rsid w:val="001B3FE3"/>
    <w:rsid w:val="001C0D0E"/>
    <w:rsid w:val="001C78E2"/>
    <w:rsid w:val="001C7AB4"/>
    <w:rsid w:val="001C7E4D"/>
    <w:rsid w:val="001E4F28"/>
    <w:rsid w:val="001E5A88"/>
    <w:rsid w:val="001E75C9"/>
    <w:rsid w:val="00200BCA"/>
    <w:rsid w:val="002061C9"/>
    <w:rsid w:val="002107BF"/>
    <w:rsid w:val="0021147D"/>
    <w:rsid w:val="00213071"/>
    <w:rsid w:val="002220ED"/>
    <w:rsid w:val="00222F69"/>
    <w:rsid w:val="0022392B"/>
    <w:rsid w:val="00224B1A"/>
    <w:rsid w:val="0022592F"/>
    <w:rsid w:val="002346E0"/>
    <w:rsid w:val="002445E7"/>
    <w:rsid w:val="00252973"/>
    <w:rsid w:val="00256C24"/>
    <w:rsid w:val="002631E1"/>
    <w:rsid w:val="00271686"/>
    <w:rsid w:val="00272E0C"/>
    <w:rsid w:val="0027535B"/>
    <w:rsid w:val="00297687"/>
    <w:rsid w:val="002A041E"/>
    <w:rsid w:val="002A2551"/>
    <w:rsid w:val="002A45CE"/>
    <w:rsid w:val="002A5155"/>
    <w:rsid w:val="002B7169"/>
    <w:rsid w:val="002C0E38"/>
    <w:rsid w:val="002C4731"/>
    <w:rsid w:val="002D5DF8"/>
    <w:rsid w:val="002D7D84"/>
    <w:rsid w:val="002D7F22"/>
    <w:rsid w:val="002F0AEA"/>
    <w:rsid w:val="002F281F"/>
    <w:rsid w:val="002F63FD"/>
    <w:rsid w:val="002F7123"/>
    <w:rsid w:val="003170E1"/>
    <w:rsid w:val="00321C4B"/>
    <w:rsid w:val="00322C5F"/>
    <w:rsid w:val="0033220D"/>
    <w:rsid w:val="003442DA"/>
    <w:rsid w:val="0034591B"/>
    <w:rsid w:val="00351C2B"/>
    <w:rsid w:val="00364C0A"/>
    <w:rsid w:val="00374BE6"/>
    <w:rsid w:val="00391EEA"/>
    <w:rsid w:val="00395058"/>
    <w:rsid w:val="00397B40"/>
    <w:rsid w:val="003A64D0"/>
    <w:rsid w:val="003B553C"/>
    <w:rsid w:val="003C67A2"/>
    <w:rsid w:val="003D0AA6"/>
    <w:rsid w:val="003D0CF5"/>
    <w:rsid w:val="003F022C"/>
    <w:rsid w:val="003F17E6"/>
    <w:rsid w:val="003F3253"/>
    <w:rsid w:val="00401EED"/>
    <w:rsid w:val="004020C2"/>
    <w:rsid w:val="00402E70"/>
    <w:rsid w:val="004039DF"/>
    <w:rsid w:val="004055AB"/>
    <w:rsid w:val="00413513"/>
    <w:rsid w:val="00417A10"/>
    <w:rsid w:val="0042107F"/>
    <w:rsid w:val="0042336A"/>
    <w:rsid w:val="004453DA"/>
    <w:rsid w:val="004529B0"/>
    <w:rsid w:val="0046184E"/>
    <w:rsid w:val="004623B5"/>
    <w:rsid w:val="00466177"/>
    <w:rsid w:val="004714C5"/>
    <w:rsid w:val="00472F50"/>
    <w:rsid w:val="00476548"/>
    <w:rsid w:val="00487985"/>
    <w:rsid w:val="0049202F"/>
    <w:rsid w:val="0049520D"/>
    <w:rsid w:val="004955C7"/>
    <w:rsid w:val="004977B4"/>
    <w:rsid w:val="004A2840"/>
    <w:rsid w:val="004B1D55"/>
    <w:rsid w:val="004C01E2"/>
    <w:rsid w:val="004C0AE9"/>
    <w:rsid w:val="004C643D"/>
    <w:rsid w:val="004D130F"/>
    <w:rsid w:val="004D3792"/>
    <w:rsid w:val="004D5CA7"/>
    <w:rsid w:val="004E08F8"/>
    <w:rsid w:val="004E306F"/>
    <w:rsid w:val="004F63B8"/>
    <w:rsid w:val="00505A66"/>
    <w:rsid w:val="0051314E"/>
    <w:rsid w:val="0051591D"/>
    <w:rsid w:val="005211B5"/>
    <w:rsid w:val="00526C81"/>
    <w:rsid w:val="00530C4C"/>
    <w:rsid w:val="005408B9"/>
    <w:rsid w:val="00547F4D"/>
    <w:rsid w:val="00557ECF"/>
    <w:rsid w:val="00560E2D"/>
    <w:rsid w:val="005763AD"/>
    <w:rsid w:val="005A77E9"/>
    <w:rsid w:val="005C718D"/>
    <w:rsid w:val="005C7882"/>
    <w:rsid w:val="005D58CD"/>
    <w:rsid w:val="005D5A75"/>
    <w:rsid w:val="005E0901"/>
    <w:rsid w:val="005E2B7F"/>
    <w:rsid w:val="005E6D8C"/>
    <w:rsid w:val="0060090D"/>
    <w:rsid w:val="00602485"/>
    <w:rsid w:val="00612DC0"/>
    <w:rsid w:val="00616C45"/>
    <w:rsid w:val="00621448"/>
    <w:rsid w:val="00623BC4"/>
    <w:rsid w:val="006305FC"/>
    <w:rsid w:val="00635010"/>
    <w:rsid w:val="00636845"/>
    <w:rsid w:val="0063763D"/>
    <w:rsid w:val="00637BFF"/>
    <w:rsid w:val="0065024D"/>
    <w:rsid w:val="00660611"/>
    <w:rsid w:val="00664F95"/>
    <w:rsid w:val="00680837"/>
    <w:rsid w:val="0068715F"/>
    <w:rsid w:val="00687B3E"/>
    <w:rsid w:val="00697080"/>
    <w:rsid w:val="00697B81"/>
    <w:rsid w:val="006A5298"/>
    <w:rsid w:val="006B305D"/>
    <w:rsid w:val="006B533F"/>
    <w:rsid w:val="006B54C1"/>
    <w:rsid w:val="006B7B92"/>
    <w:rsid w:val="006C252E"/>
    <w:rsid w:val="006C5AC6"/>
    <w:rsid w:val="006D57CB"/>
    <w:rsid w:val="006F1C81"/>
    <w:rsid w:val="006F5847"/>
    <w:rsid w:val="00705D18"/>
    <w:rsid w:val="00713351"/>
    <w:rsid w:val="00715B27"/>
    <w:rsid w:val="00720814"/>
    <w:rsid w:val="007355EE"/>
    <w:rsid w:val="00740AB7"/>
    <w:rsid w:val="00743C1B"/>
    <w:rsid w:val="00746966"/>
    <w:rsid w:val="00754078"/>
    <w:rsid w:val="00755498"/>
    <w:rsid w:val="007556B1"/>
    <w:rsid w:val="00766401"/>
    <w:rsid w:val="00767116"/>
    <w:rsid w:val="0077196C"/>
    <w:rsid w:val="0077690C"/>
    <w:rsid w:val="00780F36"/>
    <w:rsid w:val="00790610"/>
    <w:rsid w:val="00793C9F"/>
    <w:rsid w:val="00796921"/>
    <w:rsid w:val="007A178B"/>
    <w:rsid w:val="007A646B"/>
    <w:rsid w:val="007B0B12"/>
    <w:rsid w:val="007B225F"/>
    <w:rsid w:val="007D2B9A"/>
    <w:rsid w:val="007D50BE"/>
    <w:rsid w:val="007E1C86"/>
    <w:rsid w:val="007E6025"/>
    <w:rsid w:val="007F1AC7"/>
    <w:rsid w:val="007F619E"/>
    <w:rsid w:val="00804E98"/>
    <w:rsid w:val="00814CE3"/>
    <w:rsid w:val="00816D4B"/>
    <w:rsid w:val="00817CA7"/>
    <w:rsid w:val="0082040C"/>
    <w:rsid w:val="00820664"/>
    <w:rsid w:val="00830BAD"/>
    <w:rsid w:val="00836FB0"/>
    <w:rsid w:val="00841712"/>
    <w:rsid w:val="008429B9"/>
    <w:rsid w:val="008451E5"/>
    <w:rsid w:val="00845ADC"/>
    <w:rsid w:val="008661BB"/>
    <w:rsid w:val="0087306F"/>
    <w:rsid w:val="00875463"/>
    <w:rsid w:val="00876DA0"/>
    <w:rsid w:val="00882CAA"/>
    <w:rsid w:val="008A1715"/>
    <w:rsid w:val="008B41A0"/>
    <w:rsid w:val="008C212C"/>
    <w:rsid w:val="008C4F5F"/>
    <w:rsid w:val="008C5BCD"/>
    <w:rsid w:val="008D002B"/>
    <w:rsid w:val="008D3427"/>
    <w:rsid w:val="008D4E89"/>
    <w:rsid w:val="008E3BD8"/>
    <w:rsid w:val="008F3707"/>
    <w:rsid w:val="0090100B"/>
    <w:rsid w:val="00903393"/>
    <w:rsid w:val="009056C6"/>
    <w:rsid w:val="00906FB8"/>
    <w:rsid w:val="00914768"/>
    <w:rsid w:val="00933540"/>
    <w:rsid w:val="00935CEF"/>
    <w:rsid w:val="0094734A"/>
    <w:rsid w:val="00947970"/>
    <w:rsid w:val="00953E66"/>
    <w:rsid w:val="00976197"/>
    <w:rsid w:val="0097741E"/>
    <w:rsid w:val="009810D9"/>
    <w:rsid w:val="00986B44"/>
    <w:rsid w:val="009905A7"/>
    <w:rsid w:val="00993C5E"/>
    <w:rsid w:val="009B5AEE"/>
    <w:rsid w:val="009B794C"/>
    <w:rsid w:val="009C7FB6"/>
    <w:rsid w:val="009D2BC7"/>
    <w:rsid w:val="009D5A78"/>
    <w:rsid w:val="009D5FD8"/>
    <w:rsid w:val="009D6EAC"/>
    <w:rsid w:val="009E19A2"/>
    <w:rsid w:val="009E4D92"/>
    <w:rsid w:val="009F5F92"/>
    <w:rsid w:val="009F63EA"/>
    <w:rsid w:val="00A01FFC"/>
    <w:rsid w:val="00A04B20"/>
    <w:rsid w:val="00A05E84"/>
    <w:rsid w:val="00A14287"/>
    <w:rsid w:val="00A16952"/>
    <w:rsid w:val="00A2202D"/>
    <w:rsid w:val="00A228CF"/>
    <w:rsid w:val="00A24928"/>
    <w:rsid w:val="00A3396F"/>
    <w:rsid w:val="00A36CC0"/>
    <w:rsid w:val="00A378FE"/>
    <w:rsid w:val="00A43178"/>
    <w:rsid w:val="00A55A82"/>
    <w:rsid w:val="00A55D30"/>
    <w:rsid w:val="00A6120E"/>
    <w:rsid w:val="00A72EB7"/>
    <w:rsid w:val="00A730F0"/>
    <w:rsid w:val="00A755ED"/>
    <w:rsid w:val="00A7702D"/>
    <w:rsid w:val="00A903D4"/>
    <w:rsid w:val="00A942B3"/>
    <w:rsid w:val="00AA78DF"/>
    <w:rsid w:val="00AB7556"/>
    <w:rsid w:val="00AB7C49"/>
    <w:rsid w:val="00AC29EA"/>
    <w:rsid w:val="00AC332C"/>
    <w:rsid w:val="00AC37E0"/>
    <w:rsid w:val="00AC3B88"/>
    <w:rsid w:val="00AD7CDA"/>
    <w:rsid w:val="00AE197F"/>
    <w:rsid w:val="00B03F38"/>
    <w:rsid w:val="00B111F8"/>
    <w:rsid w:val="00B11447"/>
    <w:rsid w:val="00B1508C"/>
    <w:rsid w:val="00B17018"/>
    <w:rsid w:val="00B24722"/>
    <w:rsid w:val="00B41FA8"/>
    <w:rsid w:val="00B65289"/>
    <w:rsid w:val="00B66D8A"/>
    <w:rsid w:val="00B81AC2"/>
    <w:rsid w:val="00B83BC0"/>
    <w:rsid w:val="00BA43B5"/>
    <w:rsid w:val="00BA730F"/>
    <w:rsid w:val="00BB4C50"/>
    <w:rsid w:val="00BC422A"/>
    <w:rsid w:val="00BD51DE"/>
    <w:rsid w:val="00BD52DE"/>
    <w:rsid w:val="00BE3087"/>
    <w:rsid w:val="00BF1A61"/>
    <w:rsid w:val="00BF2C74"/>
    <w:rsid w:val="00BF3F78"/>
    <w:rsid w:val="00C11508"/>
    <w:rsid w:val="00C14DF8"/>
    <w:rsid w:val="00C210A6"/>
    <w:rsid w:val="00C27219"/>
    <w:rsid w:val="00C33E4D"/>
    <w:rsid w:val="00C62096"/>
    <w:rsid w:val="00C72836"/>
    <w:rsid w:val="00C72F58"/>
    <w:rsid w:val="00C74763"/>
    <w:rsid w:val="00C75307"/>
    <w:rsid w:val="00C77CB8"/>
    <w:rsid w:val="00C857D5"/>
    <w:rsid w:val="00C95E8F"/>
    <w:rsid w:val="00CB2604"/>
    <w:rsid w:val="00CB530C"/>
    <w:rsid w:val="00CB5C6A"/>
    <w:rsid w:val="00CD172D"/>
    <w:rsid w:val="00CD2851"/>
    <w:rsid w:val="00CD4414"/>
    <w:rsid w:val="00CE3363"/>
    <w:rsid w:val="00CE6DFF"/>
    <w:rsid w:val="00CF008D"/>
    <w:rsid w:val="00CF2B04"/>
    <w:rsid w:val="00CF349F"/>
    <w:rsid w:val="00D01468"/>
    <w:rsid w:val="00D01B14"/>
    <w:rsid w:val="00D10883"/>
    <w:rsid w:val="00D16199"/>
    <w:rsid w:val="00D205C3"/>
    <w:rsid w:val="00D37242"/>
    <w:rsid w:val="00D4799A"/>
    <w:rsid w:val="00D50045"/>
    <w:rsid w:val="00D52C96"/>
    <w:rsid w:val="00D57A17"/>
    <w:rsid w:val="00D57AEA"/>
    <w:rsid w:val="00D61C50"/>
    <w:rsid w:val="00D73B1B"/>
    <w:rsid w:val="00D75012"/>
    <w:rsid w:val="00D8314B"/>
    <w:rsid w:val="00D84CFD"/>
    <w:rsid w:val="00D92B68"/>
    <w:rsid w:val="00DA0F1E"/>
    <w:rsid w:val="00DA523E"/>
    <w:rsid w:val="00DB406D"/>
    <w:rsid w:val="00DB5E00"/>
    <w:rsid w:val="00DB72DD"/>
    <w:rsid w:val="00DC256B"/>
    <w:rsid w:val="00DC2A7A"/>
    <w:rsid w:val="00DE0FB1"/>
    <w:rsid w:val="00DE1598"/>
    <w:rsid w:val="00DE4DC1"/>
    <w:rsid w:val="00DE6C30"/>
    <w:rsid w:val="00E056E6"/>
    <w:rsid w:val="00E07619"/>
    <w:rsid w:val="00E113F7"/>
    <w:rsid w:val="00E1459D"/>
    <w:rsid w:val="00E23F34"/>
    <w:rsid w:val="00E244D9"/>
    <w:rsid w:val="00E342EE"/>
    <w:rsid w:val="00E54348"/>
    <w:rsid w:val="00E57C3E"/>
    <w:rsid w:val="00E659D7"/>
    <w:rsid w:val="00E65E5F"/>
    <w:rsid w:val="00E734E0"/>
    <w:rsid w:val="00E737FB"/>
    <w:rsid w:val="00E76CDD"/>
    <w:rsid w:val="00E83F10"/>
    <w:rsid w:val="00E8489B"/>
    <w:rsid w:val="00E972B8"/>
    <w:rsid w:val="00EA49CA"/>
    <w:rsid w:val="00ED25A1"/>
    <w:rsid w:val="00ED6630"/>
    <w:rsid w:val="00ED7973"/>
    <w:rsid w:val="00F06F82"/>
    <w:rsid w:val="00F1358E"/>
    <w:rsid w:val="00F176D4"/>
    <w:rsid w:val="00F30C62"/>
    <w:rsid w:val="00F34D21"/>
    <w:rsid w:val="00F46B99"/>
    <w:rsid w:val="00F654CD"/>
    <w:rsid w:val="00F67AD7"/>
    <w:rsid w:val="00F7200A"/>
    <w:rsid w:val="00F82C81"/>
    <w:rsid w:val="00F8319E"/>
    <w:rsid w:val="00F85C78"/>
    <w:rsid w:val="00F86131"/>
    <w:rsid w:val="00F94593"/>
    <w:rsid w:val="00F950DC"/>
    <w:rsid w:val="00FA3713"/>
    <w:rsid w:val="00FA402C"/>
    <w:rsid w:val="00FA7B14"/>
    <w:rsid w:val="00FB653B"/>
    <w:rsid w:val="00FC6C46"/>
    <w:rsid w:val="00FD17AB"/>
    <w:rsid w:val="00FD375F"/>
    <w:rsid w:val="00FD5402"/>
    <w:rsid w:val="00FE2B24"/>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5E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05E84"/>
  </w:style>
  <w:style w:type="paragraph" w:styleId="Subsol">
    <w:name w:val="footer"/>
    <w:basedOn w:val="Normal"/>
    <w:link w:val="SubsolCaracter"/>
    <w:uiPriority w:val="99"/>
    <w:unhideWhenUsed/>
    <w:rsid w:val="00A05E8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5E84"/>
  </w:style>
  <w:style w:type="table" w:styleId="GrilTabel">
    <w:name w:val="Table Grid"/>
    <w:aliases w:val="CV table"/>
    <w:basedOn w:val="TabelNormal"/>
    <w:rsid w:val="00A05E84"/>
    <w:pPr>
      <w:spacing w:after="0" w:line="240" w:lineRule="auto"/>
    </w:pPr>
    <w:rPr>
      <w:rFonts w:ascii="Times New Roman" w:eastAsia="Times New Roman" w:hAnsi="Times New Roman"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rsid w:val="00A05E84"/>
    <w:rPr>
      <w:color w:val="0000FF"/>
      <w:u w:val="single"/>
    </w:rPr>
  </w:style>
  <w:style w:type="paragraph" w:customStyle="1" w:styleId="EYBusinessaddress">
    <w:name w:val="EY Business address"/>
    <w:basedOn w:val="Normal"/>
    <w:uiPriority w:val="99"/>
    <w:semiHidden/>
    <w:rsid w:val="00A05E84"/>
    <w:pPr>
      <w:suppressAutoHyphens/>
      <w:spacing w:after="0" w:line="170" w:lineRule="atLeast"/>
    </w:pPr>
    <w:rPr>
      <w:rFonts w:ascii="Arial" w:eastAsia="Times New Roman" w:hAnsi="Arial" w:cs="Times New Roman"/>
      <w:color w:val="666666"/>
      <w:kern w:val="12"/>
      <w:sz w:val="15"/>
      <w:szCs w:val="24"/>
      <w:lang w:val="en-GB"/>
    </w:rPr>
  </w:style>
  <w:style w:type="character" w:customStyle="1" w:styleId="EYBodytextwithparaspaceChar">
    <w:name w:val="EY Body text (with para space) Char"/>
    <w:basedOn w:val="Fontdeparagrafimplicit"/>
    <w:link w:val="EYBodytextwithparaspace"/>
    <w:rsid w:val="003D0CF5"/>
    <w:rPr>
      <w:rFonts w:ascii="Arial" w:hAnsi="Arial"/>
      <w:kern w:val="12"/>
      <w:szCs w:val="24"/>
    </w:rPr>
  </w:style>
  <w:style w:type="paragraph" w:customStyle="1" w:styleId="EYBodytextwithparaspace">
    <w:name w:val="EY Body text (with para space)"/>
    <w:basedOn w:val="Normal"/>
    <w:link w:val="EYBodytextwithparaspaceChar"/>
    <w:rsid w:val="003D0CF5"/>
    <w:pPr>
      <w:tabs>
        <w:tab w:val="left" w:pos="907"/>
      </w:tabs>
      <w:suppressAutoHyphens/>
      <w:spacing w:after="400" w:line="360" w:lineRule="auto"/>
    </w:pPr>
    <w:rPr>
      <w:rFonts w:ascii="Arial" w:hAnsi="Arial"/>
      <w:kern w:val="12"/>
      <w:szCs w:val="24"/>
    </w:rPr>
  </w:style>
  <w:style w:type="paragraph" w:styleId="TextnBalon">
    <w:name w:val="Balloon Text"/>
    <w:basedOn w:val="Normal"/>
    <w:link w:val="TextnBalonCaracter"/>
    <w:uiPriority w:val="99"/>
    <w:semiHidden/>
    <w:unhideWhenUsed/>
    <w:rsid w:val="004210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107F"/>
    <w:rPr>
      <w:rFonts w:ascii="Segoe UI" w:hAnsi="Segoe UI" w:cs="Segoe UI"/>
      <w:sz w:val="18"/>
      <w:szCs w:val="18"/>
    </w:rPr>
  </w:style>
  <w:style w:type="character" w:customStyle="1" w:styleId="MeniuneNerezolvat1">
    <w:name w:val="Mențiune Nerezolvat1"/>
    <w:basedOn w:val="Fontdeparagrafimplicit"/>
    <w:uiPriority w:val="99"/>
    <w:semiHidden/>
    <w:unhideWhenUsed/>
    <w:rsid w:val="00743C1B"/>
    <w:rPr>
      <w:color w:val="605E5C"/>
      <w:shd w:val="clear" w:color="auto" w:fill="E1DFDD"/>
    </w:rPr>
  </w:style>
  <w:style w:type="paragraph" w:styleId="Textnotdesubsol">
    <w:name w:val="footnote text"/>
    <w:basedOn w:val="Normal"/>
    <w:link w:val="TextnotdesubsolCaracter"/>
    <w:uiPriority w:val="99"/>
    <w:unhideWhenUsed/>
    <w:rsid w:val="00401EED"/>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401EED"/>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401EED"/>
    <w:rPr>
      <w:vertAlign w:val="superscript"/>
    </w:rPr>
  </w:style>
  <w:style w:type="character" w:styleId="Referincomentariu">
    <w:name w:val="annotation reference"/>
    <w:basedOn w:val="Fontdeparagrafimplicit"/>
    <w:uiPriority w:val="99"/>
    <w:semiHidden/>
    <w:unhideWhenUsed/>
    <w:rsid w:val="00D61C50"/>
    <w:rPr>
      <w:sz w:val="16"/>
      <w:szCs w:val="16"/>
    </w:rPr>
  </w:style>
  <w:style w:type="paragraph" w:styleId="Textcomentariu">
    <w:name w:val="annotation text"/>
    <w:basedOn w:val="Normal"/>
    <w:link w:val="TextcomentariuCaracter"/>
    <w:uiPriority w:val="99"/>
    <w:semiHidden/>
    <w:unhideWhenUsed/>
    <w:rsid w:val="00D61C5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61C50"/>
    <w:rPr>
      <w:sz w:val="20"/>
      <w:szCs w:val="20"/>
    </w:rPr>
  </w:style>
  <w:style w:type="paragraph" w:styleId="SubiectComentariu">
    <w:name w:val="annotation subject"/>
    <w:basedOn w:val="Textcomentariu"/>
    <w:next w:val="Textcomentariu"/>
    <w:link w:val="SubiectComentariuCaracter"/>
    <w:uiPriority w:val="99"/>
    <w:semiHidden/>
    <w:unhideWhenUsed/>
    <w:rsid w:val="00D61C50"/>
    <w:rPr>
      <w:b/>
      <w:bCs/>
    </w:rPr>
  </w:style>
  <w:style w:type="character" w:customStyle="1" w:styleId="SubiectComentariuCaracter">
    <w:name w:val="Subiect Comentariu Caracter"/>
    <w:basedOn w:val="TextcomentariuCaracter"/>
    <w:link w:val="SubiectComentariu"/>
    <w:uiPriority w:val="99"/>
    <w:semiHidden/>
    <w:rsid w:val="00D61C50"/>
    <w:rPr>
      <w:b/>
      <w:bCs/>
      <w:sz w:val="20"/>
      <w:szCs w:val="20"/>
    </w:rPr>
  </w:style>
  <w:style w:type="paragraph" w:styleId="Listparagraf">
    <w:name w:val="List Paragraph"/>
    <w:basedOn w:val="Normal"/>
    <w:uiPriority w:val="34"/>
    <w:qFormat/>
    <w:rsid w:val="00B03F38"/>
    <w:pPr>
      <w:spacing w:after="0" w:line="240" w:lineRule="auto"/>
      <w:ind w:left="720"/>
    </w:pPr>
    <w:rPr>
      <w:rFonts w:ascii="Calibri" w:hAnsi="Calibri" w:cs="Calibri"/>
    </w:rPr>
  </w:style>
  <w:style w:type="character" w:styleId="HyperlinkParcurs">
    <w:name w:val="FollowedHyperlink"/>
    <w:basedOn w:val="Fontdeparagrafimplicit"/>
    <w:uiPriority w:val="99"/>
    <w:semiHidden/>
    <w:unhideWhenUsed/>
    <w:rsid w:val="000702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5E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05E84"/>
  </w:style>
  <w:style w:type="paragraph" w:styleId="Subsol">
    <w:name w:val="footer"/>
    <w:basedOn w:val="Normal"/>
    <w:link w:val="SubsolCaracter"/>
    <w:uiPriority w:val="99"/>
    <w:unhideWhenUsed/>
    <w:rsid w:val="00A05E8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5E84"/>
  </w:style>
  <w:style w:type="table" w:styleId="GrilTabel">
    <w:name w:val="Table Grid"/>
    <w:aliases w:val="CV table"/>
    <w:basedOn w:val="TabelNormal"/>
    <w:rsid w:val="00A05E84"/>
    <w:pPr>
      <w:spacing w:after="0" w:line="240" w:lineRule="auto"/>
    </w:pPr>
    <w:rPr>
      <w:rFonts w:ascii="Times New Roman" w:eastAsia="Times New Roman" w:hAnsi="Times New Roman"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rsid w:val="00A05E84"/>
    <w:rPr>
      <w:color w:val="0000FF"/>
      <w:u w:val="single"/>
    </w:rPr>
  </w:style>
  <w:style w:type="paragraph" w:customStyle="1" w:styleId="EYBusinessaddress">
    <w:name w:val="EY Business address"/>
    <w:basedOn w:val="Normal"/>
    <w:uiPriority w:val="99"/>
    <w:semiHidden/>
    <w:rsid w:val="00A05E84"/>
    <w:pPr>
      <w:suppressAutoHyphens/>
      <w:spacing w:after="0" w:line="170" w:lineRule="atLeast"/>
    </w:pPr>
    <w:rPr>
      <w:rFonts w:ascii="Arial" w:eastAsia="Times New Roman" w:hAnsi="Arial" w:cs="Times New Roman"/>
      <w:color w:val="666666"/>
      <w:kern w:val="12"/>
      <w:sz w:val="15"/>
      <w:szCs w:val="24"/>
      <w:lang w:val="en-GB"/>
    </w:rPr>
  </w:style>
  <w:style w:type="character" w:customStyle="1" w:styleId="EYBodytextwithparaspaceChar">
    <w:name w:val="EY Body text (with para space) Char"/>
    <w:basedOn w:val="Fontdeparagrafimplicit"/>
    <w:link w:val="EYBodytextwithparaspace"/>
    <w:rsid w:val="003D0CF5"/>
    <w:rPr>
      <w:rFonts w:ascii="Arial" w:hAnsi="Arial"/>
      <w:kern w:val="12"/>
      <w:szCs w:val="24"/>
    </w:rPr>
  </w:style>
  <w:style w:type="paragraph" w:customStyle="1" w:styleId="EYBodytextwithparaspace">
    <w:name w:val="EY Body text (with para space)"/>
    <w:basedOn w:val="Normal"/>
    <w:link w:val="EYBodytextwithparaspaceChar"/>
    <w:rsid w:val="003D0CF5"/>
    <w:pPr>
      <w:tabs>
        <w:tab w:val="left" w:pos="907"/>
      </w:tabs>
      <w:suppressAutoHyphens/>
      <w:spacing w:after="400" w:line="360" w:lineRule="auto"/>
    </w:pPr>
    <w:rPr>
      <w:rFonts w:ascii="Arial" w:hAnsi="Arial"/>
      <w:kern w:val="12"/>
      <w:szCs w:val="24"/>
    </w:rPr>
  </w:style>
  <w:style w:type="paragraph" w:styleId="TextnBalon">
    <w:name w:val="Balloon Text"/>
    <w:basedOn w:val="Normal"/>
    <w:link w:val="TextnBalonCaracter"/>
    <w:uiPriority w:val="99"/>
    <w:semiHidden/>
    <w:unhideWhenUsed/>
    <w:rsid w:val="004210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107F"/>
    <w:rPr>
      <w:rFonts w:ascii="Segoe UI" w:hAnsi="Segoe UI" w:cs="Segoe UI"/>
      <w:sz w:val="18"/>
      <w:szCs w:val="18"/>
    </w:rPr>
  </w:style>
  <w:style w:type="character" w:customStyle="1" w:styleId="MeniuneNerezolvat1">
    <w:name w:val="Mențiune Nerezolvat1"/>
    <w:basedOn w:val="Fontdeparagrafimplicit"/>
    <w:uiPriority w:val="99"/>
    <w:semiHidden/>
    <w:unhideWhenUsed/>
    <w:rsid w:val="00743C1B"/>
    <w:rPr>
      <w:color w:val="605E5C"/>
      <w:shd w:val="clear" w:color="auto" w:fill="E1DFDD"/>
    </w:rPr>
  </w:style>
  <w:style w:type="paragraph" w:styleId="Textnotdesubsol">
    <w:name w:val="footnote text"/>
    <w:basedOn w:val="Normal"/>
    <w:link w:val="TextnotdesubsolCaracter"/>
    <w:uiPriority w:val="99"/>
    <w:unhideWhenUsed/>
    <w:rsid w:val="00401EED"/>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401EED"/>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401EED"/>
    <w:rPr>
      <w:vertAlign w:val="superscript"/>
    </w:rPr>
  </w:style>
  <w:style w:type="character" w:styleId="Referincomentariu">
    <w:name w:val="annotation reference"/>
    <w:basedOn w:val="Fontdeparagrafimplicit"/>
    <w:uiPriority w:val="99"/>
    <w:semiHidden/>
    <w:unhideWhenUsed/>
    <w:rsid w:val="00D61C50"/>
    <w:rPr>
      <w:sz w:val="16"/>
      <w:szCs w:val="16"/>
    </w:rPr>
  </w:style>
  <w:style w:type="paragraph" w:styleId="Textcomentariu">
    <w:name w:val="annotation text"/>
    <w:basedOn w:val="Normal"/>
    <w:link w:val="TextcomentariuCaracter"/>
    <w:uiPriority w:val="99"/>
    <w:semiHidden/>
    <w:unhideWhenUsed/>
    <w:rsid w:val="00D61C5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61C50"/>
    <w:rPr>
      <w:sz w:val="20"/>
      <w:szCs w:val="20"/>
    </w:rPr>
  </w:style>
  <w:style w:type="paragraph" w:styleId="SubiectComentariu">
    <w:name w:val="annotation subject"/>
    <w:basedOn w:val="Textcomentariu"/>
    <w:next w:val="Textcomentariu"/>
    <w:link w:val="SubiectComentariuCaracter"/>
    <w:uiPriority w:val="99"/>
    <w:semiHidden/>
    <w:unhideWhenUsed/>
    <w:rsid w:val="00D61C50"/>
    <w:rPr>
      <w:b/>
      <w:bCs/>
    </w:rPr>
  </w:style>
  <w:style w:type="character" w:customStyle="1" w:styleId="SubiectComentariuCaracter">
    <w:name w:val="Subiect Comentariu Caracter"/>
    <w:basedOn w:val="TextcomentariuCaracter"/>
    <w:link w:val="SubiectComentariu"/>
    <w:uiPriority w:val="99"/>
    <w:semiHidden/>
    <w:rsid w:val="00D61C50"/>
    <w:rPr>
      <w:b/>
      <w:bCs/>
      <w:sz w:val="20"/>
      <w:szCs w:val="20"/>
    </w:rPr>
  </w:style>
  <w:style w:type="paragraph" w:styleId="Listparagraf">
    <w:name w:val="List Paragraph"/>
    <w:basedOn w:val="Normal"/>
    <w:uiPriority w:val="34"/>
    <w:qFormat/>
    <w:rsid w:val="00B03F38"/>
    <w:pPr>
      <w:spacing w:after="0" w:line="240" w:lineRule="auto"/>
      <w:ind w:left="720"/>
    </w:pPr>
    <w:rPr>
      <w:rFonts w:ascii="Calibri" w:hAnsi="Calibri" w:cs="Calibri"/>
    </w:rPr>
  </w:style>
  <w:style w:type="character" w:styleId="HyperlinkParcurs">
    <w:name w:val="FollowedHyperlink"/>
    <w:basedOn w:val="Fontdeparagrafimplicit"/>
    <w:uiPriority w:val="99"/>
    <w:semiHidden/>
    <w:unhideWhenUsed/>
    <w:rsid w:val="00070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4024">
      <w:bodyDiv w:val="1"/>
      <w:marLeft w:val="0"/>
      <w:marRight w:val="0"/>
      <w:marTop w:val="0"/>
      <w:marBottom w:val="0"/>
      <w:divBdr>
        <w:top w:val="none" w:sz="0" w:space="0" w:color="auto"/>
        <w:left w:val="none" w:sz="0" w:space="0" w:color="auto"/>
        <w:bottom w:val="none" w:sz="0" w:space="0" w:color="auto"/>
        <w:right w:val="none" w:sz="0" w:space="0" w:color="auto"/>
      </w:divBdr>
    </w:div>
    <w:div w:id="1190340834">
      <w:bodyDiv w:val="1"/>
      <w:marLeft w:val="0"/>
      <w:marRight w:val="0"/>
      <w:marTop w:val="0"/>
      <w:marBottom w:val="0"/>
      <w:divBdr>
        <w:top w:val="none" w:sz="0" w:space="0" w:color="auto"/>
        <w:left w:val="none" w:sz="0" w:space="0" w:color="auto"/>
        <w:bottom w:val="none" w:sz="0" w:space="0" w:color="auto"/>
        <w:right w:val="none" w:sz="0" w:space="0" w:color="auto"/>
      </w:divBdr>
    </w:div>
    <w:div w:id="1647931864">
      <w:bodyDiv w:val="1"/>
      <w:marLeft w:val="0"/>
      <w:marRight w:val="0"/>
      <w:marTop w:val="0"/>
      <w:marBottom w:val="0"/>
      <w:divBdr>
        <w:top w:val="none" w:sz="0" w:space="0" w:color="auto"/>
        <w:left w:val="none" w:sz="0" w:space="0" w:color="auto"/>
        <w:bottom w:val="none" w:sz="0" w:space="0" w:color="auto"/>
        <w:right w:val="none" w:sz="0" w:space="0" w:color="auto"/>
      </w:divBdr>
    </w:div>
    <w:div w:id="1754620364">
      <w:bodyDiv w:val="1"/>
      <w:marLeft w:val="0"/>
      <w:marRight w:val="0"/>
      <w:marTop w:val="0"/>
      <w:marBottom w:val="0"/>
      <w:divBdr>
        <w:top w:val="none" w:sz="0" w:space="0" w:color="auto"/>
        <w:left w:val="none" w:sz="0" w:space="0" w:color="auto"/>
        <w:bottom w:val="none" w:sz="0" w:space="0" w:color="auto"/>
        <w:right w:val="none" w:sz="0" w:space="0" w:color="auto"/>
      </w:divBdr>
      <w:divsChild>
        <w:div w:id="193701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law.r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a.hutanu@ro.e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PDF/?uri=CELEX:32021L0514&amp;from=RO" TargetMode="External"/><Relationship Id="rId2" Type="http://schemas.openxmlformats.org/officeDocument/2006/relationships/hyperlink" Target="https://ec.europa.eu/info/sites/default/files/political-guidelines-next-commission_ro.pdf" TargetMode="External"/><Relationship Id="rId1" Type="http://schemas.openxmlformats.org/officeDocument/2006/relationships/hyperlink" Target="https://www.anaf.ro/anaf/internet/ANAF/despre_anaf/strategii_anaf/rapoarte_studii/!ut/p/a1/jZCxDoIwEIafhpU7QRp0w4XKBCYE6GLAlEIClJQqry-wmWjxtrt8X_LfDwxyYEP5akWpWzmU3bozcqcHSqjjOxHSBDHxLtebF8aIlCxAYQBOrskPj7jjI_nPxx8T4F7-DJgRWT8wAmvEDTBkiICJTlZbn0UwVK4vgClec8WV_VTLudF6nM4WWjjPsy2kFB23H7K38JvSyElD_knC2Kdpjm3cZ_70BjTR6b8!/dl5/d5/L2dBISEvZ0FBIS9nQSEh/" TargetMode="External"/><Relationship Id="rId4" Type="http://schemas.openxmlformats.org/officeDocument/2006/relationships/hyperlink" Target="https://eur-lex.europa.eu/legal-content/RO/TXT/PDF/?uri=CELEX:52020PC0314&amp;fro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radusiasociatii.com" TargetMode="External"/><Relationship Id="rId1" Type="http://schemas.openxmlformats.org/officeDocument/2006/relationships/hyperlink" Target="http://www.radusiasociat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5EFB-A099-4199-8D76-CCA129A722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33B61-788B-4455-A0A4-3D627D69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3CC8B-47A4-4E0E-8BF2-CA60CDD2C596}">
  <ds:schemaRefs>
    <ds:schemaRef ds:uri="http://schemas.microsoft.com/sharepoint/v3/contenttype/forms"/>
  </ds:schemaRefs>
</ds:datastoreItem>
</file>

<file path=customXml/itemProps4.xml><?xml version="1.0" encoding="utf-8"?>
<ds:datastoreItem xmlns:ds="http://schemas.openxmlformats.org/officeDocument/2006/customXml" ds:itemID="{DC39081C-DAEF-44B6-91F7-05D39BD3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2113</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Diaconu</dc:creator>
  <cp:keywords/>
  <dc:description/>
  <cp:lastModifiedBy>m.cristian.ccm@gmail.com</cp:lastModifiedBy>
  <cp:revision>9</cp:revision>
  <dcterms:created xsi:type="dcterms:W3CDTF">2021-05-28T09:20:00Z</dcterms:created>
  <dcterms:modified xsi:type="dcterms:W3CDTF">2021-06-02T07:30:00Z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ies>
</file>