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E15A" w14:textId="0B93C8D2" w:rsidR="00021F5B" w:rsidRPr="00935A39" w:rsidRDefault="00021F5B" w:rsidP="00C42FB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935A39">
        <w:rPr>
          <w:rFonts w:asciiTheme="majorBidi" w:hAnsiTheme="majorBidi" w:cstheme="majorBidi"/>
          <w:b/>
          <w:bCs/>
          <w:sz w:val="24"/>
          <w:szCs w:val="24"/>
          <w:lang w:val="ro-RO"/>
        </w:rPr>
        <w:t>Dreptul de a muri</w:t>
      </w:r>
    </w:p>
    <w:p w14:paraId="271FDDFF" w14:textId="77777777" w:rsidR="00C42FB2" w:rsidRPr="00935A39" w:rsidRDefault="00C42FB2" w:rsidP="00C42FB2">
      <w:pPr>
        <w:jc w:val="right"/>
        <w:rPr>
          <w:rFonts w:asciiTheme="majorBidi" w:hAnsiTheme="majorBidi" w:cstheme="majorBidi"/>
          <w:sz w:val="24"/>
          <w:szCs w:val="24"/>
          <w:lang w:val="ro-RO"/>
        </w:rPr>
      </w:pPr>
      <w:r w:rsidRPr="00935A39">
        <w:rPr>
          <w:rFonts w:asciiTheme="majorBidi" w:hAnsiTheme="majorBidi" w:cstheme="majorBidi"/>
          <w:sz w:val="24"/>
          <w:szCs w:val="24"/>
          <w:lang w:val="ro-RO"/>
        </w:rPr>
        <w:t>Veronica DOBOZI - Partner</w:t>
      </w:r>
    </w:p>
    <w:p w14:paraId="674A2A95" w14:textId="77777777" w:rsidR="00C42FB2" w:rsidRPr="00935A39" w:rsidRDefault="0038559D" w:rsidP="0038559D">
      <w:pPr>
        <w:jc w:val="both"/>
        <w:rPr>
          <w:rFonts w:asciiTheme="majorBidi" w:hAnsiTheme="majorBidi" w:cstheme="majorBidi"/>
          <w:bCs/>
          <w:sz w:val="24"/>
          <w:szCs w:val="24"/>
          <w:lang w:val="ro-RO"/>
        </w:rPr>
      </w:pPr>
      <w:r w:rsidRPr="00935A39">
        <w:rPr>
          <w:rFonts w:asciiTheme="majorBidi" w:hAnsiTheme="majorBidi" w:cstheme="majorBidi"/>
          <w:b/>
          <w:bCs/>
          <w:sz w:val="24"/>
          <w:szCs w:val="24"/>
          <w:lang w:val="ro-RO"/>
        </w:rPr>
        <w:t>Conturarea unui drept la sinucidere asistată, și nu a unui drept la sinucidere, deoarece nu există nicio interdicție legală în privința sinuciderii (cu excepția legislațiilor unor state)</w:t>
      </w:r>
      <w:r w:rsidR="00C42FB2" w:rsidRPr="00935A39">
        <w:rPr>
          <w:rFonts w:asciiTheme="majorBidi" w:hAnsiTheme="majorBidi" w:cstheme="majorBidi"/>
          <w:b/>
          <w:bCs/>
          <w:sz w:val="24"/>
          <w:szCs w:val="24"/>
          <w:lang w:val="ro-RO"/>
        </w:rPr>
        <w:t>,</w:t>
      </w:r>
      <w:r w:rsidRPr="00935A39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se conturează tot mai pregnant în contextul lumii medicalizate și tehnologizate în care trăim și care permite prelungirea vieții până la vârste la care, altădată, natura nu ne lăsa să evoluăm.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</w:t>
      </w:r>
    </w:p>
    <w:p w14:paraId="13B93E52" w14:textId="2C0AF841" w:rsidR="0038559D" w:rsidRPr="00935A39" w:rsidRDefault="0038559D" w:rsidP="0038559D">
      <w:pPr>
        <w:jc w:val="both"/>
        <w:rPr>
          <w:rFonts w:asciiTheme="majorBidi" w:hAnsiTheme="majorBidi" w:cstheme="majorBidi"/>
          <w:bCs/>
          <w:sz w:val="24"/>
          <w:szCs w:val="24"/>
          <w:lang w:val="ro-RO"/>
        </w:rPr>
      </w:pP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>Această prelungire a vieții ridică aspectul dependenței persoanei vârstnice sau a celui imobilizat de un incident prejudiciabil asupra corpului său de alte persoane întru-totul, inclusiv în privința posibilității de a pune capăt voluntar vieții. Un alt aspect al sinuciderii asistate a fost extinderea treptată, în unele țări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>,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dar mai ales la nivelul opiniei publice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>,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a ideii că dreptul la sinucidere asistată nu este legat de persoanele vârstnice sau grav bolnave, ci este, în final, o exprimare a dreptului de a dispune de propriul corp, de propria viață. Chiar o expresie a noțiunii de demnitate umană, de aceea unii adepți ai dreptului la sinucidere asistată îl numesc 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>„</w:t>
      </w:r>
      <w:r w:rsidRPr="00935A39">
        <w:rPr>
          <w:rFonts w:asciiTheme="majorBidi" w:hAnsiTheme="majorBidi" w:cstheme="majorBidi"/>
          <w:bCs/>
          <w:i/>
          <w:sz w:val="24"/>
          <w:szCs w:val="24"/>
          <w:lang w:val="ro-RO"/>
        </w:rPr>
        <w:t>dreptul de a muri cu demnitate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>”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sau 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>„</w:t>
      </w:r>
      <w:r w:rsidRPr="00935A39">
        <w:rPr>
          <w:rFonts w:asciiTheme="majorBidi" w:hAnsiTheme="majorBidi" w:cstheme="majorBidi"/>
          <w:bCs/>
          <w:i/>
          <w:sz w:val="24"/>
          <w:szCs w:val="24"/>
          <w:lang w:val="ro-RO"/>
        </w:rPr>
        <w:t>dreptul la o moarte demnă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>”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>.</w:t>
      </w:r>
    </w:p>
    <w:p w14:paraId="44988DD4" w14:textId="157492D8" w:rsidR="0038559D" w:rsidRPr="00935A39" w:rsidRDefault="0038559D" w:rsidP="0038559D">
      <w:pPr>
        <w:jc w:val="both"/>
        <w:rPr>
          <w:rFonts w:asciiTheme="majorBidi" w:hAnsiTheme="majorBidi" w:cstheme="majorBidi"/>
          <w:bCs/>
          <w:sz w:val="24"/>
          <w:szCs w:val="24"/>
          <w:lang w:val="ro-RO"/>
        </w:rPr>
      </w:pP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>Invocarea acestui drept a ajuns până la nivelul Curții</w:t>
      </w:r>
      <w:r w:rsidR="00021F5B"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Europene a Drepturilor Omului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și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>,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într-un 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suficient 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>număr de spețe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>,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>s-au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contura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>t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tendințele contradictorii ale judecătorilor europeni, adică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>, pe de o parte,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abordarea prudentă de a nu recunoaște oficial un drept la sinucidere asistată (pentru a nu veni în contradicție cu lipsa de consens asupra subiectului</w:t>
      </w:r>
      <w:r w:rsidR="008630AD" w:rsidRPr="00935A39">
        <w:rPr>
          <w:rFonts w:asciiTheme="majorBidi" w:hAnsiTheme="majorBidi" w:cstheme="majorBidi"/>
          <w:bCs/>
          <w:sz w:val="24"/>
          <w:szCs w:val="24"/>
          <w:lang w:val="ro-RO"/>
        </w:rPr>
        <w:t>,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la nivelul statelor membre ale Consiliului Europei), iar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>,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pe de altă parte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>,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încurajarea unei autonomii sporite a individului, transpusă în recunoașterea dreptului de a dispune de propriul corp.</w:t>
      </w:r>
    </w:p>
    <w:p w14:paraId="2B85E724" w14:textId="1D284190" w:rsidR="0038559D" w:rsidRPr="00935A39" w:rsidRDefault="0038559D" w:rsidP="0038559D">
      <w:pPr>
        <w:jc w:val="both"/>
        <w:rPr>
          <w:rFonts w:asciiTheme="majorBidi" w:hAnsiTheme="majorBidi" w:cstheme="majorBidi"/>
          <w:bCs/>
          <w:sz w:val="24"/>
          <w:szCs w:val="24"/>
          <w:lang w:val="ro-RO"/>
        </w:rPr>
      </w:pP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>Rezumând cele mai importante aspecte stabilite la nivel european în privința finalului vieții, prin reglementări regionale sau prin practica Curții</w:t>
      </w:r>
      <w:r w:rsidR="00021F5B"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de la Strasbourg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>, constatăm că:</w:t>
      </w:r>
    </w:p>
    <w:p w14:paraId="4B0123D9" w14:textId="199AA1AD" w:rsidR="0038559D" w:rsidRPr="00935A39" w:rsidRDefault="0038559D" w:rsidP="0038559D">
      <w:pPr>
        <w:jc w:val="both"/>
        <w:rPr>
          <w:rFonts w:asciiTheme="majorBidi" w:hAnsiTheme="majorBidi" w:cstheme="majorBidi"/>
          <w:bCs/>
          <w:sz w:val="24"/>
          <w:szCs w:val="24"/>
          <w:lang w:val="ro-RO"/>
        </w:rPr>
      </w:pP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>- oprirea unui tratament de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menținere artificială a vieții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un</w:t>
      </w:r>
      <w:r w:rsidR="008630AD" w:rsidRPr="00935A39">
        <w:rPr>
          <w:rFonts w:asciiTheme="majorBidi" w:hAnsiTheme="majorBidi" w:cstheme="majorBidi"/>
          <w:bCs/>
          <w:sz w:val="24"/>
          <w:szCs w:val="24"/>
          <w:lang w:val="ro-RO"/>
        </w:rPr>
        <w:t>ui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pacient c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are nu-și poate exprima voința (cu aplicarea 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>procedurii legale pe</w:t>
      </w:r>
      <w:r w:rsidR="00C42FB2" w:rsidRPr="00935A39">
        <w:rPr>
          <w:rFonts w:asciiTheme="majorBidi" w:hAnsiTheme="majorBidi" w:cstheme="majorBidi"/>
          <w:bCs/>
          <w:sz w:val="24"/>
          <w:szCs w:val="24"/>
          <w:lang w:val="ro-RO"/>
        </w:rPr>
        <w:t>ntru suplinirea consimțământului)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>, nu echivalează cu eutanasia și este conformă cu dispozițiile art. 2 din CEDO.</w:t>
      </w:r>
    </w:p>
    <w:p w14:paraId="05C91886" w14:textId="5E45EAC9" w:rsidR="0038559D" w:rsidRPr="00935A39" w:rsidRDefault="00C42FB2" w:rsidP="0038559D">
      <w:pPr>
        <w:jc w:val="both"/>
        <w:rPr>
          <w:rFonts w:asciiTheme="majorBidi" w:hAnsiTheme="majorBidi" w:cstheme="majorBidi"/>
          <w:bCs/>
          <w:sz w:val="24"/>
          <w:szCs w:val="24"/>
          <w:lang w:val="ro-RO"/>
        </w:rPr>
      </w:pP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>- refuzul pacientului de a primi</w:t>
      </w:r>
      <w:r w:rsidR="0038559D"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tratament</w:t>
      </w: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>,</w:t>
      </w:r>
      <w:r w:rsidR="0038559D"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 în lipsa căruia acesta poate deceda, face parte din dreptul la autonomia individului, protejat de art. 8 din CEDO.</w:t>
      </w:r>
    </w:p>
    <w:p w14:paraId="0EBE743F" w14:textId="5C3918AD" w:rsidR="0038559D" w:rsidRPr="00935A39" w:rsidRDefault="0038559D" w:rsidP="0038559D">
      <w:pPr>
        <w:jc w:val="both"/>
        <w:rPr>
          <w:rFonts w:asciiTheme="majorBidi" w:hAnsiTheme="majorBidi" w:cstheme="majorBidi"/>
          <w:bCs/>
          <w:sz w:val="24"/>
          <w:szCs w:val="24"/>
          <w:lang w:val="ro-RO"/>
        </w:rPr>
      </w:pP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>- nu se poate invoca existența unui drept la sinucidere, întemeiat pe dispozițiile Convenției, care să presupună recurgerea la autoritatea statului pentru a obliga un terț să ajute sau să efectueze actul tanato-generator, dar art. 8 protejează libertatea de a te sinucide, ca o manifestare a dreptului la viață privată a individului.</w:t>
      </w:r>
    </w:p>
    <w:p w14:paraId="343234D2" w14:textId="77777777" w:rsidR="008630AD" w:rsidRPr="00935A39" w:rsidRDefault="0038559D" w:rsidP="0038559D">
      <w:pPr>
        <w:jc w:val="both"/>
        <w:rPr>
          <w:rFonts w:asciiTheme="majorBidi" w:hAnsiTheme="majorBidi" w:cstheme="majorBidi"/>
          <w:bCs/>
          <w:sz w:val="24"/>
          <w:szCs w:val="24"/>
          <w:lang w:val="ro-RO"/>
        </w:rPr>
      </w:pPr>
      <w:r w:rsidRPr="00935A39">
        <w:rPr>
          <w:rFonts w:asciiTheme="majorBidi" w:hAnsiTheme="majorBidi" w:cstheme="majorBidi"/>
          <w:bCs/>
          <w:sz w:val="24"/>
          <w:szCs w:val="24"/>
          <w:lang w:val="ro-RO"/>
        </w:rPr>
        <w:t xml:space="preserve">Creionarea dreptului de a muri (natural) este o transpunere a autonomiei individului și a dreptului său de a dispune asupra propriului corp în contextul viziunii moderne, transumaniste, asupra corpului uman, care caută nemurirea prin hibridizarea cu tehnologia, sub diverse forme. </w:t>
      </w:r>
    </w:p>
    <w:p w14:paraId="3B7E44C4" w14:textId="052139A7" w:rsidR="0038559D" w:rsidRPr="00935A39" w:rsidRDefault="0038559D" w:rsidP="0038559D">
      <w:pPr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935A39">
        <w:rPr>
          <w:rFonts w:asciiTheme="majorBidi" w:hAnsiTheme="majorBidi" w:cstheme="majorBidi"/>
          <w:b/>
          <w:bCs/>
          <w:sz w:val="24"/>
          <w:szCs w:val="24"/>
          <w:lang w:val="ro-RO"/>
        </w:rPr>
        <w:t>În măsura în care omul se va transfera pe sine într-o formă robotizată și/sau își va transfera conștiința într-un computer sau alte forme tehnologice similare, noțiunile de viață și demnitate umană vor trebui rescrise, deoarece nu vor mai corespunde noilor realități determinante pentru stabilirea valorilor societății.</w:t>
      </w:r>
    </w:p>
    <w:p w14:paraId="2FDBE488" w14:textId="77777777" w:rsidR="00C42FB2" w:rsidRPr="00935A39" w:rsidRDefault="00C42FB2" w:rsidP="00C42FB2">
      <w:pPr>
        <w:rPr>
          <w:color w:val="222222"/>
          <w:lang w:val="ro-RO"/>
        </w:rPr>
      </w:pPr>
      <w:r w:rsidRPr="00935A39">
        <w:rPr>
          <w:rFonts w:hAnsi="Times New Roman" w:cs="Times New Roman"/>
          <w:i/>
          <w:sz w:val="24"/>
          <w:szCs w:val="24"/>
          <w:lang w:val="ro-RO"/>
        </w:rPr>
        <w:t xml:space="preserve">Un articol semnat de Veronica Dobozi (vdobozi@stoica-asociatii.ro), Partner, </w:t>
      </w:r>
      <w:hyperlink r:id="rId7" w:history="1">
        <w:r w:rsidRPr="00935A39">
          <w:rPr>
            <w:rStyle w:val="Hyperlink"/>
            <w:rFonts w:hAnsi="Times New Roman" w:cs="Times New Roman"/>
            <w:i/>
            <w:sz w:val="24"/>
            <w:szCs w:val="24"/>
            <w:lang w:val="ro-RO"/>
          </w:rPr>
          <w:t>STOICA &amp; Asocia</w:t>
        </w:r>
        <w:r w:rsidRPr="00935A39">
          <w:rPr>
            <w:rStyle w:val="Hyperlink"/>
            <w:rFonts w:hAnsi="Times New Roman" w:cs="Times New Roman"/>
            <w:i/>
            <w:sz w:val="24"/>
            <w:szCs w:val="24"/>
            <w:lang w:val="ro-RO"/>
          </w:rPr>
          <w:t>ţ</w:t>
        </w:r>
        <w:r w:rsidRPr="00935A39">
          <w:rPr>
            <w:rStyle w:val="Hyperlink"/>
            <w:rFonts w:hAnsi="Times New Roman" w:cs="Times New Roman"/>
            <w:i/>
            <w:sz w:val="24"/>
            <w:szCs w:val="24"/>
            <w:lang w:val="ro-RO"/>
          </w:rPr>
          <w:t>ii</w:t>
        </w:r>
      </w:hyperlink>
      <w:r w:rsidRPr="00935A39">
        <w:rPr>
          <w:rFonts w:hAnsi="Times New Roman" w:cs="Times New Roman"/>
          <w:i/>
          <w:sz w:val="24"/>
          <w:szCs w:val="24"/>
          <w:lang w:val="ro-RO"/>
        </w:rPr>
        <w:t xml:space="preserve">. </w:t>
      </w:r>
    </w:p>
    <w:p w14:paraId="16A0BF69" w14:textId="77777777" w:rsidR="00C42FB2" w:rsidRPr="00935A39" w:rsidRDefault="00C42FB2" w:rsidP="0038559D">
      <w:pPr>
        <w:jc w:val="both"/>
        <w:rPr>
          <w:rFonts w:asciiTheme="majorBidi" w:hAnsiTheme="majorBidi" w:cstheme="majorBidi"/>
          <w:bCs/>
          <w:sz w:val="24"/>
          <w:szCs w:val="24"/>
          <w:lang w:val="ro-RO"/>
        </w:rPr>
      </w:pPr>
    </w:p>
    <w:sectPr w:rsidR="00C42FB2" w:rsidRPr="00935A39" w:rsidSect="00C42FB2">
      <w:pgSz w:w="11906" w:h="16838"/>
      <w:pgMar w:top="63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7B83" w14:textId="77777777" w:rsidR="00652DB9" w:rsidRDefault="00652DB9" w:rsidP="00E75CCB">
      <w:pPr>
        <w:spacing w:after="0" w:line="240" w:lineRule="auto"/>
      </w:pPr>
      <w:r>
        <w:separator/>
      </w:r>
    </w:p>
  </w:endnote>
  <w:endnote w:type="continuationSeparator" w:id="0">
    <w:p w14:paraId="1C0C09F2" w14:textId="77777777" w:rsidR="00652DB9" w:rsidRDefault="00652DB9" w:rsidP="00E7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DDF7" w14:textId="77777777" w:rsidR="00652DB9" w:rsidRDefault="00652DB9" w:rsidP="00E75CCB">
      <w:pPr>
        <w:spacing w:after="0" w:line="240" w:lineRule="auto"/>
      </w:pPr>
      <w:r>
        <w:separator/>
      </w:r>
    </w:p>
  </w:footnote>
  <w:footnote w:type="continuationSeparator" w:id="0">
    <w:p w14:paraId="5BE1787D" w14:textId="77777777" w:rsidR="00652DB9" w:rsidRDefault="00652DB9" w:rsidP="00E75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A4"/>
    <w:rsid w:val="00021F5B"/>
    <w:rsid w:val="000354CC"/>
    <w:rsid w:val="000E2C00"/>
    <w:rsid w:val="001958DA"/>
    <w:rsid w:val="001E4C3C"/>
    <w:rsid w:val="002C12EE"/>
    <w:rsid w:val="002F0C2C"/>
    <w:rsid w:val="0038559D"/>
    <w:rsid w:val="003A2FDE"/>
    <w:rsid w:val="003E71AB"/>
    <w:rsid w:val="00456A85"/>
    <w:rsid w:val="00574B40"/>
    <w:rsid w:val="005B5CA4"/>
    <w:rsid w:val="00652DB9"/>
    <w:rsid w:val="00705923"/>
    <w:rsid w:val="00851810"/>
    <w:rsid w:val="008630AD"/>
    <w:rsid w:val="0086345A"/>
    <w:rsid w:val="00875CAC"/>
    <w:rsid w:val="00935A39"/>
    <w:rsid w:val="00945E40"/>
    <w:rsid w:val="00A505C7"/>
    <w:rsid w:val="00BD08C2"/>
    <w:rsid w:val="00C26C22"/>
    <w:rsid w:val="00C42FB2"/>
    <w:rsid w:val="00C711E6"/>
    <w:rsid w:val="00D110A1"/>
    <w:rsid w:val="00DD7CA6"/>
    <w:rsid w:val="00E156C8"/>
    <w:rsid w:val="00E75CCB"/>
    <w:rsid w:val="00E937DA"/>
    <w:rsid w:val="00F17AD4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0700"/>
  <w15:docId w15:val="{25B8B262-6EB8-49D8-A846-371FFBD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75C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C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C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5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3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ica-asociatii.r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8F81-1382-42A6-8D68-20A39C35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Alina Grigoras</cp:lastModifiedBy>
  <cp:revision>5</cp:revision>
  <dcterms:created xsi:type="dcterms:W3CDTF">2021-06-23T05:47:00Z</dcterms:created>
  <dcterms:modified xsi:type="dcterms:W3CDTF">2021-06-23T09:03:00Z</dcterms:modified>
</cp:coreProperties>
</file>