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7E8" w14:textId="51EA3C8A" w:rsidR="00BC6C8B" w:rsidRPr="008C2342" w:rsidRDefault="00BC6C8B" w:rsidP="005055D9">
      <w:pPr>
        <w:spacing w:after="0"/>
        <w:jc w:val="center"/>
        <w:rPr>
          <w:rFonts w:cstheme="minorHAnsi"/>
          <w:b/>
          <w:bCs/>
          <w:lang w:val="ro-RO"/>
        </w:rPr>
      </w:pPr>
      <w:r w:rsidRPr="008C2342">
        <w:rPr>
          <w:rFonts w:cstheme="minorHAnsi"/>
          <w:b/>
          <w:bCs/>
          <w:lang w:val="ro-RO"/>
        </w:rPr>
        <w:t>Noi hotărâri ale CJUE în materia contractelor de credit, încheiate în monedă străină</w:t>
      </w:r>
    </w:p>
    <w:p w14:paraId="5BBF3893" w14:textId="77777777" w:rsidR="00BC6C8B" w:rsidRPr="008C2342" w:rsidRDefault="00BC6C8B" w:rsidP="00E028D8">
      <w:pPr>
        <w:spacing w:after="0"/>
        <w:jc w:val="right"/>
        <w:rPr>
          <w:rFonts w:cstheme="minorHAnsi"/>
          <w:lang w:val="ro-RO"/>
        </w:rPr>
      </w:pPr>
    </w:p>
    <w:p w14:paraId="2335FFD4" w14:textId="77777777" w:rsidR="00E028D8" w:rsidRPr="008C2342" w:rsidRDefault="00E028D8" w:rsidP="00E028D8">
      <w:pPr>
        <w:spacing w:after="0"/>
        <w:jc w:val="right"/>
        <w:rPr>
          <w:rFonts w:cstheme="minorHAnsi"/>
          <w:lang w:val="ro-RO"/>
        </w:rPr>
      </w:pPr>
      <w:r w:rsidRPr="008C2342">
        <w:rPr>
          <w:rFonts w:cstheme="minorHAnsi"/>
          <w:lang w:val="ro-RO"/>
        </w:rPr>
        <w:t>Mircea Bogdan Popescu</w:t>
      </w:r>
    </w:p>
    <w:p w14:paraId="69A43FC1" w14:textId="77777777" w:rsidR="00E028D8" w:rsidRPr="008C2342" w:rsidRDefault="00E028D8" w:rsidP="00E028D8">
      <w:pPr>
        <w:jc w:val="right"/>
        <w:rPr>
          <w:rFonts w:cstheme="minorHAnsi"/>
          <w:bCs/>
          <w:lang w:val="ro-RO"/>
        </w:rPr>
      </w:pPr>
      <w:r w:rsidRPr="008C2342">
        <w:rPr>
          <w:rFonts w:cstheme="minorHAnsi"/>
          <w:bCs/>
          <w:lang w:val="ro-RO"/>
        </w:rPr>
        <w:t>STOICA &amp; Asociaţii</w:t>
      </w:r>
    </w:p>
    <w:p w14:paraId="5FCEFFBE" w14:textId="77777777" w:rsidR="00E028D8" w:rsidRPr="008C2342" w:rsidRDefault="00E028D8" w:rsidP="005055D9">
      <w:pPr>
        <w:spacing w:after="0"/>
        <w:jc w:val="center"/>
        <w:rPr>
          <w:rFonts w:cstheme="minorHAnsi"/>
          <w:b/>
          <w:bCs/>
          <w:lang w:val="ro-RO"/>
        </w:rPr>
      </w:pPr>
    </w:p>
    <w:p w14:paraId="59DE7174" w14:textId="6AFBE7B4" w:rsidR="00AE2233" w:rsidRPr="008C2342" w:rsidRDefault="00AE2233" w:rsidP="005055D9">
      <w:pPr>
        <w:spacing w:after="0"/>
        <w:jc w:val="center"/>
        <w:rPr>
          <w:rFonts w:cstheme="minorHAnsi"/>
          <w:b/>
          <w:bCs/>
          <w:lang w:val="ro-RO"/>
        </w:rPr>
      </w:pPr>
    </w:p>
    <w:p w14:paraId="5CF4DF7F" w14:textId="77777777" w:rsidR="00800875" w:rsidRPr="008C2342" w:rsidRDefault="00800875" w:rsidP="005055D9">
      <w:pPr>
        <w:spacing w:after="0"/>
        <w:jc w:val="center"/>
        <w:rPr>
          <w:rFonts w:cstheme="minorHAnsi"/>
          <w:b/>
          <w:bCs/>
          <w:u w:val="single"/>
          <w:lang w:val="ro-RO"/>
        </w:rPr>
      </w:pPr>
    </w:p>
    <w:p w14:paraId="74CFF959" w14:textId="528B948F" w:rsidR="00AE2233" w:rsidRPr="008C2342" w:rsidRDefault="00AE2233" w:rsidP="00AE2233">
      <w:pPr>
        <w:spacing w:after="0"/>
        <w:jc w:val="both"/>
        <w:rPr>
          <w:rFonts w:cstheme="minorHAnsi"/>
          <w:lang w:val="ro-RO"/>
        </w:rPr>
      </w:pPr>
      <w:r w:rsidRPr="008C2342">
        <w:rPr>
          <w:rFonts w:cstheme="minorHAnsi"/>
          <w:lang w:val="ro-RO"/>
        </w:rPr>
        <w:t xml:space="preserve">În data de 10 iunie 2021, Curtea de Justiție a Uniunii Europene a emis un comunicat de presă prin care a anunțat pronunțarea </w:t>
      </w:r>
      <w:r w:rsidR="00AB6DE4" w:rsidRPr="008C2342">
        <w:rPr>
          <w:rFonts w:cstheme="minorHAnsi"/>
          <w:lang w:val="ro-RO"/>
        </w:rPr>
        <w:t>deciziilor</w:t>
      </w:r>
      <w:r w:rsidRPr="008C2342">
        <w:rPr>
          <w:rFonts w:cstheme="minorHAnsi"/>
          <w:lang w:val="ro-RO"/>
        </w:rPr>
        <w:t xml:space="preserve"> în cauza C-609/19 și în cauzele conexate C-776/19 – C-782/19, </w:t>
      </w:r>
      <w:r w:rsidRPr="008C2342">
        <w:rPr>
          <w:rFonts w:cstheme="minorHAnsi"/>
          <w:i/>
          <w:iCs/>
          <w:lang w:val="ro-RO"/>
        </w:rPr>
        <w:t>BNP Paribas Personal Finance</w:t>
      </w:r>
      <w:r w:rsidRPr="008C2342">
        <w:rPr>
          <w:rFonts w:cstheme="minorHAnsi"/>
          <w:lang w:val="ro-RO"/>
        </w:rPr>
        <w:t>. În esență, prin hotărâr</w:t>
      </w:r>
      <w:r w:rsidR="003770D2" w:rsidRPr="008C2342">
        <w:rPr>
          <w:rFonts w:cstheme="minorHAnsi"/>
          <w:lang w:val="ro-RO"/>
        </w:rPr>
        <w:t>ile</w:t>
      </w:r>
      <w:r w:rsidRPr="008C2342">
        <w:rPr>
          <w:rFonts w:cstheme="minorHAnsi"/>
          <w:lang w:val="ro-RO"/>
        </w:rPr>
        <w:t xml:space="preserve"> </w:t>
      </w:r>
      <w:r w:rsidR="003D409B" w:rsidRPr="008C2342">
        <w:rPr>
          <w:rFonts w:cstheme="minorHAnsi"/>
          <w:lang w:val="ro-RO"/>
        </w:rPr>
        <w:t>din cauzele amintite</w:t>
      </w:r>
      <w:r w:rsidRPr="008C2342">
        <w:rPr>
          <w:rFonts w:cstheme="minorHAnsi"/>
          <w:lang w:val="ro-RO"/>
        </w:rPr>
        <w:t xml:space="preserve">, </w:t>
      </w:r>
      <w:r w:rsidR="00CA350A" w:rsidRPr="008C2342">
        <w:rPr>
          <w:rFonts w:cstheme="minorHAnsi"/>
          <w:lang w:val="ro-RO"/>
        </w:rPr>
        <w:t>au fost</w:t>
      </w:r>
      <w:r w:rsidRPr="008C2342">
        <w:rPr>
          <w:rFonts w:cstheme="minorHAnsi"/>
          <w:lang w:val="ro-RO"/>
        </w:rPr>
        <w:t xml:space="preserve"> </w:t>
      </w:r>
      <w:r w:rsidR="00C21DA5" w:rsidRPr="008C2342">
        <w:rPr>
          <w:rFonts w:cstheme="minorHAnsi"/>
          <w:lang w:val="ro-RO"/>
        </w:rPr>
        <w:t>clarificat</w:t>
      </w:r>
      <w:r w:rsidR="00CA350A" w:rsidRPr="008C2342">
        <w:rPr>
          <w:rFonts w:cstheme="minorHAnsi"/>
          <w:lang w:val="ro-RO"/>
        </w:rPr>
        <w:t>e</w:t>
      </w:r>
      <w:r w:rsidRPr="008C2342">
        <w:rPr>
          <w:rFonts w:cstheme="minorHAnsi"/>
          <w:lang w:val="ro-RO"/>
        </w:rPr>
        <w:t xml:space="preserve"> </w:t>
      </w:r>
      <w:r w:rsidR="00856AE1" w:rsidRPr="008C2342">
        <w:rPr>
          <w:rFonts w:cstheme="minorHAnsi"/>
          <w:lang w:val="ro-RO"/>
        </w:rPr>
        <w:t xml:space="preserve">mai multe aspecte privitoare </w:t>
      </w:r>
      <w:r w:rsidR="003770D2" w:rsidRPr="008C2342">
        <w:rPr>
          <w:rFonts w:cstheme="minorHAnsi"/>
          <w:lang w:val="ro-RO"/>
        </w:rPr>
        <w:t xml:space="preserve">atât </w:t>
      </w:r>
      <w:r w:rsidR="00856AE1" w:rsidRPr="008C2342">
        <w:rPr>
          <w:rFonts w:cstheme="minorHAnsi"/>
          <w:lang w:val="ro-RO"/>
        </w:rPr>
        <w:t xml:space="preserve">la evaluarea caracterului abuziv al unor clauze contractuale </w:t>
      </w:r>
      <w:r w:rsidR="003D409B" w:rsidRPr="008C2342">
        <w:rPr>
          <w:rFonts w:cstheme="minorHAnsi"/>
          <w:lang w:val="ro-RO"/>
        </w:rPr>
        <w:t>cuprinse</w:t>
      </w:r>
      <w:r w:rsidR="00856AE1" w:rsidRPr="008C2342">
        <w:rPr>
          <w:rFonts w:cstheme="minorHAnsi"/>
          <w:lang w:val="ro-RO"/>
        </w:rPr>
        <w:t xml:space="preserve"> în contactele de credit încheiate în monedă străină</w:t>
      </w:r>
      <w:r w:rsidR="003770D2" w:rsidRPr="008C2342">
        <w:rPr>
          <w:rFonts w:cstheme="minorHAnsi"/>
          <w:lang w:val="ro-RO"/>
        </w:rPr>
        <w:t>, cât</w:t>
      </w:r>
      <w:r w:rsidR="00856AE1" w:rsidRPr="008C2342">
        <w:rPr>
          <w:rFonts w:cstheme="minorHAnsi"/>
          <w:lang w:val="ro-RO"/>
        </w:rPr>
        <w:t xml:space="preserve"> și la termenul în care consumatorul care încheie un astfel de contracte </w:t>
      </w:r>
      <w:r w:rsidR="00CA350A" w:rsidRPr="008C2342">
        <w:rPr>
          <w:rFonts w:cstheme="minorHAnsi"/>
          <w:lang w:val="ro-RO"/>
        </w:rPr>
        <w:t xml:space="preserve">de </w:t>
      </w:r>
      <w:r w:rsidR="00856AE1" w:rsidRPr="008C2342">
        <w:rPr>
          <w:rFonts w:cstheme="minorHAnsi"/>
          <w:lang w:val="ro-RO"/>
        </w:rPr>
        <w:t xml:space="preserve">credit se poate adresa instanței pentru a reclama caracterul abuziv al clauzelor în discuție. </w:t>
      </w:r>
    </w:p>
    <w:p w14:paraId="5996FF86" w14:textId="10D58EAD" w:rsidR="00800875" w:rsidRPr="008C2342" w:rsidRDefault="00800875" w:rsidP="00AE2233">
      <w:pPr>
        <w:spacing w:after="0"/>
        <w:jc w:val="both"/>
        <w:rPr>
          <w:rFonts w:cstheme="minorHAnsi"/>
          <w:lang w:val="ro-RO"/>
        </w:rPr>
      </w:pPr>
    </w:p>
    <w:p w14:paraId="5926EFBC" w14:textId="6C41A7E5" w:rsidR="00800875" w:rsidRPr="008C2342" w:rsidRDefault="00800875" w:rsidP="00800875">
      <w:pPr>
        <w:spacing w:after="0"/>
        <w:jc w:val="both"/>
        <w:rPr>
          <w:rFonts w:cstheme="minorHAnsi"/>
          <w:lang w:val="ro-RO"/>
        </w:rPr>
      </w:pPr>
      <w:r w:rsidRPr="008C2342">
        <w:rPr>
          <w:rFonts w:cstheme="minorHAnsi"/>
          <w:lang w:val="ro-RO"/>
        </w:rPr>
        <w:t>Situația de fapt pe care s-a grefat analiza Curții a fost reprezentată de încheierea, în anii 2008 și 2009, de către mai mulți consumatori, a unor contracte de împrumut ipotecar exprimat în franci elvețieni (CHF)</w:t>
      </w:r>
      <w:r w:rsidR="001E2899" w:rsidRPr="008C2342">
        <w:rPr>
          <w:rFonts w:cstheme="minorHAnsi"/>
          <w:lang w:val="ro-RO"/>
        </w:rPr>
        <w:t>,</w:t>
      </w:r>
      <w:r w:rsidRPr="008C2342">
        <w:rPr>
          <w:rFonts w:cstheme="minorHAnsi"/>
          <w:lang w:val="ro-RO"/>
        </w:rPr>
        <w:t xml:space="preserve"> rambursabil în euro. </w:t>
      </w:r>
      <w:r w:rsidR="00DE58AE" w:rsidRPr="008C2342">
        <w:rPr>
          <w:rFonts w:cstheme="minorHAnsi"/>
          <w:lang w:val="ro-RO"/>
        </w:rPr>
        <w:t xml:space="preserve">Întrucât împrumuturile erau contractate într-o altă valută decât cea în care urma să se efectueze rambursarea, contractele de împrumut supuse analizei erau afectate de un risc </w:t>
      </w:r>
      <w:r w:rsidRPr="008C2342">
        <w:rPr>
          <w:rFonts w:cstheme="minorHAnsi"/>
          <w:lang w:val="ro-RO"/>
        </w:rPr>
        <w:t xml:space="preserve">de schimb valutar </w:t>
      </w:r>
      <w:r w:rsidR="00DE58AE" w:rsidRPr="008C2342">
        <w:rPr>
          <w:rFonts w:cstheme="minorHAnsi"/>
          <w:lang w:val="ro-RO"/>
        </w:rPr>
        <w:t>generat</w:t>
      </w:r>
      <w:r w:rsidRPr="008C2342">
        <w:rPr>
          <w:rFonts w:cstheme="minorHAnsi"/>
          <w:lang w:val="ro-RO"/>
        </w:rPr>
        <w:t xml:space="preserve"> de fluctuațiile cursului monedei euro în raport cu cel al CHF</w:t>
      </w:r>
      <w:r w:rsidR="00DE58AE" w:rsidRPr="008C2342">
        <w:rPr>
          <w:rFonts w:cstheme="minorHAnsi"/>
          <w:lang w:val="ro-RO"/>
        </w:rPr>
        <w:t>, acest risc (d</w:t>
      </w:r>
      <w:r w:rsidRPr="008C2342">
        <w:rPr>
          <w:rFonts w:cstheme="minorHAnsi"/>
          <w:lang w:val="ro-RO"/>
        </w:rPr>
        <w:t xml:space="preserve">eși </w:t>
      </w:r>
      <w:r w:rsidR="00DE58AE" w:rsidRPr="008C2342">
        <w:rPr>
          <w:rFonts w:cstheme="minorHAnsi"/>
          <w:lang w:val="ro-RO"/>
        </w:rPr>
        <w:t>ne</w:t>
      </w:r>
      <w:r w:rsidRPr="008C2342">
        <w:rPr>
          <w:rFonts w:cstheme="minorHAnsi"/>
          <w:lang w:val="ro-RO"/>
        </w:rPr>
        <w:t xml:space="preserve">menționat în mod </w:t>
      </w:r>
      <w:r w:rsidR="00DE58AE" w:rsidRPr="008C2342">
        <w:rPr>
          <w:rFonts w:cstheme="minorHAnsi"/>
          <w:lang w:val="ro-RO"/>
        </w:rPr>
        <w:t>explicit</w:t>
      </w:r>
      <w:r w:rsidRPr="008C2342">
        <w:rPr>
          <w:rFonts w:cstheme="minorHAnsi"/>
          <w:lang w:val="ro-RO"/>
        </w:rPr>
        <w:t xml:space="preserve"> în contractele de împrumut</w:t>
      </w:r>
      <w:r w:rsidR="00DE58AE" w:rsidRPr="008C2342">
        <w:rPr>
          <w:rFonts w:cstheme="minorHAnsi"/>
          <w:lang w:val="ro-RO"/>
        </w:rPr>
        <w:t>)</w:t>
      </w:r>
      <w:r w:rsidRPr="008C2342">
        <w:rPr>
          <w:rFonts w:cstheme="minorHAnsi"/>
          <w:lang w:val="ro-RO"/>
        </w:rPr>
        <w:t xml:space="preserve"> </w:t>
      </w:r>
      <w:r w:rsidR="00DE58AE" w:rsidRPr="008C2342">
        <w:rPr>
          <w:rFonts w:cstheme="minorHAnsi"/>
          <w:lang w:val="ro-RO"/>
        </w:rPr>
        <w:t>fiind</w:t>
      </w:r>
      <w:r w:rsidRPr="008C2342">
        <w:rPr>
          <w:rFonts w:cstheme="minorHAnsi"/>
          <w:lang w:val="ro-RO"/>
        </w:rPr>
        <w:t xml:space="preserve"> inerent contracte</w:t>
      </w:r>
      <w:r w:rsidR="001E2899" w:rsidRPr="008C2342">
        <w:rPr>
          <w:rFonts w:cstheme="minorHAnsi"/>
          <w:lang w:val="ro-RO"/>
        </w:rPr>
        <w:t>lor</w:t>
      </w:r>
      <w:r w:rsidRPr="008C2342">
        <w:rPr>
          <w:rFonts w:cstheme="minorHAnsi"/>
          <w:lang w:val="ro-RO"/>
        </w:rPr>
        <w:t xml:space="preserve"> și </w:t>
      </w:r>
      <w:r w:rsidR="00DE58AE" w:rsidRPr="008C2342">
        <w:rPr>
          <w:rFonts w:cstheme="minorHAnsi"/>
          <w:lang w:val="ro-RO"/>
        </w:rPr>
        <w:t>fiind</w:t>
      </w:r>
      <w:r w:rsidRPr="008C2342">
        <w:rPr>
          <w:rFonts w:cstheme="minorHAnsi"/>
          <w:lang w:val="ro-RO"/>
        </w:rPr>
        <w:t xml:space="preserve"> suportat de consumator. </w:t>
      </w:r>
      <w:r w:rsidR="00DE58AE" w:rsidRPr="008C2342">
        <w:rPr>
          <w:rFonts w:cstheme="minorHAnsi"/>
          <w:lang w:val="ro-RO"/>
        </w:rPr>
        <w:t xml:space="preserve">Instanțele franceze </w:t>
      </w:r>
      <w:r w:rsidR="001E2899" w:rsidRPr="008C2342">
        <w:rPr>
          <w:rFonts w:cstheme="minorHAnsi"/>
          <w:lang w:val="ro-RO"/>
        </w:rPr>
        <w:t>au fost sesizate</w:t>
      </w:r>
      <w:r w:rsidR="00DE58AE" w:rsidRPr="008C2342">
        <w:rPr>
          <w:rFonts w:cstheme="minorHAnsi"/>
          <w:lang w:val="ro-RO"/>
        </w:rPr>
        <w:t xml:space="preserve"> să analizeze </w:t>
      </w:r>
      <w:r w:rsidRPr="008C2342">
        <w:rPr>
          <w:rFonts w:cstheme="minorHAnsi"/>
          <w:lang w:val="ro-RO"/>
        </w:rPr>
        <w:t xml:space="preserve">dacă </w:t>
      </w:r>
      <w:r w:rsidR="00DE58AE" w:rsidRPr="008C2342">
        <w:rPr>
          <w:rFonts w:cstheme="minorHAnsi"/>
          <w:lang w:val="ro-RO"/>
        </w:rPr>
        <w:t>prevederile</w:t>
      </w:r>
      <w:r w:rsidRPr="008C2342">
        <w:rPr>
          <w:rFonts w:cstheme="minorHAnsi"/>
          <w:lang w:val="ro-RO"/>
        </w:rPr>
        <w:t xml:space="preserve"> contractelor de împrumut </w:t>
      </w:r>
      <w:r w:rsidR="007A2442" w:rsidRPr="008C2342">
        <w:rPr>
          <w:rFonts w:cstheme="minorHAnsi"/>
          <w:lang w:val="ro-RO"/>
        </w:rPr>
        <w:t>care cuprindeau astfel de clauze</w:t>
      </w:r>
      <w:r w:rsidR="00AB6DE4" w:rsidRPr="008C2342">
        <w:rPr>
          <w:rFonts w:cstheme="minorHAnsi"/>
          <w:lang w:val="ro-RO"/>
        </w:rPr>
        <w:t xml:space="preserve"> prezintă caracter abuziv</w:t>
      </w:r>
      <w:r w:rsidRPr="008C2342">
        <w:rPr>
          <w:rFonts w:cstheme="minorHAnsi"/>
          <w:lang w:val="ro-RO"/>
        </w:rPr>
        <w:t>, întrucât au expus consumatorii unui risc de schimb valutar neplafonat. În context</w:t>
      </w:r>
      <w:r w:rsidR="00AB6DE4" w:rsidRPr="008C2342">
        <w:rPr>
          <w:rFonts w:cstheme="minorHAnsi"/>
          <w:lang w:val="ro-RO"/>
        </w:rPr>
        <w:t>ul analizei astfel efectuate</w:t>
      </w:r>
      <w:r w:rsidRPr="008C2342">
        <w:rPr>
          <w:rFonts w:cstheme="minorHAnsi"/>
          <w:lang w:val="ro-RO"/>
        </w:rPr>
        <w:t xml:space="preserve">, </w:t>
      </w:r>
      <w:r w:rsidR="00AB6DE4" w:rsidRPr="008C2342">
        <w:rPr>
          <w:rFonts w:cstheme="minorHAnsi"/>
          <w:lang w:val="ro-RO"/>
        </w:rPr>
        <w:t>instanțele franceze</w:t>
      </w:r>
      <w:r w:rsidRPr="008C2342">
        <w:rPr>
          <w:rFonts w:cstheme="minorHAnsi"/>
          <w:lang w:val="ro-RO"/>
        </w:rPr>
        <w:t xml:space="preserve"> au sesizat Curtea de Justiție </w:t>
      </w:r>
      <w:r w:rsidR="00AB6DE4" w:rsidRPr="008C2342">
        <w:rPr>
          <w:rFonts w:cstheme="minorHAnsi"/>
          <w:lang w:val="ro-RO"/>
        </w:rPr>
        <w:t xml:space="preserve">a Uniunii Europene </w:t>
      </w:r>
      <w:r w:rsidRPr="008C2342">
        <w:rPr>
          <w:rFonts w:cstheme="minorHAnsi"/>
          <w:lang w:val="ro-RO"/>
        </w:rPr>
        <w:t xml:space="preserve">cu </w:t>
      </w:r>
      <w:r w:rsidR="00AB6DE4" w:rsidRPr="008C2342">
        <w:rPr>
          <w:rFonts w:cstheme="minorHAnsi"/>
          <w:lang w:val="ro-RO"/>
        </w:rPr>
        <w:t>mai multe</w:t>
      </w:r>
      <w:r w:rsidRPr="008C2342">
        <w:rPr>
          <w:rFonts w:cstheme="minorHAnsi"/>
          <w:lang w:val="ro-RO"/>
        </w:rPr>
        <w:t xml:space="preserve"> întrebări referitoare la interpretarea </w:t>
      </w:r>
      <w:r w:rsidR="00AB6DE4" w:rsidRPr="008C2342">
        <w:rPr>
          <w:rFonts w:cstheme="minorHAnsi"/>
          <w:lang w:val="ro-RO"/>
        </w:rPr>
        <w:t>D</w:t>
      </w:r>
      <w:r w:rsidRPr="008C2342">
        <w:rPr>
          <w:rFonts w:cstheme="minorHAnsi"/>
          <w:lang w:val="ro-RO"/>
        </w:rPr>
        <w:t>irectivei</w:t>
      </w:r>
      <w:r w:rsidR="00AB6DE4" w:rsidRPr="008C2342">
        <w:rPr>
          <w:rFonts w:cstheme="minorHAnsi"/>
          <w:lang w:val="ro-RO"/>
        </w:rPr>
        <w:t xml:space="preserve"> 93/13/CEE a Consiliului din 5 aprilie 1993 privind clauzele abuzive în contractele încheiate cu consumatorii</w:t>
      </w:r>
      <w:r w:rsidRPr="008C2342">
        <w:rPr>
          <w:rFonts w:cstheme="minorHAnsi"/>
          <w:lang w:val="ro-RO"/>
        </w:rPr>
        <w:t>.</w:t>
      </w:r>
    </w:p>
    <w:p w14:paraId="5C31245F" w14:textId="644D2D1F" w:rsidR="001E2899" w:rsidRPr="008C2342" w:rsidRDefault="001E2899" w:rsidP="00800875">
      <w:pPr>
        <w:spacing w:after="0"/>
        <w:jc w:val="both"/>
        <w:rPr>
          <w:rFonts w:cstheme="minorHAnsi"/>
          <w:lang w:val="ro-RO"/>
        </w:rPr>
      </w:pPr>
    </w:p>
    <w:p w14:paraId="7ECA883E" w14:textId="16BE49F2" w:rsidR="0051394E" w:rsidRPr="008C2342" w:rsidRDefault="001E2899" w:rsidP="00800875">
      <w:pPr>
        <w:spacing w:after="0"/>
        <w:jc w:val="both"/>
        <w:rPr>
          <w:rFonts w:cstheme="minorHAnsi"/>
          <w:lang w:val="ro-RO"/>
        </w:rPr>
      </w:pPr>
      <w:r w:rsidRPr="008C2342">
        <w:rPr>
          <w:rFonts w:cstheme="minorHAnsi"/>
          <w:lang w:val="ro-RO"/>
        </w:rPr>
        <w:t xml:space="preserve">Prin hotărârile </w:t>
      </w:r>
      <w:r w:rsidR="00162CF5" w:rsidRPr="008C2342">
        <w:rPr>
          <w:rFonts w:cstheme="minorHAnsi"/>
          <w:lang w:val="ro-RO"/>
        </w:rPr>
        <w:t>analizate</w:t>
      </w:r>
      <w:r w:rsidRPr="008C2342">
        <w:rPr>
          <w:rFonts w:cstheme="minorHAnsi"/>
          <w:lang w:val="ro-RO"/>
        </w:rPr>
        <w:t xml:space="preserve">, </w:t>
      </w:r>
      <w:r w:rsidR="00C53264" w:rsidRPr="008C2342">
        <w:rPr>
          <w:rFonts w:cstheme="minorHAnsi"/>
          <w:lang w:val="ro-RO"/>
        </w:rPr>
        <w:t>instanța comunitară</w:t>
      </w:r>
      <w:r w:rsidRPr="008C2342">
        <w:rPr>
          <w:rFonts w:cstheme="minorHAnsi"/>
          <w:lang w:val="ro-RO"/>
        </w:rPr>
        <w:t xml:space="preserve"> a răspuns întrebărilor cu care a fost sesizată, reafirmând unul dintre principiile care figurează în mod constant în practica sa recentă, conform căruia clauzele abuzive </w:t>
      </w:r>
      <w:r w:rsidR="00104ACF" w:rsidRPr="008C2342">
        <w:rPr>
          <w:rFonts w:cstheme="minorHAnsi"/>
          <w:lang w:val="ro-RO"/>
        </w:rPr>
        <w:t>incluse</w:t>
      </w:r>
      <w:r w:rsidRPr="008C2342">
        <w:rPr>
          <w:rFonts w:cstheme="minorHAnsi"/>
          <w:lang w:val="ro-RO"/>
        </w:rPr>
        <w:t xml:space="preserve"> într-un contract de consum nu creează obligații pentru consumator, astfel încât </w:t>
      </w:r>
      <w:r w:rsidR="00104ACF" w:rsidRPr="008C2342">
        <w:rPr>
          <w:rFonts w:cstheme="minorHAnsi"/>
          <w:lang w:val="ro-RO"/>
        </w:rPr>
        <w:t>acestea</w:t>
      </w:r>
      <w:r w:rsidRPr="008C2342">
        <w:rPr>
          <w:rFonts w:cstheme="minorHAnsi"/>
          <w:lang w:val="ro-RO"/>
        </w:rPr>
        <w:t xml:space="preserve"> nu pot să </w:t>
      </w:r>
      <w:r w:rsidR="00104ACF" w:rsidRPr="008C2342">
        <w:rPr>
          <w:rFonts w:cstheme="minorHAnsi"/>
          <w:lang w:val="ro-RO"/>
        </w:rPr>
        <w:t>producă</w:t>
      </w:r>
      <w:r w:rsidRPr="008C2342">
        <w:rPr>
          <w:rFonts w:cstheme="minorHAnsi"/>
          <w:lang w:val="ro-RO"/>
        </w:rPr>
        <w:t xml:space="preserve"> efect</w:t>
      </w:r>
      <w:r w:rsidR="00104ACF" w:rsidRPr="008C2342">
        <w:rPr>
          <w:rFonts w:cstheme="minorHAnsi"/>
          <w:lang w:val="ro-RO"/>
        </w:rPr>
        <w:t>e</w:t>
      </w:r>
      <w:r w:rsidRPr="008C2342">
        <w:rPr>
          <w:rFonts w:cstheme="minorHAnsi"/>
          <w:lang w:val="ro-RO"/>
        </w:rPr>
        <w:t xml:space="preserve"> asupra situației sale. În consecință, Curtea </w:t>
      </w:r>
      <w:r w:rsidR="00B76B8B" w:rsidRPr="008C2342">
        <w:rPr>
          <w:rFonts w:cstheme="minorHAnsi"/>
          <w:lang w:val="ro-RO"/>
        </w:rPr>
        <w:t xml:space="preserve">a </w:t>
      </w:r>
      <w:r w:rsidRPr="008C2342">
        <w:rPr>
          <w:rFonts w:cstheme="minorHAnsi"/>
          <w:lang w:val="ro-RO"/>
        </w:rPr>
        <w:t>consider</w:t>
      </w:r>
      <w:r w:rsidR="00B76B8B" w:rsidRPr="008C2342">
        <w:rPr>
          <w:rFonts w:cstheme="minorHAnsi"/>
          <w:lang w:val="ro-RO"/>
        </w:rPr>
        <w:t>at</w:t>
      </w:r>
      <w:r w:rsidRPr="008C2342">
        <w:rPr>
          <w:rFonts w:cstheme="minorHAnsi"/>
          <w:lang w:val="ro-RO"/>
        </w:rPr>
        <w:t xml:space="preserve"> că o cerere formulată de consumator în scopul constatării caracterului abuziv al unei clauze incluse într-un asemenea contract nu poate fi supusă niciunui termen de prescripție</w:t>
      </w:r>
      <w:r w:rsidR="00162CF5" w:rsidRPr="008C2342">
        <w:rPr>
          <w:rFonts w:cstheme="minorHAnsi"/>
          <w:lang w:val="ro-RO"/>
        </w:rPr>
        <w:t>, putând fi, practic, formulată oricând</w:t>
      </w:r>
      <w:r w:rsidRPr="008C2342">
        <w:rPr>
          <w:rFonts w:cstheme="minorHAnsi"/>
          <w:lang w:val="ro-RO"/>
        </w:rPr>
        <w:t xml:space="preserve">. </w:t>
      </w:r>
    </w:p>
    <w:p w14:paraId="4D7C31CD" w14:textId="77777777" w:rsidR="0051394E" w:rsidRPr="008C2342" w:rsidRDefault="0051394E" w:rsidP="00800875">
      <w:pPr>
        <w:spacing w:after="0"/>
        <w:jc w:val="both"/>
        <w:rPr>
          <w:rFonts w:cstheme="minorHAnsi"/>
          <w:lang w:val="ro-RO"/>
        </w:rPr>
      </w:pPr>
    </w:p>
    <w:p w14:paraId="1954C221" w14:textId="3571318B" w:rsidR="001E2899" w:rsidRPr="008C2342" w:rsidRDefault="00104ACF" w:rsidP="00800875">
      <w:pPr>
        <w:spacing w:after="0"/>
        <w:jc w:val="both"/>
        <w:rPr>
          <w:rFonts w:cstheme="minorHAnsi"/>
          <w:lang w:val="ro-RO"/>
        </w:rPr>
      </w:pPr>
      <w:r w:rsidRPr="008C2342">
        <w:rPr>
          <w:rFonts w:cstheme="minorHAnsi"/>
          <w:lang w:val="ro-RO"/>
        </w:rPr>
        <w:t xml:space="preserve">Dimpotrivă, Curtea a subliniat (în mod similar punctului său de vedere </w:t>
      </w:r>
      <w:r w:rsidR="008742B9" w:rsidRPr="008C2342">
        <w:rPr>
          <w:rFonts w:cstheme="minorHAnsi"/>
          <w:lang w:val="ro-RO"/>
        </w:rPr>
        <w:t xml:space="preserve">deja </w:t>
      </w:r>
      <w:r w:rsidRPr="008C2342">
        <w:rPr>
          <w:rFonts w:cstheme="minorHAnsi"/>
          <w:lang w:val="ro-RO"/>
        </w:rPr>
        <w:t>exprimat și în alte cauze, ca de exemplu cauzele conex</w:t>
      </w:r>
      <w:r w:rsidR="00AD303D" w:rsidRPr="008C2342">
        <w:rPr>
          <w:rFonts w:cstheme="minorHAnsi"/>
          <w:lang w:val="ro-RO"/>
        </w:rPr>
        <w:t>at</w:t>
      </w:r>
      <w:r w:rsidRPr="008C2342">
        <w:rPr>
          <w:rFonts w:cstheme="minorHAnsi"/>
          <w:lang w:val="ro-RO"/>
        </w:rPr>
        <w:t xml:space="preserve">e C-698/18 și C-699/19) </w:t>
      </w:r>
      <w:r w:rsidR="001E2899" w:rsidRPr="008C2342">
        <w:rPr>
          <w:rFonts w:cstheme="minorHAnsi"/>
          <w:lang w:val="ro-RO"/>
        </w:rPr>
        <w:t xml:space="preserve">că </w:t>
      </w:r>
      <w:r w:rsidRPr="008C2342">
        <w:rPr>
          <w:rFonts w:cstheme="minorHAnsi"/>
          <w:lang w:val="ro-RO"/>
        </w:rPr>
        <w:t>D</w:t>
      </w:r>
      <w:r w:rsidR="001E2899" w:rsidRPr="008C2342">
        <w:rPr>
          <w:rFonts w:cstheme="minorHAnsi"/>
          <w:lang w:val="ro-RO"/>
        </w:rPr>
        <w:t xml:space="preserve">irectiva </w:t>
      </w:r>
      <w:r w:rsidRPr="008C2342">
        <w:rPr>
          <w:rFonts w:cstheme="minorHAnsi"/>
          <w:lang w:val="ro-RO"/>
        </w:rPr>
        <w:t xml:space="preserve">93/13/CEE </w:t>
      </w:r>
      <w:r w:rsidR="001E2899" w:rsidRPr="008C2342">
        <w:rPr>
          <w:rFonts w:cstheme="minorHAnsi"/>
          <w:lang w:val="ro-RO"/>
        </w:rPr>
        <w:t xml:space="preserve">nu se opune unei reglementări naționale care </w:t>
      </w:r>
      <w:r w:rsidR="00AD303D" w:rsidRPr="008C2342">
        <w:rPr>
          <w:rFonts w:cstheme="minorHAnsi"/>
          <w:lang w:val="ro-RO"/>
        </w:rPr>
        <w:t>stabilește caracterul prescriptibil al</w:t>
      </w:r>
      <w:r w:rsidR="001E2899" w:rsidRPr="008C2342">
        <w:rPr>
          <w:rFonts w:cstheme="minorHAnsi"/>
          <w:lang w:val="ro-RO"/>
        </w:rPr>
        <w:t xml:space="preserve"> acțiun</w:t>
      </w:r>
      <w:r w:rsidR="00AD303D" w:rsidRPr="008C2342">
        <w:rPr>
          <w:rFonts w:cstheme="minorHAnsi"/>
          <w:lang w:val="ro-RO"/>
        </w:rPr>
        <w:t>ii</w:t>
      </w:r>
      <w:r w:rsidR="001E2899" w:rsidRPr="008C2342">
        <w:rPr>
          <w:rFonts w:cstheme="minorHAnsi"/>
          <w:lang w:val="ro-RO"/>
        </w:rPr>
        <w:t xml:space="preserve"> prin care se urmărește </w:t>
      </w:r>
      <w:r w:rsidR="00AD303D" w:rsidRPr="008C2342">
        <w:rPr>
          <w:rFonts w:cstheme="minorHAnsi"/>
          <w:lang w:val="ro-RO"/>
        </w:rPr>
        <w:t xml:space="preserve">valorificarea </w:t>
      </w:r>
      <w:r w:rsidR="001E2899" w:rsidRPr="008C2342">
        <w:rPr>
          <w:rFonts w:cstheme="minorHAnsi"/>
          <w:lang w:val="ro-RO"/>
        </w:rPr>
        <w:t>efectel</w:t>
      </w:r>
      <w:r w:rsidR="00AD303D" w:rsidRPr="008C2342">
        <w:rPr>
          <w:rFonts w:cstheme="minorHAnsi"/>
          <w:lang w:val="ro-RO"/>
        </w:rPr>
        <w:t>or</w:t>
      </w:r>
      <w:r w:rsidR="001E2899" w:rsidRPr="008C2342">
        <w:rPr>
          <w:rFonts w:cstheme="minorHAnsi"/>
          <w:lang w:val="ro-RO"/>
        </w:rPr>
        <w:t xml:space="preserve"> restitutorii ale</w:t>
      </w:r>
      <w:r w:rsidRPr="008C2342">
        <w:rPr>
          <w:rFonts w:cstheme="minorHAnsi"/>
          <w:lang w:val="ro-RO"/>
        </w:rPr>
        <w:t xml:space="preserve"> </w:t>
      </w:r>
      <w:r w:rsidR="001E2899" w:rsidRPr="008C2342">
        <w:rPr>
          <w:rFonts w:cstheme="minorHAnsi"/>
          <w:lang w:val="ro-RO"/>
        </w:rPr>
        <w:t>acestei constatări</w:t>
      </w:r>
      <w:r w:rsidR="00AD303D" w:rsidRPr="008C2342">
        <w:rPr>
          <w:rFonts w:cstheme="minorHAnsi"/>
          <w:lang w:val="ro-RO"/>
        </w:rPr>
        <w:t xml:space="preserve"> a caracterului abuziv</w:t>
      </w:r>
      <w:r w:rsidR="001E2899" w:rsidRPr="008C2342">
        <w:rPr>
          <w:rFonts w:cstheme="minorHAnsi"/>
          <w:lang w:val="ro-RO"/>
        </w:rPr>
        <w:t xml:space="preserve">. Cu toate acestea, Curtea </w:t>
      </w:r>
      <w:r w:rsidR="00AD303D" w:rsidRPr="008C2342">
        <w:rPr>
          <w:rFonts w:cstheme="minorHAnsi"/>
          <w:lang w:val="ro-RO"/>
        </w:rPr>
        <w:t xml:space="preserve">de Justiție a Uniunii Europene </w:t>
      </w:r>
      <w:r w:rsidR="008742B9" w:rsidRPr="008C2342">
        <w:rPr>
          <w:rFonts w:cstheme="minorHAnsi"/>
          <w:lang w:val="ro-RO"/>
        </w:rPr>
        <w:t>a atenuat</w:t>
      </w:r>
      <w:r w:rsidR="00C53264" w:rsidRPr="008C2342">
        <w:rPr>
          <w:rFonts w:cstheme="minorHAnsi"/>
          <w:lang w:val="ro-RO"/>
        </w:rPr>
        <w:t xml:space="preserve"> acest principiu, stabilind </w:t>
      </w:r>
      <w:r w:rsidR="001E2899" w:rsidRPr="008C2342">
        <w:rPr>
          <w:rFonts w:cstheme="minorHAnsi"/>
          <w:lang w:val="ro-RO"/>
        </w:rPr>
        <w:t>că un termen de prescripție pentru restituirea</w:t>
      </w:r>
      <w:r w:rsidRPr="008C2342">
        <w:rPr>
          <w:rFonts w:cstheme="minorHAnsi"/>
          <w:lang w:val="ro-RO"/>
        </w:rPr>
        <w:t xml:space="preserve"> </w:t>
      </w:r>
      <w:r w:rsidR="001E2899" w:rsidRPr="008C2342">
        <w:rPr>
          <w:rFonts w:cstheme="minorHAnsi"/>
          <w:lang w:val="ro-RO"/>
        </w:rPr>
        <w:t>sumelor plătite în temeiul unei clauze abuzive</w:t>
      </w:r>
      <w:r w:rsidR="00B76B8B" w:rsidRPr="008C2342">
        <w:rPr>
          <w:rFonts w:cstheme="minorHAnsi"/>
          <w:lang w:val="ro-RO"/>
        </w:rPr>
        <w:t>,</w:t>
      </w:r>
      <w:r w:rsidR="001E2899" w:rsidRPr="008C2342">
        <w:rPr>
          <w:rFonts w:cstheme="minorHAnsi"/>
          <w:lang w:val="ro-RO"/>
        </w:rPr>
        <w:t xml:space="preserve"> </w:t>
      </w:r>
      <w:r w:rsidR="00B76B8B" w:rsidRPr="008C2342">
        <w:rPr>
          <w:rFonts w:cstheme="minorHAnsi"/>
          <w:lang w:val="ro-RO"/>
        </w:rPr>
        <w:t>cu privire la care există riscul</w:t>
      </w:r>
      <w:r w:rsidR="001E2899" w:rsidRPr="008C2342">
        <w:rPr>
          <w:rFonts w:cstheme="minorHAnsi"/>
          <w:lang w:val="ro-RO"/>
        </w:rPr>
        <w:t xml:space="preserve"> să fi expirat înainte chiar ca</w:t>
      </w:r>
      <w:r w:rsidRPr="008C2342">
        <w:rPr>
          <w:rFonts w:cstheme="minorHAnsi"/>
          <w:lang w:val="ro-RO"/>
        </w:rPr>
        <w:t xml:space="preserve"> </w:t>
      </w:r>
      <w:r w:rsidR="001E2899" w:rsidRPr="008C2342">
        <w:rPr>
          <w:rFonts w:cstheme="minorHAnsi"/>
          <w:lang w:val="ro-RO"/>
        </w:rPr>
        <w:t xml:space="preserve">consumatorul să fi putut să </w:t>
      </w:r>
      <w:r w:rsidR="00B76B8B" w:rsidRPr="008C2342">
        <w:rPr>
          <w:rFonts w:cstheme="minorHAnsi"/>
          <w:lang w:val="ro-RO"/>
        </w:rPr>
        <w:t>cunoască</w:t>
      </w:r>
      <w:r w:rsidR="001E2899" w:rsidRPr="008C2342">
        <w:rPr>
          <w:rFonts w:cstheme="minorHAnsi"/>
          <w:lang w:val="ro-RO"/>
        </w:rPr>
        <w:t xml:space="preserve"> natura abuzivă a acestei clauze</w:t>
      </w:r>
      <w:r w:rsidR="00B76B8B" w:rsidRPr="008C2342">
        <w:rPr>
          <w:rFonts w:cstheme="minorHAnsi"/>
          <w:lang w:val="ro-RO"/>
        </w:rPr>
        <w:t>,</w:t>
      </w:r>
      <w:r w:rsidR="001E2899" w:rsidRPr="008C2342">
        <w:rPr>
          <w:rFonts w:cstheme="minorHAnsi"/>
          <w:lang w:val="ro-RO"/>
        </w:rPr>
        <w:t xml:space="preserve"> nu </w:t>
      </w:r>
      <w:r w:rsidR="00C53264" w:rsidRPr="008C2342">
        <w:rPr>
          <w:rFonts w:cstheme="minorHAnsi"/>
          <w:lang w:val="ro-RO"/>
        </w:rPr>
        <w:t>este</w:t>
      </w:r>
      <w:r w:rsidR="001E2899" w:rsidRPr="008C2342">
        <w:rPr>
          <w:rFonts w:cstheme="minorHAnsi"/>
          <w:lang w:val="ro-RO"/>
        </w:rPr>
        <w:t xml:space="preserve"> compatibilă cu directiva.</w:t>
      </w:r>
      <w:r w:rsidR="001E2899" w:rsidRPr="008C2342">
        <w:rPr>
          <w:rFonts w:cstheme="minorHAnsi"/>
          <w:lang w:val="ro-RO"/>
        </w:rPr>
        <w:cr/>
      </w:r>
    </w:p>
    <w:p w14:paraId="34799B13" w14:textId="4AE871A7" w:rsidR="00757D14" w:rsidRPr="008C2342" w:rsidRDefault="00C53264" w:rsidP="00757D14">
      <w:pPr>
        <w:spacing w:after="0"/>
        <w:jc w:val="both"/>
        <w:rPr>
          <w:rFonts w:cstheme="minorHAnsi"/>
          <w:lang w:val="ro-RO"/>
        </w:rPr>
      </w:pPr>
      <w:r w:rsidRPr="008C2342">
        <w:rPr>
          <w:rFonts w:cstheme="minorHAnsi"/>
          <w:lang w:val="ro-RO"/>
        </w:rPr>
        <w:t xml:space="preserve">În ceea ce privește întinderea obligației de informare care revine profesionistului, Curtea a stabilit, prin hotărârile analizate, că faptul comunicării, de către profesionist, la momentul încheierii contractului, a unor informații, chiar numeroase, nu constituie o comunicare transparentă, dacă informațiile astfel </w:t>
      </w:r>
      <w:r w:rsidRPr="008C2342">
        <w:rPr>
          <w:rFonts w:cstheme="minorHAnsi"/>
          <w:lang w:val="ro-RO"/>
        </w:rPr>
        <w:lastRenderedPageBreak/>
        <w:t xml:space="preserve">comunicate se grefează pe ipoteza că paritatea dintre moneda de calcul și moneda de plată va rămâne stabilă pe toată durata contractului. </w:t>
      </w:r>
      <w:r w:rsidR="0051394E" w:rsidRPr="008C2342">
        <w:rPr>
          <w:rFonts w:cstheme="minorHAnsi"/>
          <w:lang w:val="ro-RO"/>
        </w:rPr>
        <w:t xml:space="preserve">În alți termeni, în viziunea instanței comunitare, cerințele unei informări transparente nu sunt respectate în cazul în care </w:t>
      </w:r>
      <w:r w:rsidRPr="008C2342">
        <w:rPr>
          <w:rFonts w:cstheme="minorHAnsi"/>
          <w:lang w:val="ro-RO"/>
        </w:rPr>
        <w:t>consumatorul nu a fost avertizat de către profesionist cu privire la contextul</w:t>
      </w:r>
      <w:r w:rsidR="0051394E" w:rsidRPr="008C2342">
        <w:rPr>
          <w:rFonts w:cstheme="minorHAnsi"/>
          <w:lang w:val="ro-RO"/>
        </w:rPr>
        <w:t xml:space="preserve"> </w:t>
      </w:r>
      <w:r w:rsidRPr="008C2342">
        <w:rPr>
          <w:rFonts w:cstheme="minorHAnsi"/>
          <w:lang w:val="ro-RO"/>
        </w:rPr>
        <w:t xml:space="preserve">economic susceptibil să </w:t>
      </w:r>
      <w:r w:rsidR="0051394E" w:rsidRPr="008C2342">
        <w:rPr>
          <w:rFonts w:cstheme="minorHAnsi"/>
          <w:lang w:val="ro-RO"/>
        </w:rPr>
        <w:t>genereze consecințe</w:t>
      </w:r>
      <w:r w:rsidRPr="008C2342">
        <w:rPr>
          <w:rFonts w:cstheme="minorHAnsi"/>
          <w:lang w:val="ro-RO"/>
        </w:rPr>
        <w:t xml:space="preserve"> asupra </w:t>
      </w:r>
      <w:r w:rsidR="0051394E" w:rsidRPr="008C2342">
        <w:rPr>
          <w:rFonts w:cstheme="minorHAnsi"/>
          <w:lang w:val="ro-RO"/>
        </w:rPr>
        <w:t>fluctuațiilor</w:t>
      </w:r>
      <w:r w:rsidRPr="008C2342">
        <w:rPr>
          <w:rFonts w:cstheme="minorHAnsi"/>
          <w:lang w:val="ro-RO"/>
        </w:rPr>
        <w:t xml:space="preserve"> </w:t>
      </w:r>
      <w:r w:rsidR="0051394E" w:rsidRPr="008C2342">
        <w:rPr>
          <w:rFonts w:cstheme="minorHAnsi"/>
          <w:lang w:val="ro-RO"/>
        </w:rPr>
        <w:t>cursului</w:t>
      </w:r>
      <w:r w:rsidRPr="008C2342">
        <w:rPr>
          <w:rFonts w:cstheme="minorHAnsi"/>
          <w:lang w:val="ro-RO"/>
        </w:rPr>
        <w:t xml:space="preserve"> de schimb valutar.</w:t>
      </w:r>
      <w:r w:rsidR="00757D14" w:rsidRPr="008C2342">
        <w:rPr>
          <w:rFonts w:cstheme="minorHAnsi"/>
          <w:lang w:val="ro-RO"/>
        </w:rPr>
        <w:t xml:space="preserve"> Dimpotrivă, conform Curții, cerința de transparență este îndeplinită </w:t>
      </w:r>
      <w:r w:rsidR="008E14EC" w:rsidRPr="008C2342">
        <w:rPr>
          <w:rFonts w:cstheme="minorHAnsi"/>
          <w:lang w:val="ro-RO"/>
        </w:rPr>
        <w:t>dacă</w:t>
      </w:r>
      <w:r w:rsidR="00757D14" w:rsidRPr="008C2342">
        <w:rPr>
          <w:rFonts w:cstheme="minorHAnsi"/>
          <w:lang w:val="ro-RO"/>
        </w:rPr>
        <w:t xml:space="preserve"> profesionistul a oferit consumatorului informații suficiente și exacte</w:t>
      </w:r>
      <w:r w:rsidR="008E14EC" w:rsidRPr="008C2342">
        <w:rPr>
          <w:rFonts w:cstheme="minorHAnsi"/>
          <w:lang w:val="ro-RO"/>
        </w:rPr>
        <w:t>,</w:t>
      </w:r>
      <w:r w:rsidR="00757D14" w:rsidRPr="008C2342">
        <w:rPr>
          <w:rFonts w:cstheme="minorHAnsi"/>
          <w:lang w:val="ro-RO"/>
        </w:rPr>
        <w:t xml:space="preserve"> care permit acestuia din urmă să înțeleagă funcționarea mecanismului financiar și să evalueze riscul consecințelor economice negative ale unor astfel de clauze asupra obligațiilor sale financiare pe toată durata contractului. În aprecierea caracterului suficient și exact ale informațiilor care trebuie furnizate de profesionist, instanța comunitară se raportează la un standard abstract, anume acela al consumatorului mediu, normal informat și suficient de atent și de avizat.</w:t>
      </w:r>
    </w:p>
    <w:p w14:paraId="0D6352BB" w14:textId="77777777" w:rsidR="00C53264" w:rsidRPr="008C2342" w:rsidRDefault="00C53264" w:rsidP="00C53264">
      <w:pPr>
        <w:spacing w:after="0"/>
        <w:jc w:val="both"/>
        <w:rPr>
          <w:rFonts w:cstheme="minorHAnsi"/>
          <w:lang w:val="ro-RO"/>
        </w:rPr>
      </w:pPr>
    </w:p>
    <w:p w14:paraId="43FCC7B4" w14:textId="65825338" w:rsidR="001E2899" w:rsidRPr="008C2342" w:rsidRDefault="00757D14" w:rsidP="00C53264">
      <w:pPr>
        <w:spacing w:after="0"/>
        <w:jc w:val="both"/>
        <w:rPr>
          <w:rFonts w:cstheme="minorHAnsi"/>
          <w:lang w:val="ro-RO"/>
        </w:rPr>
      </w:pPr>
      <w:r w:rsidRPr="008C2342">
        <w:rPr>
          <w:rFonts w:cstheme="minorHAnsi"/>
          <w:lang w:val="ro-RO"/>
        </w:rPr>
        <w:t xml:space="preserve">Totodată, pornind </w:t>
      </w:r>
      <w:r w:rsidR="008742B9" w:rsidRPr="008C2342">
        <w:rPr>
          <w:rFonts w:cstheme="minorHAnsi"/>
          <w:lang w:val="ro-RO"/>
        </w:rPr>
        <w:t xml:space="preserve">tot </w:t>
      </w:r>
      <w:r w:rsidRPr="008C2342">
        <w:rPr>
          <w:rFonts w:cstheme="minorHAnsi"/>
          <w:lang w:val="ro-RO"/>
        </w:rPr>
        <w:t>de la</w:t>
      </w:r>
      <w:r w:rsidR="00C53264" w:rsidRPr="008C2342">
        <w:rPr>
          <w:rFonts w:cstheme="minorHAnsi"/>
          <w:lang w:val="ro-RO"/>
        </w:rPr>
        <w:t xml:space="preserve"> </w:t>
      </w:r>
      <w:r w:rsidRPr="008C2342">
        <w:rPr>
          <w:rFonts w:cstheme="minorHAnsi"/>
          <w:lang w:val="ro-RO"/>
        </w:rPr>
        <w:t xml:space="preserve">prezumția superiorității </w:t>
      </w:r>
      <w:r w:rsidR="00C53264" w:rsidRPr="008C2342">
        <w:rPr>
          <w:rFonts w:cstheme="minorHAnsi"/>
          <w:lang w:val="ro-RO"/>
        </w:rPr>
        <w:t>cunoștințel</w:t>
      </w:r>
      <w:r w:rsidRPr="008C2342">
        <w:rPr>
          <w:rFonts w:cstheme="minorHAnsi"/>
          <w:lang w:val="ro-RO"/>
        </w:rPr>
        <w:t>or</w:t>
      </w:r>
      <w:r w:rsidR="00C53264" w:rsidRPr="008C2342">
        <w:rPr>
          <w:rFonts w:cstheme="minorHAnsi"/>
          <w:lang w:val="ro-RO"/>
        </w:rPr>
        <w:t xml:space="preserve"> profesionistului </w:t>
      </w:r>
      <w:r w:rsidR="00C21DA5" w:rsidRPr="008C2342">
        <w:rPr>
          <w:rFonts w:cstheme="minorHAnsi"/>
          <w:lang w:val="ro-RO"/>
        </w:rPr>
        <w:t>privitoare la</w:t>
      </w:r>
      <w:r w:rsidR="00C53264" w:rsidRPr="008C2342">
        <w:rPr>
          <w:rFonts w:cstheme="minorHAnsi"/>
          <w:lang w:val="ro-RO"/>
        </w:rPr>
        <w:t xml:space="preserve"> contextul economic</w:t>
      </w:r>
      <w:r w:rsidRPr="008C2342">
        <w:rPr>
          <w:rFonts w:cstheme="minorHAnsi"/>
          <w:lang w:val="ro-RO"/>
        </w:rPr>
        <w:t xml:space="preserve"> </w:t>
      </w:r>
      <w:r w:rsidR="00C53264" w:rsidRPr="008C2342">
        <w:rPr>
          <w:rFonts w:cstheme="minorHAnsi"/>
          <w:lang w:val="ro-RO"/>
        </w:rPr>
        <w:t>previzibil</w:t>
      </w:r>
      <w:r w:rsidRPr="008C2342">
        <w:rPr>
          <w:rFonts w:cstheme="minorHAnsi"/>
          <w:lang w:val="ro-RO"/>
        </w:rPr>
        <w:t xml:space="preserve"> ori variația </w:t>
      </w:r>
      <w:r w:rsidR="00C53264" w:rsidRPr="008C2342">
        <w:rPr>
          <w:rFonts w:cstheme="minorHAnsi"/>
          <w:lang w:val="ro-RO"/>
        </w:rPr>
        <w:t>cursu</w:t>
      </w:r>
      <w:r w:rsidRPr="008C2342">
        <w:rPr>
          <w:rFonts w:cstheme="minorHAnsi"/>
          <w:lang w:val="ro-RO"/>
        </w:rPr>
        <w:t xml:space="preserve">lui </w:t>
      </w:r>
      <w:r w:rsidR="00C53264" w:rsidRPr="008C2342">
        <w:rPr>
          <w:rFonts w:cstheme="minorHAnsi"/>
          <w:lang w:val="ro-RO"/>
        </w:rPr>
        <w:t xml:space="preserve">de schimb valutar, Curtea </w:t>
      </w:r>
      <w:r w:rsidR="00C21DA5" w:rsidRPr="008C2342">
        <w:rPr>
          <w:rFonts w:cstheme="minorHAnsi"/>
          <w:lang w:val="ro-RO"/>
        </w:rPr>
        <w:t>a apreciat</w:t>
      </w:r>
      <w:r w:rsidR="00C53264" w:rsidRPr="008C2342">
        <w:rPr>
          <w:rFonts w:cstheme="minorHAnsi"/>
          <w:lang w:val="ro-RO"/>
        </w:rPr>
        <w:t xml:space="preserve"> că </w:t>
      </w:r>
      <w:r w:rsidR="00C21DA5" w:rsidRPr="008C2342">
        <w:rPr>
          <w:rFonts w:cstheme="minorHAnsi"/>
          <w:lang w:val="ro-RO"/>
        </w:rPr>
        <w:t>astfel de</w:t>
      </w:r>
      <w:r w:rsidR="00C53264" w:rsidRPr="008C2342">
        <w:rPr>
          <w:rFonts w:cstheme="minorHAnsi"/>
          <w:lang w:val="ro-RO"/>
        </w:rPr>
        <w:t xml:space="preserve"> clauze pot </w:t>
      </w:r>
      <w:r w:rsidR="00C21DA5" w:rsidRPr="008C2342">
        <w:rPr>
          <w:rFonts w:cstheme="minorHAnsi"/>
          <w:lang w:val="ro-RO"/>
        </w:rPr>
        <w:t>genera un</w:t>
      </w:r>
      <w:r w:rsidR="00C53264" w:rsidRPr="008C2342">
        <w:rPr>
          <w:rFonts w:cstheme="minorHAnsi"/>
          <w:lang w:val="ro-RO"/>
        </w:rPr>
        <w:t xml:space="preserve"> dezechilibru</w:t>
      </w:r>
      <w:r w:rsidR="00C21DA5" w:rsidRPr="008C2342">
        <w:rPr>
          <w:rFonts w:cstheme="minorHAnsi"/>
          <w:lang w:val="ro-RO"/>
        </w:rPr>
        <w:t xml:space="preserve"> </w:t>
      </w:r>
      <w:r w:rsidR="00C53264" w:rsidRPr="008C2342">
        <w:rPr>
          <w:rFonts w:cstheme="minorHAnsi"/>
          <w:lang w:val="ro-RO"/>
        </w:rPr>
        <w:t>semnificativ între drepturile și obligațiile părților care decurg din contractul de împrumut, în</w:t>
      </w:r>
      <w:r w:rsidR="00C21DA5" w:rsidRPr="008C2342">
        <w:rPr>
          <w:rFonts w:cstheme="minorHAnsi"/>
          <w:lang w:val="ro-RO"/>
        </w:rPr>
        <w:t xml:space="preserve"> </w:t>
      </w:r>
      <w:r w:rsidR="00C53264" w:rsidRPr="008C2342">
        <w:rPr>
          <w:rFonts w:cstheme="minorHAnsi"/>
          <w:lang w:val="ro-RO"/>
        </w:rPr>
        <w:t>detrimentul consumatorului</w:t>
      </w:r>
      <w:r w:rsidR="00C21DA5" w:rsidRPr="008C2342">
        <w:rPr>
          <w:rFonts w:cstheme="minorHAnsi"/>
          <w:lang w:val="ro-RO"/>
        </w:rPr>
        <w:t xml:space="preserve">, în ipoteza în care </w:t>
      </w:r>
      <w:r w:rsidR="00C53264" w:rsidRPr="008C2342">
        <w:rPr>
          <w:rFonts w:cstheme="minorHAnsi"/>
          <w:lang w:val="ro-RO"/>
        </w:rPr>
        <w:t>profesionistul nu a respectat cerința de</w:t>
      </w:r>
      <w:r w:rsidR="00C21DA5" w:rsidRPr="008C2342">
        <w:rPr>
          <w:rFonts w:cstheme="minorHAnsi"/>
          <w:lang w:val="ro-RO"/>
        </w:rPr>
        <w:t xml:space="preserve"> </w:t>
      </w:r>
      <w:r w:rsidR="00C53264" w:rsidRPr="008C2342">
        <w:rPr>
          <w:rFonts w:cstheme="minorHAnsi"/>
          <w:lang w:val="ro-RO"/>
        </w:rPr>
        <w:t xml:space="preserve">transparență față de consumator, </w:t>
      </w:r>
      <w:r w:rsidR="00C21DA5" w:rsidRPr="008C2342">
        <w:rPr>
          <w:rFonts w:cstheme="minorHAnsi"/>
          <w:lang w:val="ro-RO"/>
        </w:rPr>
        <w:t>întrucât acesta din urmă tr</w:t>
      </w:r>
      <w:r w:rsidR="00C53264" w:rsidRPr="008C2342">
        <w:rPr>
          <w:rFonts w:cstheme="minorHAnsi"/>
          <w:lang w:val="ro-RO"/>
        </w:rPr>
        <w:t>ebuie să suporte costul evoluției cursurilor de</w:t>
      </w:r>
      <w:r w:rsidR="00C21DA5" w:rsidRPr="008C2342">
        <w:rPr>
          <w:rFonts w:cstheme="minorHAnsi"/>
          <w:lang w:val="ro-RO"/>
        </w:rPr>
        <w:t xml:space="preserve"> </w:t>
      </w:r>
      <w:r w:rsidR="00C53264" w:rsidRPr="008C2342">
        <w:rPr>
          <w:rFonts w:cstheme="minorHAnsi"/>
          <w:lang w:val="ro-RO"/>
        </w:rPr>
        <w:t>schimb la termen.</w:t>
      </w:r>
    </w:p>
    <w:p w14:paraId="53BF7FB5" w14:textId="74931FF6" w:rsidR="00DB6650" w:rsidRPr="008C2342" w:rsidRDefault="00DB6650" w:rsidP="00C53264">
      <w:pPr>
        <w:spacing w:after="0"/>
        <w:jc w:val="both"/>
        <w:rPr>
          <w:rFonts w:cstheme="minorHAnsi"/>
          <w:lang w:val="ro-RO"/>
        </w:rPr>
      </w:pPr>
    </w:p>
    <w:p w14:paraId="4B3E1F12" w14:textId="57E8E74A" w:rsidR="00DB6650" w:rsidRPr="008C2342" w:rsidRDefault="00DB6650" w:rsidP="00C53264">
      <w:pPr>
        <w:spacing w:after="0"/>
        <w:jc w:val="both"/>
        <w:rPr>
          <w:rFonts w:cstheme="minorHAnsi"/>
          <w:b/>
          <w:lang w:val="ro-RO"/>
        </w:rPr>
      </w:pPr>
      <w:r w:rsidRPr="008C2342">
        <w:rPr>
          <w:rFonts w:cstheme="minorHAnsi"/>
          <w:b/>
          <w:lang w:val="ro-RO"/>
        </w:rPr>
        <w:t xml:space="preserve">Hotărârile analizate lasă în continuare deschisă dezbaterea cu privire la chestiunea </w:t>
      </w:r>
      <w:r w:rsidR="00515367" w:rsidRPr="008C2342">
        <w:rPr>
          <w:rFonts w:cstheme="minorHAnsi"/>
          <w:b/>
          <w:lang w:val="ro-RO"/>
        </w:rPr>
        <w:t xml:space="preserve">caracterului suficient și exact al informațiilor pe care profesionistul trebuie să le ofere consumatorului </w:t>
      </w:r>
      <w:r w:rsidR="00D33313" w:rsidRPr="008C2342">
        <w:rPr>
          <w:rFonts w:cstheme="minorHAnsi"/>
          <w:b/>
          <w:lang w:val="ro-RO"/>
        </w:rPr>
        <w:t>astfel încât</w:t>
      </w:r>
      <w:r w:rsidR="00515367" w:rsidRPr="008C2342">
        <w:rPr>
          <w:rFonts w:cstheme="minorHAnsi"/>
          <w:b/>
          <w:lang w:val="ro-RO"/>
        </w:rPr>
        <w:t xml:space="preserve"> exigențele unei informări transparente ale acestuia din urmă să fie considerate îndeplinite. Cel mai probabil, </w:t>
      </w:r>
      <w:r w:rsidR="00D33313" w:rsidRPr="008C2342">
        <w:rPr>
          <w:rFonts w:cstheme="minorHAnsi"/>
          <w:b/>
          <w:lang w:val="ro-RO"/>
        </w:rPr>
        <w:t xml:space="preserve">aceste aspecte vor fi lămurite de către instanțele naționale, </w:t>
      </w:r>
      <w:r w:rsidR="005A72D9" w:rsidRPr="008C2342">
        <w:rPr>
          <w:rFonts w:cstheme="minorHAnsi"/>
          <w:b/>
          <w:lang w:val="ro-RO"/>
        </w:rPr>
        <w:t xml:space="preserve">pe baza unor analize efectuate de la caz la caz, </w:t>
      </w:r>
      <w:r w:rsidR="00D33313" w:rsidRPr="008C2342">
        <w:rPr>
          <w:rFonts w:cstheme="minorHAnsi"/>
          <w:b/>
          <w:lang w:val="ro-RO"/>
        </w:rPr>
        <w:t xml:space="preserve">în </w:t>
      </w:r>
      <w:r w:rsidR="005A72D9" w:rsidRPr="008C2342">
        <w:rPr>
          <w:rFonts w:cstheme="minorHAnsi"/>
          <w:b/>
          <w:lang w:val="ro-RO"/>
        </w:rPr>
        <w:t>litigiile</w:t>
      </w:r>
      <w:r w:rsidR="00D33313" w:rsidRPr="008C2342">
        <w:rPr>
          <w:rFonts w:cstheme="minorHAnsi"/>
          <w:b/>
          <w:lang w:val="ro-RO"/>
        </w:rPr>
        <w:t xml:space="preserve"> </w:t>
      </w:r>
      <w:r w:rsidR="005A72D9" w:rsidRPr="008C2342">
        <w:rPr>
          <w:rFonts w:cstheme="minorHAnsi"/>
          <w:b/>
          <w:lang w:val="ro-RO"/>
        </w:rPr>
        <w:t>cu care acestea vor fi învestite.</w:t>
      </w:r>
    </w:p>
    <w:p w14:paraId="6908B406" w14:textId="77777777" w:rsidR="00E028D8" w:rsidRPr="008C2342" w:rsidRDefault="00E028D8" w:rsidP="00C53264">
      <w:pPr>
        <w:spacing w:after="0"/>
        <w:jc w:val="both"/>
        <w:rPr>
          <w:rFonts w:cstheme="minorHAnsi"/>
          <w:b/>
          <w:lang w:val="ro-RO"/>
        </w:rPr>
      </w:pPr>
    </w:p>
    <w:p w14:paraId="2FFFA389" w14:textId="77777777" w:rsidR="00E028D8" w:rsidRPr="008C2342" w:rsidRDefault="00E028D8" w:rsidP="00E028D8">
      <w:pPr>
        <w:spacing w:after="0" w:line="240" w:lineRule="auto"/>
        <w:jc w:val="right"/>
        <w:rPr>
          <w:rFonts w:cstheme="minorHAnsi"/>
          <w:lang w:val="ro-RO"/>
        </w:rPr>
      </w:pPr>
      <w:r w:rsidRPr="008C2342">
        <w:rPr>
          <w:rStyle w:val="Emphasis"/>
          <w:rFonts w:cstheme="minorHAnsi"/>
          <w:shd w:val="clear" w:color="auto" w:fill="FFFFFF"/>
          <w:lang w:val="ro-RO"/>
        </w:rPr>
        <w:t xml:space="preserve">Articol semnat de Mircea Bogdan Popescu – Partner, </w:t>
      </w:r>
      <w:hyperlink r:id="rId4" w:history="1">
        <w:r w:rsidRPr="008C2342">
          <w:rPr>
            <w:rStyle w:val="Hyperlink"/>
            <w:rFonts w:eastAsia="Times New Roman" w:cstheme="minorHAnsi"/>
            <w:i/>
            <w:iCs/>
            <w:shd w:val="clear" w:color="auto" w:fill="FFFFFF"/>
            <w:lang w:val="ro-RO"/>
          </w:rPr>
          <w:t>STOICA &amp; Asociații</w:t>
        </w:r>
      </w:hyperlink>
      <w:r w:rsidRPr="008C2342">
        <w:rPr>
          <w:rFonts w:eastAsia="Times New Roman" w:cstheme="minorHAnsi"/>
          <w:i/>
          <w:iCs/>
          <w:color w:val="000000"/>
          <w:shd w:val="clear" w:color="auto" w:fill="FFFFFF"/>
          <w:lang w:val="ro-RO"/>
        </w:rPr>
        <w:t xml:space="preserve">. </w:t>
      </w:r>
    </w:p>
    <w:p w14:paraId="0DEF4A3C" w14:textId="77777777" w:rsidR="00E028D8" w:rsidRPr="008C2342" w:rsidRDefault="00E028D8" w:rsidP="00C53264">
      <w:pPr>
        <w:spacing w:after="0"/>
        <w:jc w:val="both"/>
        <w:rPr>
          <w:rFonts w:cstheme="minorHAnsi"/>
          <w:b/>
          <w:lang w:val="ro-RO"/>
        </w:rPr>
      </w:pPr>
    </w:p>
    <w:p w14:paraId="6BCF31E6" w14:textId="2BEB0F75" w:rsidR="00800875" w:rsidRPr="008C2342" w:rsidRDefault="00800875" w:rsidP="00800875">
      <w:pPr>
        <w:spacing w:after="0"/>
        <w:jc w:val="both"/>
        <w:rPr>
          <w:rFonts w:cstheme="minorHAnsi"/>
          <w:lang w:val="ro-RO"/>
        </w:rPr>
      </w:pPr>
    </w:p>
    <w:p w14:paraId="73BCC2E9" w14:textId="2B8E4DF5" w:rsidR="00757D14" w:rsidRPr="008C2342" w:rsidRDefault="00757D14" w:rsidP="00800875">
      <w:pPr>
        <w:spacing w:after="0"/>
        <w:jc w:val="both"/>
        <w:rPr>
          <w:rFonts w:cstheme="minorHAnsi"/>
          <w:lang w:val="ro-RO"/>
        </w:rPr>
      </w:pPr>
    </w:p>
    <w:p w14:paraId="0D51820E" w14:textId="0AF70298" w:rsidR="00757D14" w:rsidRPr="008C2342" w:rsidRDefault="00757D14" w:rsidP="00800875">
      <w:pPr>
        <w:spacing w:after="0"/>
        <w:jc w:val="both"/>
        <w:rPr>
          <w:rFonts w:cstheme="minorHAnsi"/>
          <w:lang w:val="ro-RO"/>
        </w:rPr>
      </w:pPr>
    </w:p>
    <w:p w14:paraId="412B3AD7" w14:textId="327D17BB" w:rsidR="00757D14" w:rsidRPr="008C2342" w:rsidRDefault="00757D14" w:rsidP="00800875">
      <w:pPr>
        <w:spacing w:after="0"/>
        <w:jc w:val="both"/>
        <w:rPr>
          <w:rFonts w:cstheme="minorHAnsi"/>
          <w:lang w:val="ro-RO"/>
        </w:rPr>
      </w:pPr>
    </w:p>
    <w:p w14:paraId="040441AC" w14:textId="325803B4" w:rsidR="00757D14" w:rsidRPr="008C2342" w:rsidRDefault="00757D14" w:rsidP="00800875">
      <w:pPr>
        <w:spacing w:after="0"/>
        <w:jc w:val="both"/>
        <w:rPr>
          <w:rFonts w:cstheme="minorHAnsi"/>
          <w:lang w:val="ro-RO"/>
        </w:rPr>
      </w:pPr>
    </w:p>
    <w:p w14:paraId="7592EE46" w14:textId="77777777" w:rsidR="00757D14" w:rsidRPr="008C2342" w:rsidRDefault="00757D14" w:rsidP="00800875">
      <w:pPr>
        <w:spacing w:after="0"/>
        <w:jc w:val="both"/>
        <w:rPr>
          <w:rFonts w:cstheme="minorHAnsi"/>
          <w:lang w:val="ro-RO"/>
        </w:rPr>
      </w:pPr>
    </w:p>
    <w:sectPr w:rsidR="00757D14" w:rsidRPr="008C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B8"/>
    <w:rsid w:val="000D7835"/>
    <w:rsid w:val="00104ACF"/>
    <w:rsid w:val="00105CFF"/>
    <w:rsid w:val="00162CF5"/>
    <w:rsid w:val="001E2899"/>
    <w:rsid w:val="00206BF8"/>
    <w:rsid w:val="003770D2"/>
    <w:rsid w:val="003D409B"/>
    <w:rsid w:val="00491F78"/>
    <w:rsid w:val="005055D9"/>
    <w:rsid w:val="0051394E"/>
    <w:rsid w:val="00515367"/>
    <w:rsid w:val="005A72D9"/>
    <w:rsid w:val="00757D14"/>
    <w:rsid w:val="007A2442"/>
    <w:rsid w:val="00800875"/>
    <w:rsid w:val="00842F3E"/>
    <w:rsid w:val="00856AE1"/>
    <w:rsid w:val="008742B9"/>
    <w:rsid w:val="008C2342"/>
    <w:rsid w:val="008E14EC"/>
    <w:rsid w:val="009A5E58"/>
    <w:rsid w:val="009D4F27"/>
    <w:rsid w:val="00A17796"/>
    <w:rsid w:val="00AB6DE4"/>
    <w:rsid w:val="00AD303D"/>
    <w:rsid w:val="00AE2233"/>
    <w:rsid w:val="00B76B8B"/>
    <w:rsid w:val="00BC6C8B"/>
    <w:rsid w:val="00C21DA5"/>
    <w:rsid w:val="00C53264"/>
    <w:rsid w:val="00CA350A"/>
    <w:rsid w:val="00D33313"/>
    <w:rsid w:val="00D450B8"/>
    <w:rsid w:val="00DB6650"/>
    <w:rsid w:val="00DE58AE"/>
    <w:rsid w:val="00E028D8"/>
    <w:rsid w:val="00F01845"/>
    <w:rsid w:val="00FC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4FA2"/>
  <w15:chartTrackingRefBased/>
  <w15:docId w15:val="{946C025F-4925-468F-B72E-A620BFF9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28D8"/>
    <w:rPr>
      <w:i/>
      <w:iCs/>
    </w:rPr>
  </w:style>
  <w:style w:type="character" w:styleId="Hyperlink">
    <w:name w:val="Hyperlink"/>
    <w:basedOn w:val="DefaultParagraphFont"/>
    <w:uiPriority w:val="99"/>
    <w:unhideWhenUsed/>
    <w:rsid w:val="00E02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ica-asociat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STOICA - Asociatii</dc:creator>
  <cp:keywords/>
  <dc:description/>
  <cp:lastModifiedBy>Alina Grigoras</cp:lastModifiedBy>
  <cp:revision>4</cp:revision>
  <dcterms:created xsi:type="dcterms:W3CDTF">2021-06-15T05:38:00Z</dcterms:created>
  <dcterms:modified xsi:type="dcterms:W3CDTF">2021-06-15T09:16:00Z</dcterms:modified>
</cp:coreProperties>
</file>