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6712" w14:textId="77777777" w:rsidR="00296A31" w:rsidRDefault="00296A31" w:rsidP="002B22EB">
      <w:pPr>
        <w:pStyle w:val="NormalWeb"/>
        <w:keepNext/>
        <w:keepLines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  <w:lang w:val="ro-RO"/>
        </w:rPr>
      </w:pPr>
    </w:p>
    <w:p w14:paraId="5C8A1EC9" w14:textId="3E1D0954" w:rsidR="00046E53" w:rsidRPr="00296A31" w:rsidRDefault="00296A31" w:rsidP="002B22EB">
      <w:pPr>
        <w:pStyle w:val="NormalWeb"/>
        <w:keepNext/>
        <w:keepLines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  <w:lang w:val="ro-RO"/>
        </w:rPr>
      </w:pPr>
      <w:r>
        <w:rPr>
          <w:rFonts w:asciiTheme="minorHAnsi" w:hAnsiTheme="minorHAnsi" w:cstheme="minorHAnsi"/>
          <w:b/>
          <w:color w:val="000000"/>
          <w:lang w:val="ro-RO"/>
        </w:rPr>
        <w:t>Consumator</w:t>
      </w:r>
      <w:r w:rsidR="00D738F6">
        <w:rPr>
          <w:rFonts w:asciiTheme="minorHAnsi" w:hAnsiTheme="minorHAnsi" w:cstheme="minorHAnsi"/>
          <w:b/>
          <w:color w:val="000000"/>
          <w:lang w:val="ro-RO"/>
        </w:rPr>
        <w:t>ii în contractele de leasing – u</w:t>
      </w:r>
      <w:r>
        <w:rPr>
          <w:rFonts w:asciiTheme="minorHAnsi" w:hAnsiTheme="minorHAnsi" w:cstheme="minorHAnsi"/>
          <w:b/>
          <w:color w:val="000000"/>
          <w:lang w:val="ro-RO"/>
        </w:rPr>
        <w:t>n cadru legal mai favorabil</w:t>
      </w:r>
    </w:p>
    <w:p w14:paraId="5D794C5C" w14:textId="77777777" w:rsidR="00046E53" w:rsidRPr="00453408" w:rsidRDefault="00046E53" w:rsidP="002B22EB">
      <w:pPr>
        <w:pStyle w:val="NormalWeb"/>
        <w:keepNext/>
        <w:keepLines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  <w:u w:val="single"/>
          <w:lang w:val="ro-RO"/>
        </w:rPr>
      </w:pPr>
    </w:p>
    <w:p w14:paraId="11734AE1" w14:textId="77777777" w:rsidR="00046E53" w:rsidRPr="00453408" w:rsidRDefault="00046E53" w:rsidP="002B22EB">
      <w:pPr>
        <w:keepNext/>
        <w:keepLines/>
        <w:jc w:val="right"/>
        <w:rPr>
          <w:rFonts w:asciiTheme="minorHAnsi" w:hAnsiTheme="minorHAnsi" w:cstheme="minorHAnsi"/>
          <w:lang w:val="ro-RO"/>
        </w:rPr>
      </w:pPr>
      <w:r w:rsidRPr="00453408">
        <w:rPr>
          <w:rFonts w:asciiTheme="minorHAnsi" w:hAnsiTheme="minorHAnsi" w:cstheme="minorHAnsi"/>
          <w:lang w:val="ro-RO"/>
        </w:rPr>
        <w:t>Av. Oana Zamă</w:t>
      </w:r>
    </w:p>
    <w:p w14:paraId="161FA864" w14:textId="77D6FA7A" w:rsidR="00AD417A" w:rsidRPr="00453408" w:rsidRDefault="004E744C" w:rsidP="002B22EB">
      <w:pPr>
        <w:pStyle w:val="NormalWeb"/>
        <w:keepNext/>
        <w:keepLines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lang w:val="ro-RO"/>
        </w:rPr>
      </w:pPr>
      <w:r>
        <w:rPr>
          <w:rFonts w:asciiTheme="minorHAnsi" w:hAnsiTheme="minorHAnsi" w:cstheme="minorHAnsi"/>
          <w:b/>
          <w:color w:val="000000"/>
          <w:u w:val="single"/>
          <w:lang w:val="ro-RO"/>
        </w:rPr>
        <w:t xml:space="preserve"> </w:t>
      </w:r>
    </w:p>
    <w:p w14:paraId="37A9223F" w14:textId="2915FBD1" w:rsidR="000970EB" w:rsidRPr="00453408" w:rsidRDefault="00B801B3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</w:pPr>
      <w:r w:rsidRPr="00453408">
        <w:rPr>
          <w:rFonts w:asciiTheme="minorHAnsi" w:hAnsiTheme="minorHAnsi" w:cstheme="minorHAnsi"/>
          <w:b/>
          <w:color w:val="000000"/>
          <w:lang w:val="ro-RO"/>
        </w:rPr>
        <w:t xml:space="preserve">O </w:t>
      </w:r>
      <w:r w:rsidRPr="00453408">
        <w:rPr>
          <w:rFonts w:asciiTheme="minorHAnsi" w:hAnsiTheme="minorHAnsi" w:cstheme="minorHAnsi"/>
          <w:b/>
          <w:lang w:val="ro-RO"/>
        </w:rPr>
        <w:t>inițiativă legislativă demarată în</w:t>
      </w:r>
      <w:r w:rsidR="007C2884" w:rsidRPr="00453408">
        <w:rPr>
          <w:rFonts w:asciiTheme="minorHAnsi" w:hAnsiTheme="minorHAnsi" w:cstheme="minorHAnsi"/>
          <w:b/>
          <w:lang w:val="ro-RO"/>
        </w:rPr>
        <w:t xml:space="preserve">că anul 2019, menită să reglementeze o serie de facilități locatarilor/utilizatorilor care au calitatea de consumatori în contractele de leasing, a fost recent materializată prin publicarea </w:t>
      </w:r>
      <w:r w:rsidR="007C2884" w:rsidRPr="00453408">
        <w:rPr>
          <w:rStyle w:val="Emphasis"/>
          <w:rFonts w:asciiTheme="minorHAnsi" w:hAnsiTheme="minorHAnsi" w:cstheme="minorHAnsi"/>
          <w:b/>
          <w:i w:val="0"/>
          <w:iCs w:val="0"/>
          <w:lang w:val="ro-RO"/>
        </w:rPr>
        <w:t>Legii nr. 83/2021 pentru modificarea și completarea Ordonanței Guvernului nr. 51/1997 privind operațiunile de leasing și societăți</w:t>
      </w:r>
      <w:r w:rsidR="00453408">
        <w:rPr>
          <w:rStyle w:val="Emphasis"/>
          <w:rFonts w:asciiTheme="minorHAnsi" w:hAnsiTheme="minorHAnsi" w:cstheme="minorHAnsi"/>
          <w:b/>
          <w:i w:val="0"/>
          <w:iCs w:val="0"/>
          <w:lang w:val="ro-RO"/>
        </w:rPr>
        <w:t>le de leasing</w:t>
      </w:r>
      <w:r w:rsidR="007C2884" w:rsidRPr="00453408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.</w:t>
      </w:r>
    </w:p>
    <w:p w14:paraId="56EB494B" w14:textId="77777777" w:rsidR="00156E11" w:rsidRPr="00453408" w:rsidRDefault="00156E11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5103DFC9" w14:textId="23634893" w:rsidR="00BC7A9A" w:rsidRPr="00453408" w:rsidRDefault="00156E11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Premisa acestei abordări a constituit-o faptul că aceste contracte au caracter</w:t>
      </w:r>
      <w:r w:rsidR="00E95A6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de adeziune</w:t>
      </w:r>
      <w:r w:rsidR="005966E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(</w:t>
      </w:r>
      <w:r w:rsidR="004421CF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sunt așa-</w:t>
      </w:r>
      <w:r w:rsidR="005966E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numitele contracte</w:t>
      </w:r>
      <w:r w:rsid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de tip</w:t>
      </w:r>
      <w:r w:rsidR="005966E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„</w:t>
      </w:r>
      <w:r w:rsidR="005966E1" w:rsidRPr="00453408">
        <w:rPr>
          <w:rStyle w:val="Hyperlink"/>
          <w:rFonts w:asciiTheme="minorHAnsi" w:hAnsiTheme="minorHAnsi" w:cstheme="minorHAnsi"/>
          <w:i/>
          <w:color w:val="auto"/>
          <w:u w:val="none"/>
          <w:lang w:val="ro-RO"/>
        </w:rPr>
        <w:t>take it or leave it</w:t>
      </w:r>
      <w:r w:rsidR="005966E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”)</w:t>
      </w:r>
      <w:r w:rsid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,</w:t>
      </w:r>
      <w:r w:rsidR="00E95A6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046E53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în care </w:t>
      </w:r>
      <w:r w:rsidR="00E95A6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debitorilor </w:t>
      </w:r>
      <w:r w:rsidR="00046E53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le sunt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impuse clau</w:t>
      </w:r>
      <w:r w:rsidR="00E95A6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ze tip, standardizate, </w:t>
      </w:r>
      <w:r w:rsidR="00F42DFD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pe </w:t>
      </w:r>
      <w:r w:rsidR="005966E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care nu le pot negocia din cauză că nu se găsesc pe p</w:t>
      </w:r>
      <w:r w:rsidR="004421CF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oziții de egalitate cu profesioniștii în materia leasingului.</w:t>
      </w:r>
      <w:r w:rsidR="0015578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Cu alte cuvinte, </w:t>
      </w:r>
      <w:r w:rsidR="00453408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nu </w:t>
      </w:r>
      <w:r w:rsidR="0015578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s-a intenționat conferirea unei protecții excesive consumatorilor, ci asigurarea unui </w:t>
      </w:r>
      <w:r w:rsidR="00155781" w:rsidRPr="00453408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just echilibru</w:t>
      </w:r>
      <w:r w:rsidR="0015578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între drepturile și obligațiile părților impl</w:t>
      </w:r>
      <w:r w:rsidR="00126785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icate în contractele de leasing.</w:t>
      </w:r>
    </w:p>
    <w:p w14:paraId="569A3924" w14:textId="77777777" w:rsidR="00126785" w:rsidRPr="00453408" w:rsidRDefault="00126785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1EDFC006" w14:textId="6BE11726" w:rsidR="004421CF" w:rsidRPr="00453408" w:rsidRDefault="00126785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S-a apreciat </w:t>
      </w:r>
      <w:r w:rsidR="004421CF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că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în lumina vechii reglementări, </w:t>
      </w:r>
      <w:r w:rsidR="004421CF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pe de o parte, răspunderea </w:t>
      </w:r>
      <w:r w:rsidR="0043464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locatarului/</w:t>
      </w:r>
      <w:r w:rsidR="004421CF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utilizatorului</w:t>
      </w:r>
      <w:r w:rsidR="0043464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e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ra </w:t>
      </w:r>
      <w:r w:rsidR="0043464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una prea severă (aceștia fiind obligați la achitarea ratelor de leasing aferente întregii perioade contractuale, până la data restituirii bunului, cumulativ cu restituirea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acestuia – art. 15 din O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G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nr. 51/1997), iar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,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pe de altă parte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,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că locatorul/finanțatorul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a beneficiat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de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un regim preferențial din perspectiva caracterului de titlu executoriu al contractelor încheiate în această materie (art. 8 din O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G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  <w:r w:rsidR="00FF418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nr. 51/1997).</w:t>
      </w:r>
    </w:p>
    <w:p w14:paraId="43F2CBF3" w14:textId="77777777" w:rsidR="00FF4184" w:rsidRPr="00453408" w:rsidRDefault="00FF4184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271B07A1" w14:textId="40E30418" w:rsidR="004C2C50" w:rsidRPr="00453408" w:rsidRDefault="004C2C50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Modificările implementate prin Legea nr. 83/2021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vizează</w:t>
      </w:r>
      <w:r w:rsidR="00740430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740430" w:rsidRPr="00D738F6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doar ipotezele contractelor în care locatarul/utilizatorul are calitatea de consumator</w:t>
      </w:r>
      <w:r w:rsidR="00740430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și sunt structurate pe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două paliere:</w:t>
      </w:r>
    </w:p>
    <w:p w14:paraId="5B8C5C30" w14:textId="32FCDC66" w:rsidR="00FF4184" w:rsidRPr="00453408" w:rsidRDefault="00740430" w:rsidP="00453408">
      <w:pPr>
        <w:pStyle w:val="NormalWeb"/>
        <w:keepNext/>
        <w:keepLines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e</w:t>
      </w:r>
      <w:r w:rsidR="004C2C50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liminarea caracterului de titlu executoriu pentru contract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ele de leasing, și</w:t>
      </w:r>
    </w:p>
    <w:p w14:paraId="4C838565" w14:textId="29FBD7C9" w:rsidR="00740430" w:rsidRPr="00453408" w:rsidRDefault="00BC7A9A" w:rsidP="00453408">
      <w:pPr>
        <w:pStyle w:val="NormalWeb"/>
        <w:keepNext/>
        <w:keepLines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consecințele rezilierii și </w:t>
      </w:r>
      <w:r w:rsidR="00740430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limitarea cuantumului creanței, în ipoteza în care locatarul/utilizatorul </w:t>
      </w:r>
      <w:r w:rsidR="004C59B2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nu acoperă rate</w:t>
      </w:r>
      <w:r w:rsidR="00E61393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le</w:t>
      </w:r>
      <w:r w:rsidR="004C59B2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de leasing o perioadă de 3 luni consecutiv.</w:t>
      </w:r>
    </w:p>
    <w:p w14:paraId="16A6E60C" w14:textId="77777777" w:rsidR="00F42DFD" w:rsidRPr="00453408" w:rsidRDefault="00F42DFD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1BD40658" w14:textId="67E97CC0" w:rsidR="00F42DFD" w:rsidRPr="00453408" w:rsidRDefault="00CE5265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D738F6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Referitor la executorialitatea contractelor de leasing</w:t>
      </w:r>
      <w:r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,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dispozițiile O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G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nr. 51/1997 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[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art. 8 alin. 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(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1)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]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B3641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au rămas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nemodificate: ca principiu, </w:t>
      </w:r>
      <w:r w:rsidRPr="00453408">
        <w:rPr>
          <w:rStyle w:val="Hyperlink"/>
          <w:rFonts w:asciiTheme="minorHAnsi" w:hAnsiTheme="minorHAnsi" w:cstheme="minorHAnsi"/>
          <w:i/>
          <w:color w:val="auto"/>
          <w:u w:val="none"/>
          <w:lang w:val="ro-RO"/>
        </w:rPr>
        <w:t xml:space="preserve">contractele de leasing, precum și garanțiile reale și personale, constituite în scopul garantării obligațiilor </w:t>
      </w:r>
      <w:r w:rsidR="00DE46D7" w:rsidRPr="00453408">
        <w:rPr>
          <w:rStyle w:val="Hyperlink"/>
          <w:rFonts w:asciiTheme="minorHAnsi" w:hAnsiTheme="minorHAnsi" w:cstheme="minorHAnsi"/>
          <w:i/>
          <w:color w:val="auto"/>
          <w:u w:val="none"/>
          <w:lang w:val="ro-RO"/>
        </w:rPr>
        <w:t>asumate prin contractul de leasing, constituie titluri executorii</w:t>
      </w:r>
      <w:r w:rsidR="00DE46D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</w:p>
    <w:p w14:paraId="7AFBBE6B" w14:textId="77777777" w:rsidR="00D738F6" w:rsidRDefault="00D738F6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79297659" w14:textId="24EDCCAC" w:rsidR="00DE46D7" w:rsidRPr="00453408" w:rsidRDefault="00DE46D7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lastRenderedPageBreak/>
        <w:t xml:space="preserve">Au fost introduse </w:t>
      </w:r>
      <w:r w:rsidR="00695865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însă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două noi alin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e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ate acestui articol, pentru a excepta de la caracterul executoriu acele contracte în care locatarul/utilizatorul are calitatea de consumator. </w:t>
      </w:r>
      <w:r w:rsidR="00DD7A05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Pentru evitarea oricăror inconveniente legate de interpretarea și aplicarea acestor norme, a fost definită expres noțiunea de </w:t>
      </w:r>
      <w:r w:rsidR="00DD7A05" w:rsidRPr="00453408">
        <w:rPr>
          <w:rStyle w:val="Hyperlink"/>
          <w:rFonts w:asciiTheme="minorHAnsi" w:hAnsiTheme="minorHAnsi" w:cstheme="minorHAnsi"/>
          <w:i/>
          <w:color w:val="auto"/>
          <w:u w:val="none"/>
          <w:lang w:val="ro-RO"/>
        </w:rPr>
        <w:t>consumator</w:t>
      </w:r>
      <w:r w:rsidR="00B3641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, prin raportare la </w:t>
      </w:r>
      <w:r w:rsidR="00B36417" w:rsidRPr="00453408">
        <w:rPr>
          <w:rStyle w:val="Hyperlink"/>
          <w:rFonts w:asciiTheme="minorHAnsi" w:hAnsiTheme="minorHAnsi" w:cstheme="minorHAnsi"/>
          <w:i/>
          <w:color w:val="auto"/>
          <w:u w:val="none"/>
          <w:lang w:val="ro-RO"/>
        </w:rPr>
        <w:t>orice persoană fizică sau grup de persoane fizice care are calitatea de utilizator/locatar într-un contract de leasing și care acționează în scopuri în afara activității sale comerciale</w:t>
      </w:r>
      <w:r w:rsidR="00B3641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B3641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Mai mult decât atât, legiuitorul a </w:t>
      </w:r>
      <w:r w:rsidR="00813B51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reglementat</w:t>
      </w:r>
      <w:r w:rsidR="00DA3F10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o prezumție a</w:t>
      </w:r>
      <w:r w:rsidR="00B3641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calităț</w:t>
      </w:r>
      <w:r w:rsidR="00DA3F10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i</w:t>
      </w:r>
      <w:r w:rsidR="00B36417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i de consumator</w:t>
      </w:r>
      <w:r w:rsidR="00C654CA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, calitate care se analizează în raport cu contractul de leasing, iar nu cu întreaga activitate a debitorului. </w:t>
      </w:r>
    </w:p>
    <w:p w14:paraId="7D9A1E0D" w14:textId="77777777" w:rsidR="00DA3F10" w:rsidRPr="00453408" w:rsidRDefault="00DA3F10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09084C79" w14:textId="753E2160" w:rsidR="00C5158A" w:rsidRPr="00D738F6" w:rsidRDefault="005E4144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Curtea Constituțională, </w:t>
      </w:r>
      <w:r w:rsidR="00D738F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fiind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sesizată cu o </w:t>
      </w:r>
      <w:r w:rsidR="00C5158A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obiecție privind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prevederil</w:t>
      </w:r>
      <w:r w:rsidR="00C5158A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e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C5158A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L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egii nr. 83/2021</w:t>
      </w:r>
      <w:r w:rsidR="00D738F6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,</w:t>
      </w:r>
      <w:r w:rsidR="00450B68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în care criticile au vizat preponderent eliminarea caracterului de titlu executoriu al contractelor de leasing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, </w:t>
      </w:r>
      <w:r w:rsidR="00A25923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s-a pronunțat prin Decizia nr. 59/26 ianuarie 2021, publicată în Monitorul Oficial nr. 368/9.04.2021 și </w:t>
      </w:r>
      <w:r w:rsidR="00A25923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 xml:space="preserve">a statuat că noua reglementare nu ridică probleme de constituționalitate, legiuitorul fiind perfect îndreptățit să restrângă caracterul de titlu executoriu al contractelor de leasing, o asemenea soluție legislativă fiind </w:t>
      </w:r>
      <w:r w:rsidR="00C5158A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justificată tocmai de poziția de vulnerabilitate a consumatorilor în fața profesioniștilor leasingului.</w:t>
      </w:r>
    </w:p>
    <w:p w14:paraId="38E7E226" w14:textId="77777777" w:rsidR="00DA3F10" w:rsidRPr="00453408" w:rsidRDefault="00DA3F10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30107C25" w14:textId="7297D756" w:rsidR="00C5158A" w:rsidRPr="00453408" w:rsidRDefault="00C5158A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Poziția consumatorului se impune a fi analizată</w:t>
      </w:r>
      <w:r w:rsidR="00E058D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, astfel cum a punctat și Curtea Constituțională,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E058D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inclusiv din perspectivă procesual civilă: </w:t>
      </w:r>
      <w:r w:rsidR="002B22EB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în cadrul unei eventuale contestații la executare, consumatorii nu pot să valorifice apărări legate de fondul dreptului cuprins în titlul executoriu – contractul de leasing, dacă au la dispoziție o altă modalitate procesuală de a le valorifica, inclusiv o acțiune de drept comun. Astfel, dispozițiile art. </w:t>
      </w:r>
      <w:r w:rsidR="00E058D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713 alin. 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(</w:t>
      </w:r>
      <w:r w:rsidR="00E058D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2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)</w:t>
      </w:r>
      <w:r w:rsidR="00E058D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C.</w:t>
      </w:r>
      <w:r w:rsidR="001C114A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pr. civ.</w:t>
      </w:r>
      <w:r w:rsidR="002B22EB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, în materia contestației la executare, </w:t>
      </w:r>
      <w:r w:rsidR="001C114A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reprezintă un cadru legal destul de </w:t>
      </w:r>
      <w:r w:rsidR="002B22EB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restrictiv pentru consumatori, tocmai pentru că aceștia au </w:t>
      </w:r>
      <w:r w:rsidR="0090477D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posibilitatea formulării unei acțiuni separate, care să vizeze anularea clauzelor abuzive din contractul de leasing, acțiune întemeiată pe dispozițiile Legii nr. 193/2000 privind clauzele abuzive </w:t>
      </w:r>
      <w:r w:rsidR="00C8294A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din contractele încheiate între profesioniști și consumatori</w:t>
      </w:r>
      <w:r w:rsidR="006B658B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. Cu alte cuvinte, sub vechea reglementare era exclusă </w:t>
      </w:r>
      <w:r w:rsidR="0090477D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posibilitatea consumatorilor interesați de a formula apărări împotriva titlului executoriu în proce</w:t>
      </w:r>
      <w:r w:rsidR="006B658B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dura contestației la executare, ceea ce constituia un avantaj suplimentar de care beneficiau profesioniștii în materie de leasing. </w:t>
      </w:r>
    </w:p>
    <w:p w14:paraId="4ADD2161" w14:textId="77777777" w:rsidR="009F7BC9" w:rsidRPr="00453408" w:rsidRDefault="009F7BC9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7F7F3761" w14:textId="10E426F4" w:rsidR="001A79FA" w:rsidRPr="00453408" w:rsidRDefault="001A79FA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Pe de altă parte, profesioniștii leasingului vor fi obligați la parcurgerea </w:t>
      </w:r>
      <w:r w:rsidR="009A1DB3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formalităților suplimentare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pentru obținerea titlurilor executorii</w:t>
      </w:r>
      <w:r w:rsidR="00D472E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și la asumarea unor cheltuieli suplimentare</w:t>
      </w:r>
      <w:r w:rsidR="009A1DB3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în acest sens</w:t>
      </w:r>
      <w:r w:rsidR="001C754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, recuperarea bunului </w:t>
      </w:r>
      <w:r w:rsidR="009A1DB3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urmând a fi </w:t>
      </w:r>
      <w:r w:rsidR="001C754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ceva mai puțin rapidă</w:t>
      </w:r>
      <w:r w:rsidR="00D472E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.</w:t>
      </w:r>
    </w:p>
    <w:p w14:paraId="166C1137" w14:textId="77777777" w:rsidR="009F7BC9" w:rsidRPr="00453408" w:rsidRDefault="009F7BC9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34758D4D" w14:textId="7E8944AB" w:rsidR="00D472E6" w:rsidRPr="00D738F6" w:rsidRDefault="001C7544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Î</w:t>
      </w:r>
      <w:r w:rsidR="00D472E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n aceste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condiții</w:t>
      </w:r>
      <w:r w:rsidR="00D472E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, apreciem că </w:t>
      </w:r>
      <w:r w:rsidR="00D472E6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eliminarea caracterului de titlu execu</w:t>
      </w:r>
      <w:r w:rsidR="00CE36E4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toriu a contractelor de leasing</w:t>
      </w:r>
      <w:r w:rsidR="00D472E6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 xml:space="preserve"> </w:t>
      </w:r>
      <w:r w:rsidR="009F7BC9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reprezintă</w:t>
      </w:r>
      <w:r w:rsidR="00CE36E4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 xml:space="preserve"> cu adevărat </w:t>
      </w:r>
      <w:r w:rsidR="00D472E6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o măsură benefică pentru consumator</w:t>
      </w:r>
      <w:r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i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și că, în </w:t>
      </w:r>
      <w:r w:rsidR="00D472E6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pofida unor dezavantaje 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mai mult de ordin procedural pentru societățile de leasing, </w:t>
      </w:r>
      <w:r w:rsidR="00CE36E4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tinde să asigure un </w:t>
      </w:r>
      <w:r w:rsidR="00CE36E4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 xml:space="preserve">just echilibru </w:t>
      </w:r>
      <w:r w:rsidR="00E61393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 xml:space="preserve">în contractele de adeziune care se încheie </w:t>
      </w:r>
      <w:r w:rsidR="009F7BC9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în această materie</w:t>
      </w:r>
      <w:r w:rsidR="00E61393" w:rsidRPr="00D738F6">
        <w:rPr>
          <w:rStyle w:val="Hyperlink"/>
          <w:rFonts w:asciiTheme="minorHAnsi" w:hAnsiTheme="minorHAnsi" w:cstheme="minorHAnsi"/>
          <w:b/>
          <w:color w:val="auto"/>
          <w:u w:val="none"/>
          <w:lang w:val="ro-RO"/>
        </w:rPr>
        <w:t>.</w:t>
      </w:r>
    </w:p>
    <w:p w14:paraId="24B4D6FF" w14:textId="77777777" w:rsidR="00DE46D7" w:rsidRPr="00D738F6" w:rsidRDefault="00DE46D7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39C24018" w14:textId="6DC4DCC2" w:rsidR="00882A0D" w:rsidRDefault="00E61393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D738F6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Referitor la </w:t>
      </w:r>
      <w:r w:rsidR="005946AF" w:rsidRPr="00D738F6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rezilierea contractului</w:t>
      </w:r>
      <w:r w:rsidRPr="00D738F6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în </w:t>
      </w:r>
      <w:r w:rsidR="005946AF" w:rsidRPr="00D738F6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situația în </w:t>
      </w:r>
      <w:r w:rsidRPr="00D738F6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care locatarul/utilizatorul nu acoperă ratele de leasing o perioadă de 3 luni consecutiv,</w:t>
      </w: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E605BB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finanțatorul va avea ca și în precedent dreptul de a rezilia contractul de leasing. Caracterul de noutate al reglementării</w:t>
      </w:r>
      <w:r w:rsidR="00FE2A6F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(au fost introduse 5 alin</w:t>
      </w:r>
      <w:r w:rsidR="004E744C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eate</w:t>
      </w:r>
      <w:r w:rsidR="00FE2A6F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noi la art. 15)</w:t>
      </w:r>
      <w:r w:rsidR="00E605BB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</w:t>
      </w:r>
      <w:r w:rsidR="00C8294A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are în vedere tot sfera contractelor încheiate cu consumatorii și </w:t>
      </w:r>
      <w:r w:rsidR="00E605BB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rezidă în aceea că</w:t>
      </w:r>
      <w:r w:rsidR="00882A0D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 s-a detaliat cu privire la posibile consecințe ale rez</w:t>
      </w:r>
      <w:r w:rsidR="001B5A42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ilierii, după cum bunul este sau nu restituit în termen. </w:t>
      </w:r>
    </w:p>
    <w:p w14:paraId="20565B22" w14:textId="77777777" w:rsidR="009F7BC9" w:rsidRPr="00453408" w:rsidRDefault="009F7BC9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5B1116AC" w14:textId="33694424" w:rsidR="001B5A42" w:rsidRDefault="001B5A42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Dacă bunul este restituit în termenul contractual:</w:t>
      </w:r>
    </w:p>
    <w:p w14:paraId="48C9CC45" w14:textId="77777777" w:rsidR="00632AD1" w:rsidRPr="00453408" w:rsidRDefault="00632AD1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1885F02D" w14:textId="617D2F87" w:rsidR="00CE5265" w:rsidRPr="00453408" w:rsidRDefault="00E605BB" w:rsidP="00453408">
      <w:pPr>
        <w:pStyle w:val="Normal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u w:val="single"/>
          <w:lang w:val="ro-RO"/>
        </w:rPr>
      </w:pPr>
      <w:r w:rsidRPr="00453408">
        <w:rPr>
          <w:rFonts w:asciiTheme="minorHAnsi" w:hAnsiTheme="minorHAnsi" w:cstheme="minorHAnsi"/>
          <w:color w:val="222222"/>
          <w:lang w:val="ro-RO"/>
        </w:rPr>
        <w:lastRenderedPageBreak/>
        <w:t>eventualele despăgubiri nu mai pot viza decât diferența între totalul sumelor datorate, diminuată cu valoarea obținută prin valorificare, exclusiv TVA, sau, după caz, cu valoarea stabilită printr-un raport de evaluare a bunului</w:t>
      </w:r>
      <w:r w:rsidR="00882A0D" w:rsidRPr="00453408">
        <w:rPr>
          <w:rFonts w:asciiTheme="minorHAnsi" w:hAnsiTheme="minorHAnsi" w:cstheme="minorHAnsi"/>
          <w:color w:val="222222"/>
          <w:lang w:val="ro-RO"/>
        </w:rPr>
        <w:t xml:space="preserve"> emis de un evaluator autorizat; sub imperiul vechii reglementări, locatarul/utilizatorul era obligat la plata tuturor sumelor datorate în baza contractului, până la data restituirii bunului;</w:t>
      </w:r>
    </w:p>
    <w:p w14:paraId="70E24D3F" w14:textId="72F85E39" w:rsidR="00882A0D" w:rsidRPr="00453408" w:rsidRDefault="00C86ED6" w:rsidP="00453408">
      <w:pPr>
        <w:pStyle w:val="Normal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Emphasis"/>
          <w:rFonts w:asciiTheme="minorHAnsi" w:hAnsiTheme="minorHAnsi" w:cstheme="minorHAnsi"/>
          <w:b/>
          <w:i w:val="0"/>
          <w:iCs w:val="0"/>
          <w:u w:val="single"/>
          <w:lang w:val="ro-RO"/>
        </w:rPr>
      </w:pPr>
      <w:r w:rsidRPr="00453408">
        <w:rPr>
          <w:rFonts w:asciiTheme="minorHAnsi" w:hAnsiTheme="minorHAnsi" w:cstheme="minorHAnsi"/>
          <w:lang w:val="ro-RO"/>
        </w:rPr>
        <w:t xml:space="preserve">s-a reglementat un drept de preempțiune al locatarului/utilizatorului </w:t>
      </w:r>
      <w:r w:rsidR="004E744C">
        <w:rPr>
          <w:rFonts w:asciiTheme="minorHAnsi" w:hAnsiTheme="minorHAnsi" w:cstheme="minorHAnsi"/>
          <w:lang w:val="ro-RO"/>
        </w:rPr>
        <w:t>[</w:t>
      </w:r>
      <w:r w:rsidRPr="00453408">
        <w:rPr>
          <w:rFonts w:asciiTheme="minorHAnsi" w:hAnsiTheme="minorHAnsi" w:cstheme="minorHAnsi"/>
          <w:lang w:val="ro-RO"/>
        </w:rPr>
        <w:t xml:space="preserve">art. 15 alin. </w:t>
      </w:r>
      <w:r w:rsidR="004E744C">
        <w:rPr>
          <w:rFonts w:asciiTheme="minorHAnsi" w:hAnsiTheme="minorHAnsi" w:cstheme="minorHAnsi"/>
          <w:lang w:val="ro-RO"/>
        </w:rPr>
        <w:t>(</w:t>
      </w:r>
      <w:r w:rsidRPr="00453408">
        <w:rPr>
          <w:rFonts w:asciiTheme="minorHAnsi" w:hAnsiTheme="minorHAnsi" w:cstheme="minorHAnsi"/>
          <w:lang w:val="ro-RO"/>
        </w:rPr>
        <w:t>3)</w:t>
      </w:r>
      <w:r w:rsidR="004E744C">
        <w:rPr>
          <w:rFonts w:asciiTheme="minorHAnsi" w:hAnsiTheme="minorHAnsi" w:cstheme="minorHAnsi"/>
          <w:lang w:val="ro-RO"/>
        </w:rPr>
        <w:t>]</w:t>
      </w:r>
      <w:r w:rsidRPr="00453408">
        <w:rPr>
          <w:rFonts w:asciiTheme="minorHAnsi" w:hAnsiTheme="minorHAnsi" w:cstheme="minorHAnsi"/>
          <w:lang w:val="ro-RO"/>
        </w:rPr>
        <w:t xml:space="preserve"> – în favoarea locatarului/utilizator sau al unui terț propus de acesta în termen de 5 zile de la îndeplinirea obligației de predare a bunului </w:t>
      </w:r>
      <w:r w:rsidR="001B5A42" w:rsidRPr="00453408">
        <w:rPr>
          <w:rFonts w:asciiTheme="minorHAnsi" w:hAnsiTheme="minorHAnsi" w:cstheme="minorHAnsi"/>
          <w:lang w:val="ro-RO"/>
        </w:rPr>
        <w:t>–</w:t>
      </w:r>
      <w:r w:rsidRPr="00453408">
        <w:rPr>
          <w:rFonts w:asciiTheme="minorHAnsi" w:hAnsiTheme="minorHAnsi" w:cstheme="minorHAnsi"/>
          <w:lang w:val="ro-RO"/>
        </w:rPr>
        <w:t xml:space="preserve"> </w:t>
      </w:r>
      <w:r w:rsidR="001B5A42" w:rsidRPr="00453408">
        <w:rPr>
          <w:rFonts w:asciiTheme="minorHAnsi" w:hAnsiTheme="minorHAnsi" w:cstheme="minorHAnsi"/>
          <w:lang w:val="ro-RO"/>
        </w:rPr>
        <w:t xml:space="preserve">dreptul este valabil timp de 30 de zile de la data predării, timp în care poate fi </w:t>
      </w:r>
      <w:r w:rsidR="001B5A42" w:rsidRPr="00453408">
        <w:rPr>
          <w:rStyle w:val="Emphasis"/>
          <w:rFonts w:asciiTheme="minorHAnsi" w:hAnsiTheme="minorHAnsi" w:cstheme="minorHAnsi"/>
          <w:color w:val="222222"/>
          <w:lang w:val="ro-RO"/>
        </w:rPr>
        <w:t>emisă acceptarea fermă și irevocabilă de cumpărare la un preț cel puțin egal cu contravaloarea tuturor sumelor datorate conform contractului, iar locatarul/utilizatorul consumator are obligația de a credita contul finanțatorului cu diferența necesară până la concurența sumelor datorate conform contractului de leasing, inclusiv valoarea reziduală la care se adaugă TVA, potrivit Legii nr. 227/2015 privind Codul fiscal, cu modificările și completările ulterioare;</w:t>
      </w:r>
    </w:p>
    <w:p w14:paraId="5161B169" w14:textId="001A93CB" w:rsidR="00882A0D" w:rsidRPr="00453408" w:rsidRDefault="007855C8" w:rsidP="00453408">
      <w:pPr>
        <w:pStyle w:val="Normal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dacă acceptarea de cumpărare emisă de terțul cumpărător are loc la un preț inferior sumelor datorate potrivit contractului, locatarul/utilizator este obligat să achite diferența necesară </w:t>
      </w:r>
      <w:r w:rsidR="002256AC"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>cel mai târziu la data încasării de către locator/finanțator a prețului de vânzare aferent transferului bunului;</w:t>
      </w:r>
    </w:p>
    <w:p w14:paraId="16A481CE" w14:textId="77777777" w:rsidR="002256AC" w:rsidRPr="00453408" w:rsidRDefault="002256AC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ind w:left="72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52F1BAFC" w14:textId="1F8FB6F2" w:rsidR="007855C8" w:rsidRPr="00453408" w:rsidRDefault="001B5A42" w:rsidP="00453408">
      <w:pPr>
        <w:keepNext/>
        <w:keepLines/>
        <w:jc w:val="both"/>
        <w:rPr>
          <w:rFonts w:asciiTheme="minorHAnsi" w:hAnsiTheme="minorHAnsi" w:cstheme="minorHAnsi"/>
          <w:color w:val="222222"/>
          <w:lang w:val="ro-RO"/>
        </w:rPr>
      </w:pPr>
      <w:r w:rsidRPr="00453408">
        <w:rPr>
          <w:rStyle w:val="Hyperlink"/>
          <w:rFonts w:asciiTheme="minorHAnsi" w:hAnsiTheme="minorHAnsi" w:cstheme="minorHAnsi"/>
          <w:color w:val="auto"/>
          <w:u w:val="none"/>
          <w:lang w:val="ro-RO"/>
        </w:rPr>
        <w:t xml:space="preserve">Dacă bunul nu este restituit în termenul contractual, </w:t>
      </w:r>
      <w:r w:rsidR="007855C8" w:rsidRPr="00453408">
        <w:rPr>
          <w:rFonts w:asciiTheme="minorHAnsi" w:hAnsiTheme="minorHAnsi" w:cstheme="minorHAnsi"/>
          <w:color w:val="222222"/>
          <w:lang w:val="ro-RO"/>
        </w:rPr>
        <w:t xml:space="preserve">locatarul/utilizatorul va fi obligat la achitarea către </w:t>
      </w:r>
      <w:r w:rsidR="00BD1105" w:rsidRPr="00453408">
        <w:rPr>
          <w:rFonts w:asciiTheme="minorHAnsi" w:hAnsiTheme="minorHAnsi" w:cstheme="minorHAnsi"/>
          <w:color w:val="222222"/>
          <w:lang w:val="ro-RO"/>
        </w:rPr>
        <w:t>locatar/</w:t>
      </w:r>
      <w:r w:rsidR="007855C8" w:rsidRPr="00453408">
        <w:rPr>
          <w:rFonts w:asciiTheme="minorHAnsi" w:hAnsiTheme="minorHAnsi" w:cstheme="minorHAnsi"/>
          <w:color w:val="222222"/>
          <w:lang w:val="ro-RO"/>
        </w:rPr>
        <w:t>finanțator atât a cheltuielilor efectuate pentru recuperarea bunului, cât și a sumelor efectiv datorate în baza contractului de leasing.</w:t>
      </w:r>
    </w:p>
    <w:p w14:paraId="6867F623" w14:textId="5F7F0AE8" w:rsidR="001B5A42" w:rsidRPr="00453408" w:rsidRDefault="001B5A42" w:rsidP="00453408">
      <w:pPr>
        <w:pStyle w:val="NormalWeb"/>
        <w:keepNext/>
        <w:keepLines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auto"/>
          <w:u w:val="none"/>
          <w:lang w:val="ro-RO"/>
        </w:rPr>
      </w:pPr>
    </w:p>
    <w:p w14:paraId="6AA1B041" w14:textId="70EAD3A3" w:rsidR="00AD417A" w:rsidRDefault="00E65604" w:rsidP="00453408">
      <w:pPr>
        <w:keepNext/>
        <w:keepLines/>
        <w:jc w:val="both"/>
        <w:rPr>
          <w:rFonts w:asciiTheme="minorHAnsi" w:hAnsiTheme="minorHAnsi" w:cstheme="minorHAnsi"/>
          <w:color w:val="222222"/>
          <w:lang w:val="ro-RO"/>
        </w:rPr>
      </w:pPr>
      <w:r w:rsidRPr="00453408">
        <w:rPr>
          <w:rFonts w:asciiTheme="minorHAnsi" w:hAnsiTheme="minorHAnsi" w:cstheme="minorHAnsi"/>
          <w:color w:val="222222"/>
          <w:lang w:val="ro-RO"/>
        </w:rPr>
        <w:t xml:space="preserve">Nu în ultimul rând, este de precizat că </w:t>
      </w:r>
      <w:r w:rsidR="00810F11" w:rsidRPr="00453408">
        <w:rPr>
          <w:rFonts w:asciiTheme="minorHAnsi" w:hAnsiTheme="minorHAnsi" w:cstheme="minorHAnsi"/>
          <w:color w:val="222222"/>
          <w:lang w:val="ro-RO"/>
        </w:rPr>
        <w:t>L</w:t>
      </w:r>
      <w:r w:rsidRPr="00453408">
        <w:rPr>
          <w:rFonts w:asciiTheme="minorHAnsi" w:hAnsiTheme="minorHAnsi" w:cstheme="minorHAnsi"/>
          <w:color w:val="222222"/>
          <w:lang w:val="ro-RO"/>
        </w:rPr>
        <w:t>egea nr. 83/2021 nu conține dispoziții tranzitorii legate de intrarea sa în vigoare sau aplicarea sa, astfel încât aceasta a intrat în vigoare potrivit legii, în termen de 3 zile de la data publicării în Monitorul Oficial</w:t>
      </w:r>
      <w:r w:rsidR="007B494D" w:rsidRPr="00453408">
        <w:rPr>
          <w:rFonts w:asciiTheme="minorHAnsi" w:hAnsiTheme="minorHAnsi" w:cstheme="minorHAnsi"/>
          <w:color w:val="222222"/>
          <w:lang w:val="ro-RO"/>
        </w:rPr>
        <w:t xml:space="preserve"> și, astfel cum a punctat și Curtea Constituțională, </w:t>
      </w:r>
      <w:r w:rsidR="007B494D" w:rsidRPr="00453408">
        <w:rPr>
          <w:rFonts w:asciiTheme="minorHAnsi" w:hAnsiTheme="minorHAnsi" w:cstheme="minorHAnsi"/>
          <w:b/>
          <w:i/>
          <w:color w:val="222222"/>
          <w:u w:val="single"/>
          <w:lang w:val="ro-RO"/>
        </w:rPr>
        <w:t>prevederile sale se aplică doar pentru contractele de leasing care se vor încheia după intrarea în vigoare a legii</w:t>
      </w:r>
      <w:r w:rsidR="007B494D" w:rsidRPr="00453408">
        <w:rPr>
          <w:rFonts w:asciiTheme="minorHAnsi" w:hAnsiTheme="minorHAnsi" w:cstheme="minorHAnsi"/>
          <w:color w:val="222222"/>
          <w:lang w:val="ro-RO"/>
        </w:rPr>
        <w:t>. Prin urmare, pentru contractel</w:t>
      </w:r>
      <w:r w:rsidR="00BD1105" w:rsidRPr="00453408">
        <w:rPr>
          <w:rFonts w:asciiTheme="minorHAnsi" w:hAnsiTheme="minorHAnsi" w:cstheme="minorHAnsi"/>
          <w:color w:val="222222"/>
          <w:lang w:val="ro-RO"/>
        </w:rPr>
        <w:t>e de leasing aflate în derulare</w:t>
      </w:r>
      <w:r w:rsidR="007B494D" w:rsidRPr="00453408">
        <w:rPr>
          <w:rFonts w:asciiTheme="minorHAnsi" w:hAnsiTheme="minorHAnsi" w:cstheme="minorHAnsi"/>
          <w:color w:val="222222"/>
          <w:lang w:val="ro-RO"/>
        </w:rPr>
        <w:t xml:space="preserve"> nu este afectat caracterul executoriu, efectele implementării noilor dispoziții legale în materie urmând a fi apreciate în concret abia pentru contractele care se vor încheia începând cu data de </w:t>
      </w:r>
      <w:r w:rsidR="00810F11" w:rsidRPr="00453408">
        <w:rPr>
          <w:rFonts w:asciiTheme="minorHAnsi" w:hAnsiTheme="minorHAnsi" w:cstheme="minorHAnsi"/>
          <w:color w:val="222222"/>
          <w:lang w:val="ro-RO"/>
        </w:rPr>
        <w:t xml:space="preserve">19 aprilie 2021. </w:t>
      </w:r>
    </w:p>
    <w:p w14:paraId="2E64B374" w14:textId="77777777" w:rsidR="00453408" w:rsidRDefault="00453408" w:rsidP="00453408">
      <w:pPr>
        <w:keepNext/>
        <w:keepLines/>
        <w:jc w:val="both"/>
        <w:rPr>
          <w:rFonts w:asciiTheme="minorHAnsi" w:hAnsiTheme="minorHAnsi" w:cstheme="minorHAnsi"/>
          <w:color w:val="222222"/>
          <w:lang w:val="ro-RO"/>
        </w:rPr>
      </w:pPr>
    </w:p>
    <w:p w14:paraId="44E24073" w14:textId="1F0B6264" w:rsidR="00453408" w:rsidRPr="0041361D" w:rsidRDefault="00453408" w:rsidP="00453408">
      <w:pPr>
        <w:pStyle w:val="NoSpacing"/>
        <w:jc w:val="both"/>
        <w:rPr>
          <w:rFonts w:cstheme="minorHAnsi"/>
          <w:sz w:val="24"/>
          <w:szCs w:val="24"/>
        </w:rPr>
      </w:pPr>
      <w:r w:rsidRPr="0059655F">
        <w:rPr>
          <w:i/>
        </w:rPr>
        <w:t xml:space="preserve">Un articol semnat de </w:t>
      </w:r>
      <w:r>
        <w:rPr>
          <w:i/>
        </w:rPr>
        <w:t xml:space="preserve">Oana Zamă, Partner - </w:t>
      </w:r>
      <w:hyperlink r:id="rId8" w:history="1">
        <w:r w:rsidR="00E41D7B" w:rsidRPr="00BC0D3B">
          <w:rPr>
            <w:rStyle w:val="Hyperlink"/>
            <w:i/>
          </w:rPr>
          <w:t>ozama@stoica-asociatii.ro</w:t>
        </w:r>
      </w:hyperlink>
      <w:r w:rsidRPr="0059655F">
        <w:rPr>
          <w:i/>
        </w:rPr>
        <w:t xml:space="preserve"> -</w:t>
      </w:r>
      <w:r w:rsidR="004E744C">
        <w:rPr>
          <w:i/>
        </w:rPr>
        <w:t xml:space="preserve"> </w:t>
      </w:r>
      <w:hyperlink r:id="rId9" w:history="1">
        <w:r w:rsidRPr="0041361D">
          <w:rPr>
            <w:rStyle w:val="Hyperlink"/>
            <w:i/>
          </w:rPr>
          <w:t>STOICA &amp; Asociații.</w:t>
        </w:r>
      </w:hyperlink>
      <w:r>
        <w:rPr>
          <w:i/>
        </w:rPr>
        <w:t xml:space="preserve"> </w:t>
      </w:r>
    </w:p>
    <w:p w14:paraId="684547D9" w14:textId="77777777" w:rsidR="00453408" w:rsidRPr="00453408" w:rsidRDefault="00453408" w:rsidP="00453408">
      <w:pPr>
        <w:keepNext/>
        <w:keepLines/>
        <w:jc w:val="both"/>
        <w:rPr>
          <w:rFonts w:asciiTheme="minorHAnsi" w:hAnsiTheme="minorHAnsi" w:cstheme="minorHAnsi"/>
          <w:color w:val="222222"/>
          <w:lang w:val="ro-RO"/>
        </w:rPr>
      </w:pPr>
    </w:p>
    <w:p w14:paraId="3238E07D" w14:textId="77777777" w:rsidR="00046E53" w:rsidRPr="00453408" w:rsidRDefault="00046E53" w:rsidP="002B22EB">
      <w:pPr>
        <w:keepNext/>
        <w:keepLines/>
        <w:spacing w:line="360" w:lineRule="auto"/>
        <w:jc w:val="both"/>
        <w:rPr>
          <w:rFonts w:asciiTheme="minorHAnsi" w:hAnsiTheme="minorHAnsi" w:cstheme="minorHAnsi"/>
          <w:color w:val="222222"/>
          <w:lang w:val="ro-RO"/>
        </w:rPr>
      </w:pPr>
    </w:p>
    <w:sectPr w:rsidR="00046E53" w:rsidRPr="00453408" w:rsidSect="00453408">
      <w:footerReference w:type="default" r:id="rId10"/>
      <w:headerReference w:type="first" r:id="rId11"/>
      <w:footerReference w:type="first" r:id="rId12"/>
      <w:pgSz w:w="11906" w:h="16838"/>
      <w:pgMar w:top="1440" w:right="65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7E57" w14:textId="77777777" w:rsidR="00866A4C" w:rsidRDefault="00866A4C" w:rsidP="0076310F">
      <w:r>
        <w:separator/>
      </w:r>
    </w:p>
  </w:endnote>
  <w:endnote w:type="continuationSeparator" w:id="0">
    <w:p w14:paraId="472180F7" w14:textId="77777777" w:rsidR="00866A4C" w:rsidRDefault="00866A4C" w:rsidP="007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761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10612" w14:textId="77777777" w:rsidR="003022E4" w:rsidRDefault="00302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2AED7" w14:textId="77777777" w:rsidR="003022E4" w:rsidRDefault="00302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3ED3" w14:textId="77777777" w:rsidR="003022E4" w:rsidRDefault="003022E4" w:rsidP="006D0BE0">
    <w:pPr>
      <w:pStyle w:val="Footer"/>
      <w:jc w:val="center"/>
    </w:pPr>
    <w:r>
      <w:rPr>
        <w:rFonts w:ascii="Book Antiqua" w:hAnsi="Book Antiqu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8B9524" wp14:editId="72E55859">
              <wp:simplePos x="0" y="0"/>
              <wp:positionH relativeFrom="column">
                <wp:posOffset>10633</wp:posOffset>
              </wp:positionH>
              <wp:positionV relativeFrom="paragraph">
                <wp:posOffset>-57785</wp:posOffset>
              </wp:positionV>
              <wp:extent cx="5762108" cy="0"/>
              <wp:effectExtent l="0" t="0" r="101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10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FFFA1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4.55pt" to="454.5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" strokecolor="black [3040]"/>
          </w:pict>
        </mc:Fallback>
      </mc:AlternateContent>
    </w:r>
    <w:r>
      <w:rPr>
        <w:rFonts w:ascii="Book Antiqua" w:hAnsi="Book Antiqua"/>
        <w:sz w:val="16"/>
      </w:rPr>
      <w:t>FIDELITAS, INTEGRITAS, FORTITUDO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43DD" w14:textId="77777777" w:rsidR="00866A4C" w:rsidRDefault="00866A4C" w:rsidP="0076310F">
      <w:r>
        <w:separator/>
      </w:r>
    </w:p>
  </w:footnote>
  <w:footnote w:type="continuationSeparator" w:id="0">
    <w:p w14:paraId="5D97018D" w14:textId="77777777" w:rsidR="00866A4C" w:rsidRDefault="00866A4C" w:rsidP="0076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20" w:type="dxa"/>
      <w:tblInd w:w="108" w:type="dxa"/>
      <w:tblBorders>
        <w:insideH w:val="single" w:sz="12" w:space="0" w:color="auto"/>
      </w:tblBorders>
      <w:tblLook w:val="04A0" w:firstRow="1" w:lastRow="0" w:firstColumn="1" w:lastColumn="0" w:noHBand="0" w:noVBand="1"/>
    </w:tblPr>
    <w:tblGrid>
      <w:gridCol w:w="1236"/>
      <w:gridCol w:w="7584"/>
    </w:tblGrid>
    <w:tr w:rsidR="009A2E98" w:rsidRPr="00D54E97" w14:paraId="336CD2CD" w14:textId="77777777" w:rsidTr="000D3791">
      <w:trPr>
        <w:cantSplit/>
      </w:trPr>
      <w:tc>
        <w:tcPr>
          <w:tcW w:w="1080" w:type="dxa"/>
          <w:vMerge w:val="restart"/>
        </w:tcPr>
        <w:p w14:paraId="46D61A65" w14:textId="1F1D48D9" w:rsidR="009A2E98" w:rsidRPr="00D54E97" w:rsidRDefault="004E744C" w:rsidP="009A2E98">
          <w:pPr>
            <w:rPr>
              <w:sz w:val="20"/>
            </w:rPr>
          </w:pPr>
          <w:r>
            <w:t xml:space="preserve"> </w:t>
          </w:r>
        </w:p>
        <w:p w14:paraId="1EBF7ECB" w14:textId="77777777" w:rsidR="009A2E98" w:rsidRPr="00D54E97" w:rsidRDefault="009A2E98" w:rsidP="009A2E98">
          <w:pPr>
            <w:tabs>
              <w:tab w:val="left" w:pos="720"/>
              <w:tab w:val="center" w:pos="4320"/>
              <w:tab w:val="right" w:pos="8640"/>
            </w:tabs>
            <w:rPr>
              <w:sz w:val="20"/>
            </w:rPr>
          </w:pPr>
          <w:r w:rsidRPr="00D54E97">
            <w:rPr>
              <w:noProof/>
            </w:rPr>
            <w:drawing>
              <wp:inline distT="0" distB="0" distL="0" distR="0" wp14:anchorId="48F1CB5B" wp14:editId="7F134197">
                <wp:extent cx="638175" cy="628650"/>
                <wp:effectExtent l="0" t="0" r="9525" b="0"/>
                <wp:docPr id="11" name="Picture 11" descr="cid:image001.png@01D1591F.BF7F6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591F.BF7F63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6FED04" w14:textId="77777777" w:rsidR="009A2E98" w:rsidRPr="00D54E97" w:rsidRDefault="009A2E98" w:rsidP="009A2E98"/>
      </w:tc>
      <w:tc>
        <w:tcPr>
          <w:tcW w:w="774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67E47FED" w14:textId="77777777" w:rsidR="009A2E98" w:rsidRPr="00D54E97" w:rsidRDefault="009A2E98" w:rsidP="009A2E98">
          <w:pPr>
            <w:jc w:val="center"/>
            <w:rPr>
              <w:rFonts w:ascii="Book Antiqua" w:hAnsi="Book Antiqua"/>
              <w:sz w:val="40"/>
            </w:rPr>
          </w:pPr>
          <w:r w:rsidRPr="00D54E97">
            <w:rPr>
              <w:rFonts w:ascii="Book Antiqua" w:hAnsi="Book Antiqua"/>
              <w:sz w:val="40"/>
            </w:rPr>
            <w:t>STOICA &amp; Asociaţii</w:t>
          </w:r>
        </w:p>
        <w:p w14:paraId="440CA042" w14:textId="77777777" w:rsidR="009A2E98" w:rsidRPr="00D54E97" w:rsidRDefault="009A2E98" w:rsidP="009A2E98">
          <w:pPr>
            <w:keepNext/>
            <w:ind w:left="360"/>
            <w:jc w:val="center"/>
            <w:outlineLvl w:val="0"/>
            <w:rPr>
              <w:rFonts w:ascii="Book Antiqua" w:hAnsi="Book Antiqua"/>
              <w:b/>
              <w:bCs/>
              <w:sz w:val="16"/>
            </w:rPr>
          </w:pPr>
          <w:r w:rsidRPr="00D54E97">
            <w:rPr>
              <w:rFonts w:ascii="Book Antiqua" w:hAnsi="Book Antiqua"/>
              <w:sz w:val="16"/>
            </w:rPr>
            <w:t>SOCIETATE CIVILĂ DE AVOCAŢI - ATTORNEYS AT LAW</w:t>
          </w:r>
        </w:p>
      </w:tc>
    </w:tr>
    <w:tr w:rsidR="009A2E98" w:rsidRPr="00D54E97" w14:paraId="0AED3408" w14:textId="77777777" w:rsidTr="000D3791">
      <w:trPr>
        <w:cantSplit/>
        <w:trHeight w:val="779"/>
      </w:trPr>
      <w:tc>
        <w:tcPr>
          <w:tcW w:w="0" w:type="auto"/>
          <w:vMerge/>
          <w:vAlign w:val="center"/>
          <w:hideMark/>
        </w:tcPr>
        <w:p w14:paraId="70DFDF9B" w14:textId="77777777" w:rsidR="009A2E98" w:rsidRPr="00D54E97" w:rsidRDefault="009A2E98" w:rsidP="009A2E98"/>
      </w:tc>
      <w:tc>
        <w:tcPr>
          <w:tcW w:w="7740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5792350B" w14:textId="77777777" w:rsidR="009A2E98" w:rsidRPr="00D54E97" w:rsidRDefault="009A2E98" w:rsidP="009A2E98">
          <w:pPr>
            <w:jc w:val="center"/>
            <w:rPr>
              <w:rFonts w:ascii="Book Antiqua" w:hAnsi="Book Antiqua"/>
              <w:sz w:val="20"/>
            </w:rPr>
          </w:pPr>
          <w:r w:rsidRPr="00D54E97">
            <w:rPr>
              <w:rFonts w:ascii="Book Antiqua" w:hAnsi="Book Antiqua"/>
              <w:sz w:val="20"/>
            </w:rPr>
            <w:t>Opera Center II, Str. Dr. Staicovici nr. 2, etaj 2, Sector 5, 050558-Bucureşti, România</w:t>
          </w:r>
        </w:p>
        <w:p w14:paraId="1F09CB07" w14:textId="77777777" w:rsidR="009A2E98" w:rsidRPr="00D54E97" w:rsidRDefault="009A2E98" w:rsidP="009A2E98">
          <w:pPr>
            <w:jc w:val="center"/>
            <w:rPr>
              <w:rFonts w:ascii="Book Antiqua" w:hAnsi="Book Antiqua"/>
              <w:sz w:val="20"/>
            </w:rPr>
          </w:pPr>
          <w:r w:rsidRPr="00D54E97">
            <w:rPr>
              <w:rFonts w:ascii="Book Antiqua" w:hAnsi="Book Antiqua"/>
              <w:sz w:val="20"/>
            </w:rPr>
            <w:t>Telefon: (+4021) 4020930 Fax: (+4021) 4020931 E-mail: sca@stoica-asociatii.ro</w:t>
          </w:r>
        </w:p>
        <w:p w14:paraId="55BE91D3" w14:textId="77777777" w:rsidR="009A2E98" w:rsidRPr="00D54E97" w:rsidRDefault="009A2E98" w:rsidP="009A2E98">
          <w:pPr>
            <w:jc w:val="center"/>
            <w:rPr>
              <w:rFonts w:ascii="Book Antiqua" w:hAnsi="Book Antiqua"/>
              <w:sz w:val="20"/>
            </w:rPr>
          </w:pPr>
          <w:r w:rsidRPr="00D54E97">
            <w:rPr>
              <w:rFonts w:ascii="Book Antiqua" w:hAnsi="Book Antiqua"/>
              <w:sz w:val="20"/>
            </w:rPr>
            <w:t>www.stoica-asociatii.ro</w:t>
          </w:r>
        </w:p>
      </w:tc>
    </w:tr>
  </w:tbl>
  <w:p w14:paraId="7A08A9F7" w14:textId="77777777" w:rsidR="003022E4" w:rsidRDefault="003022E4" w:rsidP="006D0BE0">
    <w:pPr>
      <w:pStyle w:val="Header"/>
    </w:pPr>
  </w:p>
  <w:p w14:paraId="396D50A8" w14:textId="77777777" w:rsidR="003022E4" w:rsidRPr="006D0BE0" w:rsidRDefault="003022E4" w:rsidP="006D0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A11"/>
    <w:multiLevelType w:val="hybridMultilevel"/>
    <w:tmpl w:val="3508ECF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FD78F2"/>
    <w:multiLevelType w:val="hybridMultilevel"/>
    <w:tmpl w:val="229625D8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276E04AC">
      <w:start w:val="40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587379"/>
    <w:multiLevelType w:val="hybridMultilevel"/>
    <w:tmpl w:val="5C0A583A"/>
    <w:lvl w:ilvl="0" w:tplc="E54AFD16">
      <w:start w:val="5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0D31EFA"/>
    <w:multiLevelType w:val="hybridMultilevel"/>
    <w:tmpl w:val="E86E4244"/>
    <w:lvl w:ilvl="0" w:tplc="BD24C1C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F43F86"/>
    <w:multiLevelType w:val="hybridMultilevel"/>
    <w:tmpl w:val="8D30D784"/>
    <w:lvl w:ilvl="0" w:tplc="9FA28390">
      <w:start w:val="1"/>
      <w:numFmt w:val="lowerRoman"/>
      <w:lvlText w:val="(%1)"/>
      <w:lvlJc w:val="left"/>
      <w:pPr>
        <w:ind w:left="1713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6F346D"/>
    <w:multiLevelType w:val="hybridMultilevel"/>
    <w:tmpl w:val="3508ECF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351033"/>
    <w:multiLevelType w:val="hybridMultilevel"/>
    <w:tmpl w:val="06EA7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25AF"/>
    <w:multiLevelType w:val="hybridMultilevel"/>
    <w:tmpl w:val="B64AED9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3485"/>
    <w:multiLevelType w:val="hybridMultilevel"/>
    <w:tmpl w:val="BA26B376"/>
    <w:lvl w:ilvl="0" w:tplc="570A7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A7413D"/>
    <w:multiLevelType w:val="hybridMultilevel"/>
    <w:tmpl w:val="06EA7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5EBE"/>
    <w:multiLevelType w:val="hybridMultilevel"/>
    <w:tmpl w:val="3B301DDC"/>
    <w:lvl w:ilvl="0" w:tplc="17660B5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86B5CA3"/>
    <w:multiLevelType w:val="multilevel"/>
    <w:tmpl w:val="276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AF38A5"/>
    <w:multiLevelType w:val="multilevel"/>
    <w:tmpl w:val="C86431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pStyle w:val="01Stilobisnuit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354BE0"/>
    <w:multiLevelType w:val="hybridMultilevel"/>
    <w:tmpl w:val="297C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7F8D"/>
    <w:multiLevelType w:val="hybridMultilevel"/>
    <w:tmpl w:val="22E0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95D4D"/>
    <w:multiLevelType w:val="hybridMultilevel"/>
    <w:tmpl w:val="06EA7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C515A"/>
    <w:multiLevelType w:val="hybridMultilevel"/>
    <w:tmpl w:val="B83A119A"/>
    <w:lvl w:ilvl="0" w:tplc="A1E081A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25979"/>
    <w:multiLevelType w:val="hybridMultilevel"/>
    <w:tmpl w:val="3FF62554"/>
    <w:lvl w:ilvl="0" w:tplc="5A1C4A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17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6A"/>
    <w:rsid w:val="00011A31"/>
    <w:rsid w:val="00014EEA"/>
    <w:rsid w:val="00020751"/>
    <w:rsid w:val="00020C7F"/>
    <w:rsid w:val="00023352"/>
    <w:rsid w:val="00023B7B"/>
    <w:rsid w:val="00032458"/>
    <w:rsid w:val="00034FA8"/>
    <w:rsid w:val="00042F18"/>
    <w:rsid w:val="000436B5"/>
    <w:rsid w:val="00046E53"/>
    <w:rsid w:val="00056CAE"/>
    <w:rsid w:val="000863EF"/>
    <w:rsid w:val="00087383"/>
    <w:rsid w:val="00092642"/>
    <w:rsid w:val="000970EB"/>
    <w:rsid w:val="000A70F2"/>
    <w:rsid w:val="000A7823"/>
    <w:rsid w:val="000B38B6"/>
    <w:rsid w:val="000B792E"/>
    <w:rsid w:val="000C10C6"/>
    <w:rsid w:val="000D5F9A"/>
    <w:rsid w:val="000F0483"/>
    <w:rsid w:val="000F206D"/>
    <w:rsid w:val="000F4CA3"/>
    <w:rsid w:val="000F5D9B"/>
    <w:rsid w:val="00101FA6"/>
    <w:rsid w:val="00102CB6"/>
    <w:rsid w:val="00102CC1"/>
    <w:rsid w:val="001164FB"/>
    <w:rsid w:val="00126785"/>
    <w:rsid w:val="00127CD5"/>
    <w:rsid w:val="00130367"/>
    <w:rsid w:val="00131F10"/>
    <w:rsid w:val="00136615"/>
    <w:rsid w:val="001373C8"/>
    <w:rsid w:val="00141DBA"/>
    <w:rsid w:val="00145B78"/>
    <w:rsid w:val="00153339"/>
    <w:rsid w:val="00155781"/>
    <w:rsid w:val="00155D26"/>
    <w:rsid w:val="00156E11"/>
    <w:rsid w:val="001676A7"/>
    <w:rsid w:val="0018053A"/>
    <w:rsid w:val="0018222E"/>
    <w:rsid w:val="00182CC2"/>
    <w:rsid w:val="00184BE8"/>
    <w:rsid w:val="00186625"/>
    <w:rsid w:val="001A60D5"/>
    <w:rsid w:val="001A7150"/>
    <w:rsid w:val="001A79FA"/>
    <w:rsid w:val="001B457B"/>
    <w:rsid w:val="001B5A42"/>
    <w:rsid w:val="001C114A"/>
    <w:rsid w:val="001C1B79"/>
    <w:rsid w:val="001C7544"/>
    <w:rsid w:val="001D49C7"/>
    <w:rsid w:val="001E0ACA"/>
    <w:rsid w:val="001E5A57"/>
    <w:rsid w:val="001E682A"/>
    <w:rsid w:val="001F3E5D"/>
    <w:rsid w:val="001F60F6"/>
    <w:rsid w:val="001F6F46"/>
    <w:rsid w:val="00202977"/>
    <w:rsid w:val="002066E7"/>
    <w:rsid w:val="00207DDA"/>
    <w:rsid w:val="00211385"/>
    <w:rsid w:val="00211467"/>
    <w:rsid w:val="00211F6A"/>
    <w:rsid w:val="00222CD6"/>
    <w:rsid w:val="002256AC"/>
    <w:rsid w:val="00230B88"/>
    <w:rsid w:val="00240F6D"/>
    <w:rsid w:val="00244798"/>
    <w:rsid w:val="002477EC"/>
    <w:rsid w:val="0025762F"/>
    <w:rsid w:val="002660DB"/>
    <w:rsid w:val="00267148"/>
    <w:rsid w:val="00267794"/>
    <w:rsid w:val="002726AF"/>
    <w:rsid w:val="00276149"/>
    <w:rsid w:val="0028242B"/>
    <w:rsid w:val="002929AB"/>
    <w:rsid w:val="002938EC"/>
    <w:rsid w:val="00296A31"/>
    <w:rsid w:val="002A5C97"/>
    <w:rsid w:val="002A7544"/>
    <w:rsid w:val="002B18E4"/>
    <w:rsid w:val="002B22EB"/>
    <w:rsid w:val="002B3F85"/>
    <w:rsid w:val="002B6135"/>
    <w:rsid w:val="002C198A"/>
    <w:rsid w:val="002C3634"/>
    <w:rsid w:val="002C3CD4"/>
    <w:rsid w:val="002D3179"/>
    <w:rsid w:val="002D3262"/>
    <w:rsid w:val="003022E4"/>
    <w:rsid w:val="00302432"/>
    <w:rsid w:val="00307DED"/>
    <w:rsid w:val="00316190"/>
    <w:rsid w:val="00317C8C"/>
    <w:rsid w:val="00321C70"/>
    <w:rsid w:val="00322CC9"/>
    <w:rsid w:val="00332B24"/>
    <w:rsid w:val="00333CC3"/>
    <w:rsid w:val="00336536"/>
    <w:rsid w:val="00344CB4"/>
    <w:rsid w:val="0034536D"/>
    <w:rsid w:val="00347E44"/>
    <w:rsid w:val="003510E3"/>
    <w:rsid w:val="003576D2"/>
    <w:rsid w:val="00361275"/>
    <w:rsid w:val="00364545"/>
    <w:rsid w:val="00367EA4"/>
    <w:rsid w:val="00374956"/>
    <w:rsid w:val="0038322F"/>
    <w:rsid w:val="003928EE"/>
    <w:rsid w:val="00393A5C"/>
    <w:rsid w:val="00397956"/>
    <w:rsid w:val="003A1F1C"/>
    <w:rsid w:val="003B4CCE"/>
    <w:rsid w:val="003B642F"/>
    <w:rsid w:val="003C4D8E"/>
    <w:rsid w:val="003C5278"/>
    <w:rsid w:val="003D38F3"/>
    <w:rsid w:val="003D61B6"/>
    <w:rsid w:val="003D6A7E"/>
    <w:rsid w:val="003E129E"/>
    <w:rsid w:val="003E778E"/>
    <w:rsid w:val="003E7D06"/>
    <w:rsid w:val="003F2139"/>
    <w:rsid w:val="003F4989"/>
    <w:rsid w:val="00402276"/>
    <w:rsid w:val="00406DFE"/>
    <w:rsid w:val="0041144B"/>
    <w:rsid w:val="004229DB"/>
    <w:rsid w:val="00424AFD"/>
    <w:rsid w:val="00432249"/>
    <w:rsid w:val="0043259F"/>
    <w:rsid w:val="00434647"/>
    <w:rsid w:val="00437FF8"/>
    <w:rsid w:val="004421CF"/>
    <w:rsid w:val="00443F63"/>
    <w:rsid w:val="00450097"/>
    <w:rsid w:val="00450B68"/>
    <w:rsid w:val="00453408"/>
    <w:rsid w:val="00460814"/>
    <w:rsid w:val="00465852"/>
    <w:rsid w:val="004667CE"/>
    <w:rsid w:val="00467D1C"/>
    <w:rsid w:val="0047114E"/>
    <w:rsid w:val="0048604F"/>
    <w:rsid w:val="004A0097"/>
    <w:rsid w:val="004A3C43"/>
    <w:rsid w:val="004A6C5B"/>
    <w:rsid w:val="004B0EAF"/>
    <w:rsid w:val="004B2E73"/>
    <w:rsid w:val="004B5195"/>
    <w:rsid w:val="004B7167"/>
    <w:rsid w:val="004C0658"/>
    <w:rsid w:val="004C15BB"/>
    <w:rsid w:val="004C1F20"/>
    <w:rsid w:val="004C2C50"/>
    <w:rsid w:val="004C59B2"/>
    <w:rsid w:val="004C7B0D"/>
    <w:rsid w:val="004D2FFC"/>
    <w:rsid w:val="004D3078"/>
    <w:rsid w:val="004E01BB"/>
    <w:rsid w:val="004E2BFE"/>
    <w:rsid w:val="004E744C"/>
    <w:rsid w:val="004F1988"/>
    <w:rsid w:val="004F6903"/>
    <w:rsid w:val="0050449E"/>
    <w:rsid w:val="005047F1"/>
    <w:rsid w:val="00507F0E"/>
    <w:rsid w:val="005156C5"/>
    <w:rsid w:val="00517AAC"/>
    <w:rsid w:val="00522ECA"/>
    <w:rsid w:val="00534CB2"/>
    <w:rsid w:val="005446A9"/>
    <w:rsid w:val="0054666F"/>
    <w:rsid w:val="00546AD2"/>
    <w:rsid w:val="0055331E"/>
    <w:rsid w:val="00555F5E"/>
    <w:rsid w:val="00557B72"/>
    <w:rsid w:val="00563793"/>
    <w:rsid w:val="00563A60"/>
    <w:rsid w:val="0056696E"/>
    <w:rsid w:val="00575D7A"/>
    <w:rsid w:val="005821B9"/>
    <w:rsid w:val="00593444"/>
    <w:rsid w:val="005946AF"/>
    <w:rsid w:val="005966E1"/>
    <w:rsid w:val="005A2E58"/>
    <w:rsid w:val="005A3407"/>
    <w:rsid w:val="005A60B5"/>
    <w:rsid w:val="005A71D7"/>
    <w:rsid w:val="005C0297"/>
    <w:rsid w:val="005C1F57"/>
    <w:rsid w:val="005C2CAA"/>
    <w:rsid w:val="005C5C64"/>
    <w:rsid w:val="005D58E8"/>
    <w:rsid w:val="005E25FE"/>
    <w:rsid w:val="005E4144"/>
    <w:rsid w:val="005E5429"/>
    <w:rsid w:val="005E55CF"/>
    <w:rsid w:val="005E657F"/>
    <w:rsid w:val="005F0032"/>
    <w:rsid w:val="005F737E"/>
    <w:rsid w:val="00603398"/>
    <w:rsid w:val="006213C9"/>
    <w:rsid w:val="00624CC4"/>
    <w:rsid w:val="00632AD1"/>
    <w:rsid w:val="00637212"/>
    <w:rsid w:val="00645189"/>
    <w:rsid w:val="00652099"/>
    <w:rsid w:val="006527A2"/>
    <w:rsid w:val="00655F7E"/>
    <w:rsid w:val="0065631D"/>
    <w:rsid w:val="00662B98"/>
    <w:rsid w:val="00673542"/>
    <w:rsid w:val="00675A2E"/>
    <w:rsid w:val="00675E6D"/>
    <w:rsid w:val="006836DE"/>
    <w:rsid w:val="00687073"/>
    <w:rsid w:val="006914F0"/>
    <w:rsid w:val="006922FC"/>
    <w:rsid w:val="006926A9"/>
    <w:rsid w:val="00695865"/>
    <w:rsid w:val="0069751F"/>
    <w:rsid w:val="006A19A9"/>
    <w:rsid w:val="006A323C"/>
    <w:rsid w:val="006B658B"/>
    <w:rsid w:val="006B6BCF"/>
    <w:rsid w:val="006C0B79"/>
    <w:rsid w:val="006C2574"/>
    <w:rsid w:val="006C51D3"/>
    <w:rsid w:val="006C6752"/>
    <w:rsid w:val="006D0BE0"/>
    <w:rsid w:val="006D6CDF"/>
    <w:rsid w:val="006E1312"/>
    <w:rsid w:val="006E20B0"/>
    <w:rsid w:val="006F1134"/>
    <w:rsid w:val="006F17BF"/>
    <w:rsid w:val="006F31BF"/>
    <w:rsid w:val="006F3349"/>
    <w:rsid w:val="006F5D3F"/>
    <w:rsid w:val="006F67DA"/>
    <w:rsid w:val="007173F0"/>
    <w:rsid w:val="007252E8"/>
    <w:rsid w:val="00725BDD"/>
    <w:rsid w:val="00740430"/>
    <w:rsid w:val="00740A8D"/>
    <w:rsid w:val="007417CE"/>
    <w:rsid w:val="00741E51"/>
    <w:rsid w:val="00760F64"/>
    <w:rsid w:val="0076277A"/>
    <w:rsid w:val="0076310F"/>
    <w:rsid w:val="0076318B"/>
    <w:rsid w:val="00766B81"/>
    <w:rsid w:val="007675E2"/>
    <w:rsid w:val="00771F52"/>
    <w:rsid w:val="007855C8"/>
    <w:rsid w:val="0079470E"/>
    <w:rsid w:val="007A0EFC"/>
    <w:rsid w:val="007A2742"/>
    <w:rsid w:val="007A5F32"/>
    <w:rsid w:val="007B30AF"/>
    <w:rsid w:val="007B3F6F"/>
    <w:rsid w:val="007B494D"/>
    <w:rsid w:val="007C2884"/>
    <w:rsid w:val="007C6A9E"/>
    <w:rsid w:val="007D360C"/>
    <w:rsid w:val="007D5F7F"/>
    <w:rsid w:val="007D6F81"/>
    <w:rsid w:val="007E1B46"/>
    <w:rsid w:val="007E46FA"/>
    <w:rsid w:val="007E761B"/>
    <w:rsid w:val="007F0181"/>
    <w:rsid w:val="007F1C91"/>
    <w:rsid w:val="007F1DED"/>
    <w:rsid w:val="007F4955"/>
    <w:rsid w:val="007F5356"/>
    <w:rsid w:val="00807699"/>
    <w:rsid w:val="008104AB"/>
    <w:rsid w:val="00810F11"/>
    <w:rsid w:val="00813B51"/>
    <w:rsid w:val="00826333"/>
    <w:rsid w:val="00830B12"/>
    <w:rsid w:val="00830E99"/>
    <w:rsid w:val="008353FC"/>
    <w:rsid w:val="00836D16"/>
    <w:rsid w:val="00846E57"/>
    <w:rsid w:val="00847036"/>
    <w:rsid w:val="00866A4C"/>
    <w:rsid w:val="008671CD"/>
    <w:rsid w:val="008726BB"/>
    <w:rsid w:val="00882A0D"/>
    <w:rsid w:val="00885F1B"/>
    <w:rsid w:val="0088678A"/>
    <w:rsid w:val="00887C7E"/>
    <w:rsid w:val="00893AE3"/>
    <w:rsid w:val="008A19AF"/>
    <w:rsid w:val="008A1CD7"/>
    <w:rsid w:val="008B10BF"/>
    <w:rsid w:val="008B19A5"/>
    <w:rsid w:val="008B4926"/>
    <w:rsid w:val="008C150F"/>
    <w:rsid w:val="008C29B2"/>
    <w:rsid w:val="008C4FB5"/>
    <w:rsid w:val="008D1291"/>
    <w:rsid w:val="008D2E90"/>
    <w:rsid w:val="008D3D22"/>
    <w:rsid w:val="008D6A34"/>
    <w:rsid w:val="008D6EE5"/>
    <w:rsid w:val="008E0A13"/>
    <w:rsid w:val="008E783D"/>
    <w:rsid w:val="008F094B"/>
    <w:rsid w:val="008F2F84"/>
    <w:rsid w:val="0090477D"/>
    <w:rsid w:val="00905328"/>
    <w:rsid w:val="0090721D"/>
    <w:rsid w:val="009101DE"/>
    <w:rsid w:val="00915CA0"/>
    <w:rsid w:val="00915FCC"/>
    <w:rsid w:val="009168A6"/>
    <w:rsid w:val="0091785C"/>
    <w:rsid w:val="00920FA3"/>
    <w:rsid w:val="00931A8F"/>
    <w:rsid w:val="009341F4"/>
    <w:rsid w:val="00936317"/>
    <w:rsid w:val="00937664"/>
    <w:rsid w:val="00941599"/>
    <w:rsid w:val="009461F0"/>
    <w:rsid w:val="00953242"/>
    <w:rsid w:val="0095687F"/>
    <w:rsid w:val="00964A40"/>
    <w:rsid w:val="009727B3"/>
    <w:rsid w:val="00975BE2"/>
    <w:rsid w:val="00981CD0"/>
    <w:rsid w:val="00993D65"/>
    <w:rsid w:val="00994726"/>
    <w:rsid w:val="00994810"/>
    <w:rsid w:val="00994B5F"/>
    <w:rsid w:val="009A1DB3"/>
    <w:rsid w:val="009A2E98"/>
    <w:rsid w:val="009A5E55"/>
    <w:rsid w:val="009B028F"/>
    <w:rsid w:val="009B0BF3"/>
    <w:rsid w:val="009C2838"/>
    <w:rsid w:val="009C6A2F"/>
    <w:rsid w:val="009C6AA7"/>
    <w:rsid w:val="009D7F86"/>
    <w:rsid w:val="009E1029"/>
    <w:rsid w:val="009E3146"/>
    <w:rsid w:val="009E5A27"/>
    <w:rsid w:val="009F2380"/>
    <w:rsid w:val="009F3E5B"/>
    <w:rsid w:val="009F705E"/>
    <w:rsid w:val="009F7BC9"/>
    <w:rsid w:val="00A04E8A"/>
    <w:rsid w:val="00A06607"/>
    <w:rsid w:val="00A10487"/>
    <w:rsid w:val="00A1083E"/>
    <w:rsid w:val="00A20A6D"/>
    <w:rsid w:val="00A22FF2"/>
    <w:rsid w:val="00A24F13"/>
    <w:rsid w:val="00A25923"/>
    <w:rsid w:val="00A31271"/>
    <w:rsid w:val="00A40B85"/>
    <w:rsid w:val="00A514C4"/>
    <w:rsid w:val="00A51F5E"/>
    <w:rsid w:val="00A6462D"/>
    <w:rsid w:val="00A65B86"/>
    <w:rsid w:val="00A709CB"/>
    <w:rsid w:val="00A76F68"/>
    <w:rsid w:val="00A81968"/>
    <w:rsid w:val="00A83592"/>
    <w:rsid w:val="00A8377F"/>
    <w:rsid w:val="00A934C0"/>
    <w:rsid w:val="00AA2F24"/>
    <w:rsid w:val="00AA4DFB"/>
    <w:rsid w:val="00AB1838"/>
    <w:rsid w:val="00AB239E"/>
    <w:rsid w:val="00AC52CB"/>
    <w:rsid w:val="00AD381F"/>
    <w:rsid w:val="00AD417A"/>
    <w:rsid w:val="00AD567C"/>
    <w:rsid w:val="00AE2AD9"/>
    <w:rsid w:val="00AE7A4A"/>
    <w:rsid w:val="00AF06E9"/>
    <w:rsid w:val="00AF2A3A"/>
    <w:rsid w:val="00AF4F7D"/>
    <w:rsid w:val="00AF50CA"/>
    <w:rsid w:val="00B01AAD"/>
    <w:rsid w:val="00B059ED"/>
    <w:rsid w:val="00B062C6"/>
    <w:rsid w:val="00B14650"/>
    <w:rsid w:val="00B21226"/>
    <w:rsid w:val="00B22E83"/>
    <w:rsid w:val="00B306F5"/>
    <w:rsid w:val="00B33723"/>
    <w:rsid w:val="00B36417"/>
    <w:rsid w:val="00B42D1B"/>
    <w:rsid w:val="00B5458D"/>
    <w:rsid w:val="00B54E9B"/>
    <w:rsid w:val="00B55A59"/>
    <w:rsid w:val="00B7218C"/>
    <w:rsid w:val="00B801B3"/>
    <w:rsid w:val="00B86ED6"/>
    <w:rsid w:val="00B9146F"/>
    <w:rsid w:val="00B92B71"/>
    <w:rsid w:val="00B9663D"/>
    <w:rsid w:val="00BA0ABD"/>
    <w:rsid w:val="00BA4D71"/>
    <w:rsid w:val="00BA5D43"/>
    <w:rsid w:val="00BA7D4A"/>
    <w:rsid w:val="00BB08C7"/>
    <w:rsid w:val="00BB2EDC"/>
    <w:rsid w:val="00BC248D"/>
    <w:rsid w:val="00BC2E7B"/>
    <w:rsid w:val="00BC495E"/>
    <w:rsid w:val="00BC7A9A"/>
    <w:rsid w:val="00BD1105"/>
    <w:rsid w:val="00BD13BA"/>
    <w:rsid w:val="00BD1706"/>
    <w:rsid w:val="00BE4225"/>
    <w:rsid w:val="00BF62F0"/>
    <w:rsid w:val="00C115C3"/>
    <w:rsid w:val="00C14B72"/>
    <w:rsid w:val="00C16F31"/>
    <w:rsid w:val="00C22FE7"/>
    <w:rsid w:val="00C27808"/>
    <w:rsid w:val="00C37F90"/>
    <w:rsid w:val="00C42FFD"/>
    <w:rsid w:val="00C4482F"/>
    <w:rsid w:val="00C471A0"/>
    <w:rsid w:val="00C5158A"/>
    <w:rsid w:val="00C524BC"/>
    <w:rsid w:val="00C575C3"/>
    <w:rsid w:val="00C654CA"/>
    <w:rsid w:val="00C744E3"/>
    <w:rsid w:val="00C76349"/>
    <w:rsid w:val="00C8294A"/>
    <w:rsid w:val="00C86ED6"/>
    <w:rsid w:val="00C90ECF"/>
    <w:rsid w:val="00C912DA"/>
    <w:rsid w:val="00CA0085"/>
    <w:rsid w:val="00CA3489"/>
    <w:rsid w:val="00CA7909"/>
    <w:rsid w:val="00CB1C04"/>
    <w:rsid w:val="00CB25FE"/>
    <w:rsid w:val="00CB34A0"/>
    <w:rsid w:val="00CB4BA7"/>
    <w:rsid w:val="00CC11E3"/>
    <w:rsid w:val="00CC13EF"/>
    <w:rsid w:val="00CC2BB5"/>
    <w:rsid w:val="00CC3B06"/>
    <w:rsid w:val="00CD10DC"/>
    <w:rsid w:val="00CD680C"/>
    <w:rsid w:val="00CE18A5"/>
    <w:rsid w:val="00CE36E4"/>
    <w:rsid w:val="00CE5265"/>
    <w:rsid w:val="00CE6D40"/>
    <w:rsid w:val="00CF33D6"/>
    <w:rsid w:val="00CF5E6F"/>
    <w:rsid w:val="00D03F43"/>
    <w:rsid w:val="00D40236"/>
    <w:rsid w:val="00D44F75"/>
    <w:rsid w:val="00D472E6"/>
    <w:rsid w:val="00D6298C"/>
    <w:rsid w:val="00D63475"/>
    <w:rsid w:val="00D66CA0"/>
    <w:rsid w:val="00D67D90"/>
    <w:rsid w:val="00D738F6"/>
    <w:rsid w:val="00D7426C"/>
    <w:rsid w:val="00D87456"/>
    <w:rsid w:val="00D91927"/>
    <w:rsid w:val="00D9208D"/>
    <w:rsid w:val="00D947C4"/>
    <w:rsid w:val="00D94FBA"/>
    <w:rsid w:val="00DA3F10"/>
    <w:rsid w:val="00DA6F1A"/>
    <w:rsid w:val="00DB21D5"/>
    <w:rsid w:val="00DC45B2"/>
    <w:rsid w:val="00DD0CD3"/>
    <w:rsid w:val="00DD0E82"/>
    <w:rsid w:val="00DD7A05"/>
    <w:rsid w:val="00DE18B5"/>
    <w:rsid w:val="00DE46D7"/>
    <w:rsid w:val="00DE5CE2"/>
    <w:rsid w:val="00DF18F3"/>
    <w:rsid w:val="00E02F12"/>
    <w:rsid w:val="00E04FF2"/>
    <w:rsid w:val="00E058D6"/>
    <w:rsid w:val="00E07223"/>
    <w:rsid w:val="00E13480"/>
    <w:rsid w:val="00E206CC"/>
    <w:rsid w:val="00E2158C"/>
    <w:rsid w:val="00E260F0"/>
    <w:rsid w:val="00E26E46"/>
    <w:rsid w:val="00E27BFC"/>
    <w:rsid w:val="00E315BA"/>
    <w:rsid w:val="00E32EEC"/>
    <w:rsid w:val="00E35212"/>
    <w:rsid w:val="00E3540B"/>
    <w:rsid w:val="00E41D7B"/>
    <w:rsid w:val="00E470AD"/>
    <w:rsid w:val="00E472DB"/>
    <w:rsid w:val="00E50802"/>
    <w:rsid w:val="00E53A8C"/>
    <w:rsid w:val="00E54A23"/>
    <w:rsid w:val="00E605BB"/>
    <w:rsid w:val="00E61393"/>
    <w:rsid w:val="00E65604"/>
    <w:rsid w:val="00E66E90"/>
    <w:rsid w:val="00E85CF3"/>
    <w:rsid w:val="00E95A61"/>
    <w:rsid w:val="00E96BB3"/>
    <w:rsid w:val="00E96E7D"/>
    <w:rsid w:val="00E9700A"/>
    <w:rsid w:val="00EA10B7"/>
    <w:rsid w:val="00EA3BBD"/>
    <w:rsid w:val="00EC3D47"/>
    <w:rsid w:val="00ED23F0"/>
    <w:rsid w:val="00EE2402"/>
    <w:rsid w:val="00EE2D68"/>
    <w:rsid w:val="00EE5D39"/>
    <w:rsid w:val="00EE72D7"/>
    <w:rsid w:val="00EF0B31"/>
    <w:rsid w:val="00F03CD9"/>
    <w:rsid w:val="00F04707"/>
    <w:rsid w:val="00F13F7E"/>
    <w:rsid w:val="00F1594A"/>
    <w:rsid w:val="00F226D8"/>
    <w:rsid w:val="00F243D8"/>
    <w:rsid w:val="00F27149"/>
    <w:rsid w:val="00F27399"/>
    <w:rsid w:val="00F30F35"/>
    <w:rsid w:val="00F33634"/>
    <w:rsid w:val="00F37DEA"/>
    <w:rsid w:val="00F42DFD"/>
    <w:rsid w:val="00F44AF7"/>
    <w:rsid w:val="00F4762C"/>
    <w:rsid w:val="00F47E6C"/>
    <w:rsid w:val="00F50105"/>
    <w:rsid w:val="00F5047B"/>
    <w:rsid w:val="00F515C4"/>
    <w:rsid w:val="00F601E0"/>
    <w:rsid w:val="00F604E3"/>
    <w:rsid w:val="00F70CA3"/>
    <w:rsid w:val="00F71AE9"/>
    <w:rsid w:val="00F742CE"/>
    <w:rsid w:val="00F74E1A"/>
    <w:rsid w:val="00F753ED"/>
    <w:rsid w:val="00F75E55"/>
    <w:rsid w:val="00F76AE1"/>
    <w:rsid w:val="00F859E9"/>
    <w:rsid w:val="00F876B3"/>
    <w:rsid w:val="00F87AA8"/>
    <w:rsid w:val="00F91C97"/>
    <w:rsid w:val="00F920B6"/>
    <w:rsid w:val="00F92418"/>
    <w:rsid w:val="00F943A0"/>
    <w:rsid w:val="00F974F2"/>
    <w:rsid w:val="00FA63C9"/>
    <w:rsid w:val="00FC1096"/>
    <w:rsid w:val="00FC1C95"/>
    <w:rsid w:val="00FC2A0F"/>
    <w:rsid w:val="00FE22C6"/>
    <w:rsid w:val="00FE25B3"/>
    <w:rsid w:val="00FE2A6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9482"/>
  <w15:docId w15:val="{E20DCD23-0407-44D9-A9F2-30FC5039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F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62F0"/>
    <w:pPr>
      <w:keepNext/>
      <w:jc w:val="center"/>
      <w:outlineLvl w:val="0"/>
    </w:pPr>
    <w:rPr>
      <w:rFonts w:ascii="Book Antiqua" w:hAnsi="Book Antiqu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F62F0"/>
    <w:pPr>
      <w:keepNext/>
      <w:jc w:val="center"/>
      <w:outlineLvl w:val="1"/>
    </w:pPr>
    <w:rPr>
      <w:rFonts w:ascii="TimesRomanR" w:hAnsi="TimesRomanR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F62F0"/>
    <w:pPr>
      <w:keepNext/>
      <w:jc w:val="center"/>
      <w:outlineLvl w:val="2"/>
    </w:pPr>
    <w:rPr>
      <w:rFonts w:ascii="TimesRomanR" w:hAnsi="TimesRomanR"/>
      <w:b/>
      <w:i/>
      <w:sz w:val="1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BF62F0"/>
    <w:pPr>
      <w:keepNext/>
      <w:jc w:val="center"/>
      <w:outlineLvl w:val="3"/>
    </w:pPr>
    <w:rPr>
      <w:rFonts w:ascii="TimesRomanR" w:hAnsi="TimesRomanR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BF62F0"/>
    <w:pPr>
      <w:keepNext/>
      <w:tabs>
        <w:tab w:val="left" w:pos="1134"/>
        <w:tab w:val="left" w:pos="2835"/>
      </w:tabs>
      <w:jc w:val="both"/>
      <w:outlineLvl w:val="4"/>
    </w:pPr>
    <w:rPr>
      <w:rFonts w:ascii="TimesRomanR" w:hAnsi="TimesRomanR"/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F62F0"/>
    <w:pPr>
      <w:keepNext/>
      <w:tabs>
        <w:tab w:val="left" w:pos="1080"/>
        <w:tab w:val="left" w:pos="2520"/>
      </w:tabs>
      <w:outlineLvl w:val="5"/>
    </w:pPr>
    <w:rPr>
      <w:rFonts w:ascii="TimesRomanR" w:hAnsi="TimesRoman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2F0"/>
    <w:rPr>
      <w:rFonts w:ascii="Book Antiqua" w:hAnsi="Book Antiqua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F62F0"/>
    <w:rPr>
      <w:rFonts w:ascii="TimesRomanR" w:hAnsi="TimesRomanR"/>
      <w:b/>
      <w:sz w:val="24"/>
    </w:rPr>
  </w:style>
  <w:style w:type="character" w:customStyle="1" w:styleId="Heading3Char">
    <w:name w:val="Heading 3 Char"/>
    <w:basedOn w:val="DefaultParagraphFont"/>
    <w:link w:val="Heading3"/>
    <w:rsid w:val="00BF62F0"/>
    <w:rPr>
      <w:rFonts w:ascii="TimesRomanR" w:hAnsi="TimesRomanR"/>
      <w:b/>
      <w:i/>
      <w:sz w:val="14"/>
    </w:rPr>
  </w:style>
  <w:style w:type="character" w:customStyle="1" w:styleId="Heading4Char">
    <w:name w:val="Heading 4 Char"/>
    <w:basedOn w:val="DefaultParagraphFont"/>
    <w:link w:val="Heading4"/>
    <w:rsid w:val="00BF62F0"/>
    <w:rPr>
      <w:rFonts w:ascii="TimesRomanR" w:hAnsi="TimesRomanR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F62F0"/>
    <w:rPr>
      <w:rFonts w:ascii="TimesRomanR" w:hAnsi="TimesRomanR"/>
      <w:b/>
      <w:sz w:val="24"/>
    </w:rPr>
  </w:style>
  <w:style w:type="character" w:customStyle="1" w:styleId="Heading6Char">
    <w:name w:val="Heading 6 Char"/>
    <w:basedOn w:val="DefaultParagraphFont"/>
    <w:link w:val="Heading6"/>
    <w:rsid w:val="00BF62F0"/>
    <w:rPr>
      <w:rFonts w:ascii="TimesRomanR" w:hAnsi="TimesRomanR"/>
      <w:b/>
      <w:bCs/>
      <w:sz w:val="24"/>
      <w:szCs w:val="24"/>
      <w:lang w:val="en-US"/>
    </w:rPr>
  </w:style>
  <w:style w:type="paragraph" w:styleId="ListParagraph">
    <w:name w:val="List Paragraph"/>
    <w:basedOn w:val="Normal"/>
    <w:qFormat/>
    <w:rsid w:val="00BF62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0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0F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0BE0"/>
    <w:rPr>
      <w:color w:val="0000FF" w:themeColor="hyperlink"/>
      <w:u w:val="single"/>
    </w:rPr>
  </w:style>
  <w:style w:type="table" w:styleId="TableGrid">
    <w:name w:val="Table Grid"/>
    <w:basedOn w:val="TableNormal"/>
    <w:rsid w:val="0099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Char"/>
    <w:basedOn w:val="Normal"/>
    <w:link w:val="FootnoteTextChar"/>
    <w:unhideWhenUsed/>
    <w:rsid w:val="002B3F85"/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2B3F85"/>
    <w:rPr>
      <w:lang w:val="en-US"/>
    </w:rPr>
  </w:style>
  <w:style w:type="character" w:styleId="FootnoteReference">
    <w:name w:val="footnote reference"/>
    <w:basedOn w:val="DefaultParagraphFont"/>
    <w:unhideWhenUsed/>
    <w:rsid w:val="002B3F85"/>
    <w:rPr>
      <w:vertAlign w:val="superscript"/>
    </w:rPr>
  </w:style>
  <w:style w:type="character" w:customStyle="1" w:styleId="l5def1">
    <w:name w:val="l5def1"/>
    <w:basedOn w:val="DefaultParagraphFont"/>
    <w:rsid w:val="002B3F8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2B3F8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2B3F8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2B3F8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2B3F85"/>
    <w:rPr>
      <w:rFonts w:ascii="Arial" w:hAnsi="Arial" w:cs="Arial" w:hint="default"/>
      <w:color w:val="000000"/>
      <w:sz w:val="26"/>
      <w:szCs w:val="26"/>
    </w:rPr>
  </w:style>
  <w:style w:type="character" w:customStyle="1" w:styleId="rvts7">
    <w:name w:val="rvts7"/>
    <w:basedOn w:val="DefaultParagraphFont"/>
    <w:rsid w:val="002477EC"/>
  </w:style>
  <w:style w:type="paragraph" w:customStyle="1" w:styleId="01Stilobisnuit">
    <w:name w:val="01 Stil obisnuit"/>
    <w:basedOn w:val="BodyText"/>
    <w:link w:val="01StilobisnuitChar"/>
    <w:autoRedefine/>
    <w:qFormat/>
    <w:rsid w:val="00406DFE"/>
    <w:pPr>
      <w:numPr>
        <w:ilvl w:val="1"/>
        <w:numId w:val="4"/>
      </w:numPr>
      <w:spacing w:before="240" w:after="240"/>
      <w:ind w:left="426" w:hanging="426"/>
      <w:jc w:val="both"/>
    </w:pPr>
    <w:rPr>
      <w:rFonts w:eastAsia="Batang"/>
      <w:b/>
      <w:bCs/>
      <w:lang w:val="ro-RO"/>
    </w:rPr>
  </w:style>
  <w:style w:type="character" w:customStyle="1" w:styleId="01StilobisnuitChar">
    <w:name w:val="01 Stil obisnuit Char"/>
    <w:link w:val="01Stilobisnuit"/>
    <w:rsid w:val="00406DFE"/>
    <w:rPr>
      <w:rFonts w:eastAsia="Batang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247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7EC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22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22C6"/>
    <w:rPr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6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53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53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36"/>
    <w:rPr>
      <w:rFonts w:ascii="Tahoma" w:hAnsi="Tahoma" w:cs="Tahoma"/>
      <w:sz w:val="16"/>
      <w:szCs w:val="16"/>
      <w:lang w:val="en-US"/>
    </w:rPr>
  </w:style>
  <w:style w:type="character" w:customStyle="1" w:styleId="l5ghi1">
    <w:name w:val="l5_ghi1"/>
    <w:basedOn w:val="DefaultParagraphFont"/>
    <w:rsid w:val="006D6CDF"/>
    <w:rPr>
      <w:sz w:val="26"/>
      <w:szCs w:val="26"/>
      <w:shd w:val="clear" w:color="auto" w:fill="E0E0F0"/>
    </w:rPr>
  </w:style>
  <w:style w:type="character" w:customStyle="1" w:styleId="l5ghi2">
    <w:name w:val="l5_ghi2"/>
    <w:basedOn w:val="DefaultParagraphFont"/>
    <w:rsid w:val="006D6CDF"/>
    <w:rPr>
      <w:sz w:val="26"/>
      <w:szCs w:val="26"/>
      <w:shd w:val="clear" w:color="auto" w:fill="E0E0F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6A7E"/>
    <w:rPr>
      <w:rFonts w:ascii="Arial" w:hAnsi="Arial" w:cs="Consolas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A7E"/>
    <w:rPr>
      <w:rFonts w:ascii="Arial" w:hAnsi="Arial" w:cs="Consolas"/>
      <w:sz w:val="22"/>
      <w:szCs w:val="21"/>
      <w:lang w:eastAsia="en-GB"/>
    </w:rPr>
  </w:style>
  <w:style w:type="paragraph" w:styleId="NormalWeb">
    <w:name w:val="Normal (Web)"/>
    <w:basedOn w:val="Normal"/>
    <w:uiPriority w:val="99"/>
    <w:rsid w:val="00F44AF7"/>
    <w:pPr>
      <w:spacing w:before="100" w:beforeAutospacing="1" w:after="100" w:afterAutospacing="1"/>
    </w:pPr>
  </w:style>
  <w:style w:type="character" w:customStyle="1" w:styleId="l5def">
    <w:name w:val="l5def"/>
    <w:basedOn w:val="DefaultParagraphFont"/>
    <w:rsid w:val="000970EB"/>
  </w:style>
  <w:style w:type="character" w:styleId="Emphasis">
    <w:name w:val="Emphasis"/>
    <w:basedOn w:val="DefaultParagraphFont"/>
    <w:uiPriority w:val="20"/>
    <w:qFormat/>
    <w:rsid w:val="000970EB"/>
    <w:rPr>
      <w:i/>
      <w:iCs/>
    </w:rPr>
  </w:style>
  <w:style w:type="character" w:styleId="Strong">
    <w:name w:val="Strong"/>
    <w:basedOn w:val="DefaultParagraphFont"/>
    <w:uiPriority w:val="22"/>
    <w:qFormat/>
    <w:rsid w:val="00AD417A"/>
    <w:rPr>
      <w:b/>
      <w:bCs/>
    </w:rPr>
  </w:style>
  <w:style w:type="character" w:customStyle="1" w:styleId="mntl-sc-block-headingtext">
    <w:name w:val="mntl-sc-block-heading__text"/>
    <w:basedOn w:val="DefaultParagraphFont"/>
    <w:rsid w:val="00F42DFD"/>
  </w:style>
  <w:style w:type="paragraph" w:customStyle="1" w:styleId="comp">
    <w:name w:val="comp"/>
    <w:basedOn w:val="Normal"/>
    <w:rsid w:val="00F42DF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53408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ma@stoica-asociatii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oica-asociatii.r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4E56-93D8-4930-9E42-F6FB46F4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Chelaru</dc:creator>
  <cp:lastModifiedBy>Alina Grigoras</cp:lastModifiedBy>
  <cp:revision>8</cp:revision>
  <cp:lastPrinted>2018-06-12T06:46:00Z</cp:lastPrinted>
  <dcterms:created xsi:type="dcterms:W3CDTF">2021-04-27T08:43:00Z</dcterms:created>
  <dcterms:modified xsi:type="dcterms:W3CDTF">2021-04-27T13:53:00Z</dcterms:modified>
</cp:coreProperties>
</file>