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7E" w:rsidRPr="0089167E" w:rsidRDefault="0089167E" w:rsidP="0089167E">
      <w:pPr>
        <w:pStyle w:val="NoSpacing"/>
        <w:jc w:val="center"/>
        <w:rPr>
          <w:i/>
        </w:rPr>
      </w:pPr>
      <w:bookmarkStart w:id="0" w:name="_Hlk65486701"/>
      <w:r w:rsidRPr="0089167E">
        <w:rPr>
          <w:i/>
        </w:rPr>
        <w:t>PROIECT</w:t>
      </w:r>
    </w:p>
    <w:p w:rsidR="00522583" w:rsidRPr="000C21A7" w:rsidRDefault="00522583" w:rsidP="00704967">
      <w:pPr>
        <w:pStyle w:val="Header"/>
        <w:widowControl w:val="0"/>
        <w:spacing w:before="720" w:after="240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0C21A7">
        <w:rPr>
          <w:rFonts w:ascii="Calibri" w:hAnsi="Calibri" w:cs="Calibri"/>
          <w:b/>
          <w:color w:val="000000"/>
          <w:sz w:val="40"/>
          <w:szCs w:val="40"/>
        </w:rPr>
        <w:t>CONSILIUL SUPERIOR AL MAGISTRATURII</w:t>
      </w:r>
      <w:bookmarkEnd w:id="0"/>
    </w:p>
    <w:p w:rsidR="0020524A" w:rsidRPr="00986F9D" w:rsidRDefault="00986F9D" w:rsidP="00A77AD0">
      <w:pPr>
        <w:widowControl w:val="0"/>
        <w:spacing w:after="240"/>
        <w:jc w:val="center"/>
        <w:rPr>
          <w:rFonts w:ascii="Calibri" w:hAnsi="Calibri" w:cs="Calibri"/>
          <w:b/>
          <w:sz w:val="40"/>
          <w:szCs w:val="40"/>
        </w:rPr>
      </w:pPr>
      <w:r w:rsidRPr="00986F9D">
        <w:rPr>
          <w:rFonts w:ascii="Calibri" w:hAnsi="Calibri" w:cs="Calibri"/>
          <w:b/>
          <w:sz w:val="40"/>
          <w:szCs w:val="40"/>
        </w:rPr>
        <w:t>SECȚIA PENTRU JUDECĂTORI</w:t>
      </w:r>
    </w:p>
    <w:p w:rsidR="009E77FD" w:rsidRPr="000C21A7" w:rsidRDefault="00F33B1F" w:rsidP="00A77AD0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1" w:name="numar_hot"/>
      <w:r w:rsidRPr="000C21A7">
        <w:rPr>
          <w:rFonts w:ascii="Calibri" w:hAnsi="Calibri" w:cs="Calibri"/>
          <w:b/>
          <w:bCs/>
          <w:sz w:val="32"/>
          <w:szCs w:val="32"/>
        </w:rPr>
        <w:t>HOTĂRÂRE</w:t>
      </w:r>
      <w:r w:rsidR="00372EAE" w:rsidRPr="000C21A7">
        <w:rPr>
          <w:rFonts w:ascii="Calibri" w:hAnsi="Calibri" w:cs="Calibri"/>
          <w:b/>
          <w:bCs/>
          <w:sz w:val="32"/>
          <w:szCs w:val="32"/>
        </w:rPr>
        <w:t>A</w:t>
      </w:r>
      <w:r w:rsidRPr="000C21A7">
        <w:rPr>
          <w:rFonts w:ascii="Calibri" w:hAnsi="Calibri" w:cs="Calibri"/>
          <w:b/>
          <w:bCs/>
          <w:sz w:val="32"/>
          <w:szCs w:val="32"/>
        </w:rPr>
        <w:t xml:space="preserve"> nr</w:t>
      </w:r>
      <w:r w:rsidR="00DB4B63" w:rsidRPr="000C21A7">
        <w:rPr>
          <w:rFonts w:ascii="Calibri" w:hAnsi="Calibri" w:cs="Calibri"/>
          <w:b/>
          <w:bCs/>
          <w:sz w:val="32"/>
          <w:szCs w:val="32"/>
        </w:rPr>
        <w:t xml:space="preserve">. </w:t>
      </w:r>
      <w:bookmarkEnd w:id="1"/>
      <w:r w:rsidR="00986F9D">
        <w:rPr>
          <w:rFonts w:ascii="Calibri" w:hAnsi="Calibri" w:cs="Calibri"/>
          <w:b/>
          <w:bCs/>
          <w:sz w:val="32"/>
          <w:szCs w:val="32"/>
        </w:rPr>
        <w:t>……</w:t>
      </w:r>
    </w:p>
    <w:p w:rsidR="00DB4B63" w:rsidRDefault="00987A0F" w:rsidP="00A77AD0">
      <w:pPr>
        <w:widowControl w:val="0"/>
        <w:spacing w:after="600"/>
        <w:jc w:val="center"/>
        <w:rPr>
          <w:rFonts w:ascii="Calibri" w:hAnsi="Calibri" w:cs="Calibri"/>
          <w:bCs/>
          <w:sz w:val="32"/>
          <w:szCs w:val="32"/>
        </w:rPr>
      </w:pPr>
      <w:r w:rsidRPr="000C21A7">
        <w:rPr>
          <w:rFonts w:ascii="Calibri" w:hAnsi="Calibri" w:cs="Calibri"/>
          <w:bCs/>
          <w:sz w:val="32"/>
          <w:szCs w:val="32"/>
        </w:rPr>
        <w:t>d</w:t>
      </w:r>
      <w:r w:rsidR="00DB4B63" w:rsidRPr="000C21A7">
        <w:rPr>
          <w:rFonts w:ascii="Calibri" w:hAnsi="Calibri" w:cs="Calibri"/>
          <w:bCs/>
          <w:sz w:val="32"/>
          <w:szCs w:val="32"/>
        </w:rPr>
        <w:t>in</w:t>
      </w:r>
      <w:r w:rsidR="00170BAA" w:rsidRPr="000C21A7">
        <w:rPr>
          <w:rFonts w:ascii="Calibri" w:hAnsi="Calibri" w:cs="Calibri"/>
          <w:bCs/>
          <w:sz w:val="32"/>
          <w:szCs w:val="32"/>
        </w:rPr>
        <w:t xml:space="preserve"> </w:t>
      </w:r>
      <w:r w:rsidR="00695AD0">
        <w:rPr>
          <w:rFonts w:ascii="Calibri" w:hAnsi="Calibri" w:cs="Calibri"/>
          <w:bCs/>
          <w:sz w:val="32"/>
          <w:szCs w:val="32"/>
        </w:rPr>
        <w:t>…2021</w:t>
      </w:r>
    </w:p>
    <w:p w:rsidR="00695AD0" w:rsidRPr="00695AD0" w:rsidRDefault="00695AD0" w:rsidP="00A77AD0">
      <w:pPr>
        <w:widowControl w:val="0"/>
        <w:spacing w:after="600"/>
        <w:jc w:val="center"/>
        <w:rPr>
          <w:rFonts w:ascii="Calibri" w:hAnsi="Calibri" w:cs="Calibri"/>
          <w:b/>
          <w:bCs/>
          <w:sz w:val="32"/>
          <w:szCs w:val="32"/>
        </w:rPr>
      </w:pPr>
      <w:r w:rsidRPr="00695AD0">
        <w:rPr>
          <w:rFonts w:ascii="Calibri" w:hAnsi="Calibri" w:cs="Calibri"/>
          <w:b/>
          <w:bCs/>
          <w:sz w:val="32"/>
          <w:szCs w:val="32"/>
        </w:rPr>
        <w:t xml:space="preserve">pentru </w:t>
      </w:r>
      <w:r>
        <w:rPr>
          <w:rFonts w:ascii="Calibri" w:hAnsi="Calibri" w:cs="Calibri"/>
          <w:b/>
          <w:bCs/>
          <w:sz w:val="32"/>
          <w:szCs w:val="32"/>
        </w:rPr>
        <w:t xml:space="preserve">modificarea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şi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95AD0">
        <w:rPr>
          <w:rFonts w:ascii="Calibri" w:hAnsi="Calibri" w:cs="Calibri"/>
          <w:b/>
          <w:bCs/>
          <w:sz w:val="32"/>
          <w:szCs w:val="32"/>
        </w:rPr>
        <w:t xml:space="preserve">completarea Regulamentului privind organizarea </w:t>
      </w:r>
      <w:proofErr w:type="spellStart"/>
      <w:r w:rsidRPr="00695AD0">
        <w:rPr>
          <w:rFonts w:ascii="Calibri" w:hAnsi="Calibri" w:cs="Calibri"/>
          <w:b/>
          <w:bCs/>
          <w:sz w:val="32"/>
          <w:szCs w:val="32"/>
        </w:rPr>
        <w:t>şi</w:t>
      </w:r>
      <w:proofErr w:type="spellEnd"/>
      <w:r w:rsidRPr="00695AD0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695AD0">
        <w:rPr>
          <w:rFonts w:ascii="Calibri" w:hAnsi="Calibri" w:cs="Calibri"/>
          <w:b/>
          <w:bCs/>
          <w:sz w:val="32"/>
          <w:szCs w:val="32"/>
        </w:rPr>
        <w:t>desfăşurarea</w:t>
      </w:r>
      <w:proofErr w:type="spellEnd"/>
      <w:r w:rsidRPr="00695AD0">
        <w:rPr>
          <w:rFonts w:ascii="Calibri" w:hAnsi="Calibri" w:cs="Calibri"/>
          <w:b/>
          <w:bCs/>
          <w:sz w:val="32"/>
          <w:szCs w:val="32"/>
        </w:rPr>
        <w:t xml:space="preserve"> concursului de promovare a judecătorilor, aprobat prin Hotărârea Secției pentru judecători nr. 1348/2019</w:t>
      </w:r>
    </w:p>
    <w:p w:rsidR="00695AD0" w:rsidRPr="00695AD0" w:rsidRDefault="00695AD0" w:rsidP="00695AD0">
      <w:pPr>
        <w:widowControl w:val="0"/>
        <w:spacing w:line="276" w:lineRule="auto"/>
        <w:ind w:firstLine="873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În temeiul dispozițiilor art. 133 alin. (5) </w:t>
      </w:r>
      <w:proofErr w:type="spellStart"/>
      <w:r w:rsidRPr="00695AD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 (7) din Constituția României, republicată, </w:t>
      </w:r>
      <w:proofErr w:type="spellStart"/>
      <w:r w:rsidRPr="00695AD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 ale art. 23 alin. (1) din Legea nr. 317/2004 privind Consiliul Superior al Magistraturii, republicată, cu modificările </w:t>
      </w:r>
      <w:proofErr w:type="spellStart"/>
      <w:r w:rsidRPr="00695AD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 completările ulterioare,</w:t>
      </w:r>
    </w:p>
    <w:p w:rsidR="00986F9D" w:rsidRPr="00704967" w:rsidRDefault="00695AD0" w:rsidP="00695AD0">
      <w:pPr>
        <w:widowControl w:val="0"/>
        <w:spacing w:line="276" w:lineRule="auto"/>
        <w:ind w:firstLine="873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având în vedere dispozițiile art. 106 lit. f) din Legea nr. 303/2004 privind statutul judecătorilor </w:t>
      </w:r>
      <w:proofErr w:type="spellStart"/>
      <w:r w:rsidRPr="00695AD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 procurorilor, republicată, cu modificările </w:t>
      </w:r>
      <w:proofErr w:type="spellStart"/>
      <w:r w:rsidRPr="00695AD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 completările ulterioare, cu </w:t>
      </w:r>
      <w:r>
        <w:rPr>
          <w:rFonts w:ascii="Calibri" w:hAnsi="Calibri" w:cs="Calibri"/>
          <w:bCs/>
          <w:color w:val="000000"/>
          <w:sz w:val="26"/>
          <w:szCs w:val="26"/>
        </w:rPr>
        <w:t>…</w:t>
      </w:r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 voturilor exprimate,</w:t>
      </w:r>
    </w:p>
    <w:p w:rsidR="00987A0F" w:rsidRPr="000C21A7" w:rsidRDefault="00986F9D" w:rsidP="00A77AD0">
      <w:pPr>
        <w:widowControl w:val="0"/>
        <w:spacing w:before="60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SECȚIA PENTRU JUDECĂTORI A</w:t>
      </w:r>
    </w:p>
    <w:p w:rsidR="00170BAA" w:rsidRPr="000C21A7" w:rsidRDefault="00170BAA" w:rsidP="00A77AD0">
      <w:pPr>
        <w:widowControl w:val="0"/>
        <w:spacing w:after="36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C21A7">
        <w:rPr>
          <w:rFonts w:ascii="Calibri" w:hAnsi="Calibri" w:cs="Calibri"/>
          <w:b/>
          <w:bCs/>
          <w:color w:val="000000"/>
          <w:sz w:val="32"/>
          <w:szCs w:val="32"/>
        </w:rPr>
        <w:t>CONSILIULUI SUPERIOR AL MAGISTRATURII</w:t>
      </w:r>
    </w:p>
    <w:p w:rsidR="00DF5D5D" w:rsidRPr="000C21A7" w:rsidRDefault="00DB4B63" w:rsidP="00A77AD0">
      <w:pPr>
        <w:widowControl w:val="0"/>
        <w:spacing w:after="60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C21A7">
        <w:rPr>
          <w:rFonts w:ascii="Calibri" w:hAnsi="Calibri" w:cs="Calibri"/>
          <w:b/>
          <w:bCs/>
          <w:color w:val="000000"/>
          <w:sz w:val="32"/>
          <w:szCs w:val="32"/>
        </w:rPr>
        <w:t>HOTĂRĂŞTE</w:t>
      </w:r>
    </w:p>
    <w:p w:rsidR="00695AD0" w:rsidRDefault="00695AD0" w:rsidP="00695AD0">
      <w:pPr>
        <w:widowControl w:val="0"/>
        <w:spacing w:line="276" w:lineRule="auto"/>
        <w:ind w:firstLine="873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695AD0">
        <w:rPr>
          <w:rFonts w:ascii="Calibri" w:hAnsi="Calibri" w:cs="Calibri"/>
          <w:b/>
          <w:bCs/>
          <w:color w:val="000000"/>
          <w:sz w:val="26"/>
          <w:szCs w:val="26"/>
        </w:rPr>
        <w:t>Art. 1</w:t>
      </w:r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 – Regulamentul privind organizarea </w:t>
      </w:r>
      <w:proofErr w:type="spellStart"/>
      <w:r w:rsidRPr="00695AD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695AD0">
        <w:rPr>
          <w:rFonts w:ascii="Calibri" w:hAnsi="Calibri" w:cs="Calibri"/>
          <w:bCs/>
          <w:color w:val="000000"/>
          <w:sz w:val="26"/>
          <w:szCs w:val="26"/>
        </w:rPr>
        <w:t>desfăşurarea</w:t>
      </w:r>
      <w:proofErr w:type="spellEnd"/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 concursului de promovare a judecătorilor, aprobat prin Hotărârea Secției pentru judecători nr. 1348/2019, publicată în Monitorul Oficial al României, Partea I, nr. 768 din 23 septembrie 2019, </w:t>
      </w:r>
      <w:r>
        <w:rPr>
          <w:rFonts w:ascii="Calibri" w:hAnsi="Calibri" w:cs="Calibri"/>
          <w:bCs/>
          <w:color w:val="000000"/>
          <w:sz w:val="26"/>
          <w:szCs w:val="26"/>
        </w:rPr>
        <w:t xml:space="preserve">cu completările ulterioare, </w:t>
      </w:r>
      <w:r w:rsidRPr="00695AD0">
        <w:rPr>
          <w:rFonts w:ascii="Calibri" w:hAnsi="Calibri" w:cs="Calibri"/>
          <w:bCs/>
          <w:color w:val="000000"/>
          <w:sz w:val="26"/>
          <w:szCs w:val="26"/>
        </w:rPr>
        <w:t xml:space="preserve">se </w:t>
      </w:r>
      <w:r>
        <w:rPr>
          <w:rFonts w:ascii="Calibri" w:hAnsi="Calibri" w:cs="Calibri"/>
          <w:bCs/>
          <w:color w:val="000000"/>
          <w:sz w:val="26"/>
          <w:szCs w:val="26"/>
        </w:rPr>
        <w:t xml:space="preserve">modifică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>
        <w:rPr>
          <w:rFonts w:ascii="Calibri" w:hAnsi="Calibri" w:cs="Calibri"/>
          <w:bCs/>
          <w:color w:val="000000"/>
          <w:sz w:val="26"/>
          <w:szCs w:val="26"/>
        </w:rPr>
        <w:t xml:space="preserve"> se </w:t>
      </w:r>
      <w:r w:rsidRPr="00695AD0">
        <w:rPr>
          <w:rFonts w:ascii="Calibri" w:hAnsi="Calibri" w:cs="Calibri"/>
          <w:bCs/>
          <w:color w:val="000000"/>
          <w:sz w:val="26"/>
          <w:szCs w:val="26"/>
        </w:rPr>
        <w:t>completează după cum urmează:</w:t>
      </w:r>
    </w:p>
    <w:p w:rsidR="00695AD0" w:rsidRDefault="00695AD0" w:rsidP="00695AD0">
      <w:pPr>
        <w:widowControl w:val="0"/>
        <w:spacing w:line="276" w:lineRule="auto"/>
        <w:ind w:firstLine="873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695AD0" w:rsidRPr="00EA5E50" w:rsidRDefault="00695AD0" w:rsidP="00695AD0">
      <w:pPr>
        <w:pStyle w:val="ListParagraph"/>
        <w:widowControl w:val="0"/>
        <w:numPr>
          <w:ilvl w:val="0"/>
          <w:numId w:val="1"/>
        </w:numPr>
        <w:spacing w:line="276" w:lineRule="auto"/>
        <w:ind w:left="0" w:firstLine="993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lastRenderedPageBreak/>
        <w:t>La articolul 14, după alineatul (8) se introduce un nou alineat, alineatul (8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  <w:vertAlign w:val="superscript"/>
        </w:rPr>
        <w:t>1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), cu următorul cuprins:</w:t>
      </w:r>
    </w:p>
    <w:p w:rsidR="00695AD0" w:rsidRPr="00EA5E50" w:rsidRDefault="00097568" w:rsidP="00695AD0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„</w:t>
      </w:r>
      <w:r w:rsidR="00695AD0" w:rsidRPr="00EA5E50">
        <w:rPr>
          <w:rFonts w:ascii="Calibri" w:hAnsi="Calibri" w:cs="Calibri"/>
          <w:bCs/>
          <w:color w:val="000000"/>
          <w:sz w:val="26"/>
          <w:szCs w:val="26"/>
        </w:rPr>
        <w:t>(8</w:t>
      </w:r>
      <w:r w:rsidR="00695AD0" w:rsidRPr="00EA5E50">
        <w:rPr>
          <w:rFonts w:ascii="Calibri" w:hAnsi="Calibri" w:cs="Calibri"/>
          <w:bCs/>
          <w:color w:val="000000"/>
          <w:sz w:val="26"/>
          <w:szCs w:val="26"/>
          <w:vertAlign w:val="superscript"/>
        </w:rPr>
        <w:t>1</w:t>
      </w:r>
      <w:r w:rsidR="00695AD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) În </w:t>
      </w:r>
      <w:proofErr w:type="spellStart"/>
      <w:r w:rsidR="00695AD0" w:rsidRPr="00EA5E50">
        <w:rPr>
          <w:rFonts w:ascii="Calibri" w:hAnsi="Calibri" w:cs="Calibri"/>
          <w:bCs/>
          <w:color w:val="000000"/>
          <w:sz w:val="26"/>
          <w:szCs w:val="26"/>
        </w:rPr>
        <w:t>situaţiile</w:t>
      </w:r>
      <w:proofErr w:type="spellEnd"/>
      <w:r w:rsidR="00695AD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prevăzute la alin. (4), în ipoteza în care nu se poate realiza majoritatea, dacă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>subcomisia</w:t>
      </w:r>
      <w:r w:rsidR="00695AD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</w:t>
      </w:r>
      <w:proofErr w:type="spellStart"/>
      <w:r w:rsidR="00695AD0" w:rsidRPr="00EA5E50">
        <w:rPr>
          <w:rFonts w:ascii="Calibri" w:hAnsi="Calibri" w:cs="Calibri"/>
          <w:bCs/>
          <w:color w:val="000000"/>
          <w:sz w:val="26"/>
          <w:szCs w:val="26"/>
        </w:rPr>
        <w:t>soluţionare</w:t>
      </w:r>
      <w:proofErr w:type="spellEnd"/>
      <w:r w:rsidR="00695AD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 </w:t>
      </w:r>
      <w:proofErr w:type="spellStart"/>
      <w:r w:rsidR="00695AD0" w:rsidRPr="00EA5E50">
        <w:rPr>
          <w:rFonts w:ascii="Calibri" w:hAnsi="Calibri" w:cs="Calibri"/>
          <w:bCs/>
          <w:color w:val="000000"/>
          <w:sz w:val="26"/>
          <w:szCs w:val="26"/>
        </w:rPr>
        <w:t>contestaţiilor</w:t>
      </w:r>
      <w:proofErr w:type="spellEnd"/>
      <w:r w:rsidR="00695AD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apreciază că</w:t>
      </w:r>
      <w:r w:rsidR="0096526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se impune anularea uneia sau a mai multor întrebări din testul-grilă, iar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>subcomisia</w:t>
      </w:r>
      <w:r w:rsidR="0096526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elaborare a subiectelor nu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>este</w:t>
      </w:r>
      <w:r w:rsidR="0096526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acord cu această </w:t>
      </w:r>
      <w:proofErr w:type="spellStart"/>
      <w:r w:rsidR="00965263" w:rsidRPr="00EA5E50">
        <w:rPr>
          <w:rFonts w:ascii="Calibri" w:hAnsi="Calibri" w:cs="Calibri"/>
          <w:bCs/>
          <w:color w:val="000000"/>
          <w:sz w:val="26"/>
          <w:szCs w:val="26"/>
        </w:rPr>
        <w:t>soluţie</w:t>
      </w:r>
      <w:proofErr w:type="spellEnd"/>
      <w:r w:rsidR="0096526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întrebările respective se anulează </w:t>
      </w:r>
      <w:proofErr w:type="spellStart"/>
      <w:r w:rsidR="00965263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96526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punctajul corespunzător acestora se acordă tuturor </w:t>
      </w:r>
      <w:proofErr w:type="spellStart"/>
      <w:r w:rsidR="00965263" w:rsidRPr="00EA5E50">
        <w:rPr>
          <w:rFonts w:ascii="Calibri" w:hAnsi="Calibri" w:cs="Calibri"/>
          <w:bCs/>
          <w:color w:val="000000"/>
          <w:sz w:val="26"/>
          <w:szCs w:val="26"/>
        </w:rPr>
        <w:t>candidaţilor</w:t>
      </w:r>
      <w:proofErr w:type="spellEnd"/>
      <w:r w:rsidR="00965263" w:rsidRPr="00EA5E50">
        <w:rPr>
          <w:rFonts w:ascii="Calibri" w:hAnsi="Calibri" w:cs="Calibri"/>
          <w:bCs/>
          <w:color w:val="000000"/>
          <w:sz w:val="26"/>
          <w:szCs w:val="26"/>
        </w:rPr>
        <w:t>.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>”</w:t>
      </w:r>
    </w:p>
    <w:p w:rsidR="00097568" w:rsidRPr="00EA5E50" w:rsidRDefault="00097568" w:rsidP="00695AD0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097568" w:rsidRPr="00EA5E50" w:rsidRDefault="00097568" w:rsidP="00097568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2. Art. 31 se modifică </w:t>
      </w:r>
      <w:proofErr w:type="spellStart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va avea următorul cuprins:</w:t>
      </w:r>
    </w:p>
    <w:p w:rsidR="00097568" w:rsidRPr="00EA5E50" w:rsidRDefault="00097568" w:rsidP="00097568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„Art. 31 - (1) Pot participa la concursul de promovare efectivă judecătorii care au avut calificativul „</w:t>
      </w:r>
      <w:r w:rsidRPr="00EA5E50">
        <w:rPr>
          <w:rFonts w:ascii="Calibri" w:hAnsi="Calibri" w:cs="Calibri"/>
          <w:bCs/>
          <w:i/>
          <w:color w:val="000000"/>
          <w:sz w:val="26"/>
          <w:szCs w:val="26"/>
        </w:rPr>
        <w:t>foarte bine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” la ultima evaluare, nu au fost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sancţionaţi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disciplinar în ultimii 3 ani, au dobândit gradul profesional corespunzător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instanţei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la care solicită promovarea în baza unui concurs de promovare pe loc, organizat potrivit prezentului regulament,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au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funcţionat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efectiv timp de cel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puţin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2 ani la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instanţa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ierarhic inferioară, în cazul promovării în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funcţiile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judecător de curte de apel.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Condiţia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vechime trebuie să fie îndeplinită până în ultima zi inclusiv a perioadei de înscriere la concurs.</w:t>
      </w:r>
    </w:p>
    <w:p w:rsidR="00097568" w:rsidRPr="00EA5E50" w:rsidRDefault="00097568" w:rsidP="00097568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(2) În cazul persoanelor numite în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funcţia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judecător în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condiţiile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art. 33</w:t>
      </w:r>
      <w:r w:rsidRPr="00EA5E50">
        <w:rPr>
          <w:rFonts w:ascii="Calibri" w:hAnsi="Calibri" w:cs="Calibri"/>
          <w:bCs/>
          <w:color w:val="000000"/>
          <w:sz w:val="26"/>
          <w:szCs w:val="26"/>
          <w:vertAlign w:val="superscript"/>
        </w:rPr>
        <w:t>1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din Legea nr. 303/2004, republicată, cu modificările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completările ulterioare, pentru verificarea îndeplinirii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condiţiei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a fi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funcţionat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efectiv timp de cel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puţin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2 ani la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instanţa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ierarhic inferioară se are în vedere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funcţionarea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efectivă la tribunal sau la tribunalul specializat după data numirii în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funcţie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condiţiile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acestor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dispoziţii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legale.”</w:t>
      </w:r>
    </w:p>
    <w:p w:rsidR="00695AD0" w:rsidRPr="00EA5E50" w:rsidRDefault="00695AD0" w:rsidP="00695AD0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097568" w:rsidRPr="00EA5E50" w:rsidRDefault="004B06CC" w:rsidP="00097568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3. La articolul 32, alineatele</w:t>
      </w:r>
      <w:r w:rsidR="00097568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(3) </w:t>
      </w:r>
      <w:proofErr w:type="spellStart"/>
      <w:r w:rsidR="00097568"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="00097568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(4) se modifică </w:t>
      </w:r>
      <w:proofErr w:type="spellStart"/>
      <w:r w:rsidR="00097568"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="00097568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vor avea următorul cuprins:</w:t>
      </w:r>
    </w:p>
    <w:p w:rsidR="00097568" w:rsidRPr="00EA5E50" w:rsidRDefault="00097568" w:rsidP="00097568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„(3) În termenul prevăzut de calendarul concursului, cei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interesaţi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pot depune cereri de înscriere la concurs la Consiliul Superior al Magistraturii, în care se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menţionează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instanţa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la care se solicită promovarea efectivă, respectiv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secţia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care optează.</w:t>
      </w:r>
    </w:p>
    <w:p w:rsidR="00827E03" w:rsidRPr="00EA5E50" w:rsidRDefault="00097568" w:rsidP="00097568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(4) </w:t>
      </w:r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Fiecare candidat poate </w:t>
      </w:r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>opta,</w:t>
      </w:r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 xml:space="preserve">în ordinea </w:t>
      </w:r>
      <w:proofErr w:type="spellStart"/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>preferinţei</w:t>
      </w:r>
      <w:proofErr w:type="spellEnd"/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</w:t>
      </w:r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pentru </w:t>
      </w:r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 xml:space="preserve">oricare dintre </w:t>
      </w:r>
      <w:proofErr w:type="spellStart"/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>secţii</w:t>
      </w:r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>le</w:t>
      </w:r>
      <w:proofErr w:type="spellEnd"/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cu </w:t>
      </w:r>
      <w:proofErr w:type="spellStart"/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>aceeaşi</w:t>
      </w:r>
      <w:proofErr w:type="spellEnd"/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specializare sau </w:t>
      </w:r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 xml:space="preserve">cu </w:t>
      </w:r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>o specializare comună, din cadrul uneia sau a</w:t>
      </w:r>
      <w:r w:rsidR="004B06CC" w:rsidRPr="00EA5E50">
        <w:rPr>
          <w:rFonts w:ascii="Calibri" w:hAnsi="Calibri" w:cs="Calibri"/>
          <w:bCs/>
          <w:color w:val="000000"/>
          <w:sz w:val="26"/>
          <w:szCs w:val="26"/>
        </w:rPr>
        <w:t>l</w:t>
      </w:r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mai multor </w:t>
      </w:r>
      <w:proofErr w:type="spellStart"/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>instanţe</w:t>
      </w:r>
      <w:proofErr w:type="spellEnd"/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care s-au </w:t>
      </w:r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>scos</w:t>
      </w:r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posturi la concurs, </w:t>
      </w:r>
      <w:proofErr w:type="spellStart"/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>menţionând</w:t>
      </w:r>
      <w:proofErr w:type="spellEnd"/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specializarea pentru care s-a formulat </w:t>
      </w:r>
      <w:proofErr w:type="spellStart"/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>opţiunea</w:t>
      </w:r>
      <w:proofErr w:type="spellEnd"/>
      <w:r w:rsidR="00827E03" w:rsidRPr="00EA5E50">
        <w:rPr>
          <w:rFonts w:ascii="Calibri" w:hAnsi="Calibri" w:cs="Calibri"/>
          <w:bCs/>
          <w:color w:val="000000"/>
          <w:sz w:val="26"/>
          <w:szCs w:val="26"/>
        </w:rPr>
        <w:t>.</w:t>
      </w:r>
      <w:r w:rsidR="00A01EE9" w:rsidRPr="00EA5E50">
        <w:rPr>
          <w:rFonts w:ascii="Calibri" w:hAnsi="Calibri" w:cs="Calibri"/>
          <w:bCs/>
          <w:color w:val="000000"/>
          <w:sz w:val="26"/>
          <w:szCs w:val="26"/>
        </w:rPr>
        <w:t>”</w:t>
      </w:r>
    </w:p>
    <w:p w:rsidR="00A01EE9" w:rsidRPr="00EA5E50" w:rsidRDefault="00A01EE9" w:rsidP="00097568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A01EE9" w:rsidRPr="00EA5E50" w:rsidRDefault="00A01EE9" w:rsidP="00097568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4. La articolul 33, după alineatul (2) se introduce un nou alineat, alineatul (3), cu următorul cuprins:</w:t>
      </w:r>
    </w:p>
    <w:p w:rsidR="00A01EE9" w:rsidRPr="00EA5E50" w:rsidRDefault="007C0C5E" w:rsidP="00DA274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„</w:t>
      </w:r>
      <w:r w:rsidR="00DA2744" w:rsidRPr="00EA5E50">
        <w:rPr>
          <w:rFonts w:ascii="Calibri" w:hAnsi="Calibri" w:cs="Calibri"/>
          <w:bCs/>
          <w:color w:val="000000"/>
          <w:sz w:val="26"/>
          <w:szCs w:val="26"/>
        </w:rPr>
        <w:t xml:space="preserve">(3) În cadrul comisiei de organizare, </w:t>
      </w:r>
      <w:proofErr w:type="spellStart"/>
      <w:r w:rsidR="00DA2744" w:rsidRPr="00EA5E50">
        <w:rPr>
          <w:rFonts w:ascii="Calibri" w:hAnsi="Calibri" w:cs="Calibri"/>
          <w:bCs/>
          <w:color w:val="000000"/>
          <w:sz w:val="26"/>
          <w:szCs w:val="26"/>
        </w:rPr>
        <w:t>preşedintele</w:t>
      </w:r>
      <w:proofErr w:type="spellEnd"/>
      <w:r w:rsidR="00DA2744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acestei comisii poate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desemna</w:t>
      </w:r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la solicitarea </w:t>
      </w:r>
      <w:proofErr w:type="spellStart"/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t>curţilor</w:t>
      </w:r>
      <w:proofErr w:type="spellEnd"/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apel,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DA2744" w:rsidRPr="00EA5E50">
        <w:rPr>
          <w:rFonts w:ascii="Calibri" w:hAnsi="Calibri" w:cs="Calibri"/>
          <w:bCs/>
          <w:color w:val="000000"/>
          <w:sz w:val="26"/>
          <w:szCs w:val="26"/>
        </w:rPr>
        <w:t xml:space="preserve">una sau două persoane din cadrul </w:t>
      </w:r>
      <w:proofErr w:type="spellStart"/>
      <w:r w:rsidR="00DA2744" w:rsidRPr="00EA5E50">
        <w:rPr>
          <w:rFonts w:ascii="Calibri" w:hAnsi="Calibri" w:cs="Calibri"/>
          <w:bCs/>
          <w:color w:val="000000"/>
          <w:sz w:val="26"/>
          <w:szCs w:val="26"/>
        </w:rPr>
        <w:t>instanţelor</w:t>
      </w:r>
      <w:proofErr w:type="spellEnd"/>
      <w:r w:rsidR="00DA2744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judecată</w:t>
      </w:r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a </w:t>
      </w:r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lastRenderedPageBreak/>
        <w:t xml:space="preserve">contribui la buna </w:t>
      </w:r>
      <w:proofErr w:type="spellStart"/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t>desfăşurare</w:t>
      </w:r>
      <w:proofErr w:type="spellEnd"/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 </w:t>
      </w:r>
      <w:proofErr w:type="spellStart"/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t>activităţii</w:t>
      </w:r>
      <w:proofErr w:type="spellEnd"/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comisiei de evaluare constituită</w:t>
      </w:r>
      <w:r w:rsidR="00EA5E5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la nivelul </w:t>
      </w:r>
      <w:proofErr w:type="spellStart"/>
      <w:r w:rsidR="00EA5E50" w:rsidRPr="00EA5E50">
        <w:rPr>
          <w:rFonts w:ascii="Calibri" w:hAnsi="Calibri" w:cs="Calibri"/>
          <w:bCs/>
          <w:color w:val="000000"/>
          <w:sz w:val="26"/>
          <w:szCs w:val="26"/>
        </w:rPr>
        <w:t>curţ</w:t>
      </w:r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t>ii</w:t>
      </w:r>
      <w:proofErr w:type="spellEnd"/>
      <w:r w:rsidR="0006159B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apel,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în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funcţie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numărul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candidaţilor</w:t>
      </w:r>
      <w:proofErr w:type="spellEnd"/>
      <w:r w:rsidRPr="00EA5E50">
        <w:t xml:space="preserve">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care îndeplinesc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condiţiile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participare la concurs.”</w:t>
      </w:r>
    </w:p>
    <w:p w:rsidR="004B76D1" w:rsidRPr="00EA5E50" w:rsidRDefault="004B76D1" w:rsidP="004B76D1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4B76D1" w:rsidRPr="00EA5E50" w:rsidRDefault="00EC7885" w:rsidP="004B76D1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7C0C5E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. </w:t>
      </w:r>
      <w:r w:rsidR="004B76D1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La articolul 36, alineatul (4) se modifică </w:t>
      </w:r>
      <w:proofErr w:type="spellStart"/>
      <w:r w:rsidR="004B76D1"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="004B76D1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va avea următorul cuprins:</w:t>
      </w:r>
    </w:p>
    <w:p w:rsidR="007C0C5E" w:rsidRPr="00EA5E50" w:rsidRDefault="004B76D1" w:rsidP="004B76D1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„(4) În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situaţiile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prevăzute la alin. (2)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(3), în cazul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imposibilităţii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îndeplinirii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funcţiei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către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preşedintele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curţii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apel, comisia de evaluare este condusă de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vicepreşedintele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curţii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apel sau, după caz, de unul dintre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vicepreşedinţi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desemnat de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Secţia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judecători. În cazul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imposibilităţii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constituirii comisiei de evaluare cu numărul de membri prevăzut la alin. (2)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(3), la propunerea colegiului de conducere al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curţii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apel,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Secţia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judecători poate stabili un număr mai mic de membri în cazul respectiv.”</w:t>
      </w:r>
    </w:p>
    <w:p w:rsidR="00EC7885" w:rsidRPr="00EA5E50" w:rsidRDefault="00EC7885" w:rsidP="004B76D1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EC7885" w:rsidRPr="00EA5E50" w:rsidRDefault="00EC7885" w:rsidP="00EC7885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6. La articolul 36, după alineatul (9) se introduce un nou alineat, alineatul (10), cu următorul cuprins:</w:t>
      </w:r>
    </w:p>
    <w:p w:rsidR="00EC7885" w:rsidRPr="00EA5E50" w:rsidRDefault="00EC7885" w:rsidP="00EC7885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„(10)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La solicitarea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preşedintelui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comisiei de evaluare,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componenţa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acesteia poate fi modificată prin hotărâre 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Secţiei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judecători, în cazul în care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candidaţii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care îndeplinesc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condiţiile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participare la concurs nu au formulat </w:t>
      </w:r>
      <w:r w:rsidR="0064005A" w:rsidRPr="00EA5E50">
        <w:rPr>
          <w:rFonts w:ascii="Calibri" w:hAnsi="Calibri" w:cs="Calibri"/>
          <w:bCs/>
          <w:color w:val="000000"/>
          <w:sz w:val="26"/>
          <w:szCs w:val="26"/>
        </w:rPr>
        <w:t>opțiuni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una sau mai multe dintre specializările corespunzătoare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secţiilor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 cadrul cărora sunt posturile vacante scoase la concurs,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dispoziţiile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alin. (5) fiind aplicabile în mod corespunzător.”</w:t>
      </w:r>
    </w:p>
    <w:p w:rsidR="00042B9A" w:rsidRPr="00EA5E50" w:rsidRDefault="00042B9A" w:rsidP="004B76D1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042B9A" w:rsidRPr="00EA5E50" w:rsidRDefault="00042B9A" w:rsidP="004B76D1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7. Art. 38 se modifică </w:t>
      </w:r>
      <w:proofErr w:type="spellStart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va avea următorul cuprins:</w:t>
      </w:r>
    </w:p>
    <w:p w:rsidR="00042B9A" w:rsidRPr="00EA5E50" w:rsidRDefault="001D0FB4" w:rsidP="004B76D1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„</w:t>
      </w:r>
      <w:r w:rsidR="00042B9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Art. 38 - Concursul de promovare efectivă constă în </w:t>
      </w:r>
      <w:proofErr w:type="spellStart"/>
      <w:r w:rsidR="00042B9A" w:rsidRPr="00EA5E50">
        <w:rPr>
          <w:rFonts w:ascii="Calibri" w:hAnsi="Calibri" w:cs="Calibri"/>
          <w:bCs/>
          <w:color w:val="000000"/>
          <w:sz w:val="26"/>
          <w:szCs w:val="26"/>
        </w:rPr>
        <w:t>susţinerea</w:t>
      </w:r>
      <w:proofErr w:type="spellEnd"/>
      <w:r w:rsidR="00042B9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unei probe având ca obiect evaluarea </w:t>
      </w:r>
      <w:proofErr w:type="spellStart"/>
      <w:r w:rsidR="00042B9A" w:rsidRPr="00EA5E50">
        <w:rPr>
          <w:rFonts w:ascii="Calibri" w:hAnsi="Calibri" w:cs="Calibri"/>
          <w:bCs/>
          <w:color w:val="000000"/>
          <w:sz w:val="26"/>
          <w:szCs w:val="26"/>
        </w:rPr>
        <w:t>activităţii</w:t>
      </w:r>
      <w:proofErr w:type="spellEnd"/>
      <w:r w:rsidR="00042B9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42B9A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042B9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conduitei </w:t>
      </w:r>
      <w:proofErr w:type="spellStart"/>
      <w:r w:rsidR="00042B9A" w:rsidRPr="00EA5E50">
        <w:rPr>
          <w:rFonts w:ascii="Calibri" w:hAnsi="Calibri" w:cs="Calibri"/>
          <w:bCs/>
          <w:color w:val="000000"/>
          <w:sz w:val="26"/>
          <w:szCs w:val="26"/>
        </w:rPr>
        <w:t>candidaţilor</w:t>
      </w:r>
      <w:proofErr w:type="spellEnd"/>
      <w:r w:rsidR="00042B9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din ultimii 3 ani de activitate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efectiv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desfăşurată</w:t>
      </w:r>
      <w:proofErr w:type="spellEnd"/>
      <w:r w:rsidR="00042B9A" w:rsidRPr="00EA5E50">
        <w:rPr>
          <w:rFonts w:ascii="Calibri" w:hAnsi="Calibri" w:cs="Calibri"/>
          <w:bCs/>
          <w:color w:val="000000"/>
          <w:sz w:val="26"/>
          <w:szCs w:val="26"/>
        </w:rPr>
        <w:t>.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>”</w:t>
      </w:r>
    </w:p>
    <w:p w:rsidR="001D0FB4" w:rsidRPr="00EA5E50" w:rsidRDefault="001D0FB4" w:rsidP="004B76D1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1D0FB4" w:rsidRPr="00EA5E50" w:rsidRDefault="001D0FB4" w:rsidP="001D0FB4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8. La articolul </w:t>
      </w:r>
      <w:r w:rsidR="00591AFE" w:rsidRPr="00EA5E50">
        <w:rPr>
          <w:rFonts w:ascii="Calibri" w:hAnsi="Calibri" w:cs="Calibri"/>
          <w:b/>
          <w:bCs/>
          <w:color w:val="000000"/>
          <w:sz w:val="26"/>
          <w:szCs w:val="26"/>
        </w:rPr>
        <w:t>39, alineatele (1), (4), (5),</w:t>
      </w:r>
      <w:r w:rsidR="00CD12B4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(8),</w:t>
      </w:r>
      <w:r w:rsidR="00591AFE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(11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) </w:t>
      </w:r>
      <w:proofErr w:type="spellStart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(12) se modifică </w:t>
      </w:r>
      <w:proofErr w:type="spellStart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vor avea următorul cuprins:</w:t>
      </w:r>
    </w:p>
    <w:p w:rsidR="001D0FB4" w:rsidRPr="00EA5E50" w:rsidRDefault="001D0FB4" w:rsidP="001D0FB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„</w:t>
      </w:r>
      <w:r w:rsidR="004B06CC" w:rsidRPr="00EA5E50">
        <w:rPr>
          <w:rFonts w:ascii="Calibri" w:hAnsi="Calibri" w:cs="Calibri"/>
          <w:bCs/>
          <w:color w:val="000000"/>
          <w:sz w:val="26"/>
          <w:szCs w:val="26"/>
        </w:rPr>
        <w:t xml:space="preserve">Art. 39 -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(1) În cadrul probei prevăzute la art. 38, pentru evaluarea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activităţii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sunt avute în vedere hotărârile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judecătoreşti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redactate de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candidaţi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 perioada supusă evaluării.</w:t>
      </w:r>
    </w:p>
    <w:p w:rsidR="001D0FB4" w:rsidRPr="00EA5E50" w:rsidRDefault="001D0FB4" w:rsidP="001D0FB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………………………………………</w:t>
      </w:r>
    </w:p>
    <w:p w:rsidR="001D0FB4" w:rsidRPr="00EA5E50" w:rsidRDefault="001D0FB4" w:rsidP="001D0FB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(4) Pentru </w:t>
      </w:r>
      <w:r w:rsidR="00EC7885" w:rsidRPr="00EA5E50">
        <w:rPr>
          <w:rFonts w:ascii="Calibri" w:hAnsi="Calibri" w:cs="Calibri"/>
          <w:bCs/>
          <w:color w:val="000000"/>
          <w:sz w:val="26"/>
          <w:szCs w:val="26"/>
        </w:rPr>
        <w:t>evaluarea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activităţii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de îndată după publicarea listei finale 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candidaţilor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care îndeplinesc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condiţiile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participare la concurs, comisia de evaluare solicită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instanţelor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 cadrul cărora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îşi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desfăşoară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activitatea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candidaţii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listele hotărârilor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judecătoreşti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pronunţate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redactate de către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aceştia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 ultimii 3 ani de activitate </w:t>
      </w:r>
      <w:r w:rsidR="00C87352" w:rsidRPr="00EA5E50">
        <w:rPr>
          <w:rFonts w:ascii="Calibri" w:hAnsi="Calibri" w:cs="Calibri"/>
          <w:bCs/>
          <w:color w:val="000000"/>
          <w:sz w:val="26"/>
          <w:szCs w:val="26"/>
        </w:rPr>
        <w:t xml:space="preserve">efectiv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desfăşurată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cu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evidenţierea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datei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numărului hotărârii, a numărului de dosar în care aceasta a fost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pronunţată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>, a obiectului cauzei, a stadiului procesual, a tipului hotărârii</w:t>
      </w:r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a </w:t>
      </w:r>
      <w:proofErr w:type="spellStart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>soluţiei</w:t>
      </w:r>
      <w:proofErr w:type="spellEnd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>pronunţate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cu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menţiunea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că </w:t>
      </w:r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>aceasta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 fost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desfiinţată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>/casată, dacă este cazul. Listele sunt generate exclusiv în format electronic.</w:t>
      </w:r>
    </w:p>
    <w:p w:rsidR="001D0FB4" w:rsidRPr="00EA5E50" w:rsidRDefault="001D0FB4" w:rsidP="001D0FB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lastRenderedPageBreak/>
        <w:t xml:space="preserve">(5) În cazul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candidaţilor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care în perioada supusă evaluării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-au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desfăşurat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activitatea în cadrul mai multor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instanţe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</w:t>
      </w:r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 xml:space="preserve">listele hotărârilor </w:t>
      </w:r>
      <w:proofErr w:type="spellStart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>judecătoreşti</w:t>
      </w:r>
      <w:proofErr w:type="spellEnd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>pronunţate</w:t>
      </w:r>
      <w:proofErr w:type="spellEnd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redactate de către </w:t>
      </w:r>
      <w:proofErr w:type="spellStart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>aceştia</w:t>
      </w:r>
      <w:proofErr w:type="spellEnd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sunt solicitate de la fiecare dintre aceste </w:t>
      </w:r>
      <w:proofErr w:type="spellStart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>instanţe</w:t>
      </w:r>
      <w:proofErr w:type="spellEnd"/>
      <w:r w:rsidR="00591AFE" w:rsidRPr="00EA5E50">
        <w:rPr>
          <w:rFonts w:ascii="Calibri" w:hAnsi="Calibri" w:cs="Calibri"/>
          <w:bCs/>
          <w:color w:val="000000"/>
          <w:sz w:val="26"/>
          <w:szCs w:val="26"/>
        </w:rPr>
        <w:t>.</w:t>
      </w:r>
    </w:p>
    <w:p w:rsidR="001D0FB4" w:rsidRPr="00EA5E50" w:rsidRDefault="001D0FB4" w:rsidP="001D0FB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……………………………………..</w:t>
      </w:r>
    </w:p>
    <w:p w:rsidR="00CD12B4" w:rsidRPr="00EA5E50" w:rsidRDefault="00CD12B4" w:rsidP="001D0FB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(8) Pe baza criteriilor stabilite potrivit alin. (6)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(7), comisia de evaluare realizează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selecţia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hotărârilor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judecătoreşti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cu sprijinul comisiei de organizare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</w:t>
      </w:r>
      <w:r w:rsidR="004B06CC" w:rsidRPr="00EA5E50">
        <w:rPr>
          <w:rFonts w:ascii="Calibri" w:hAnsi="Calibri" w:cs="Calibri"/>
          <w:bCs/>
          <w:color w:val="000000"/>
          <w:sz w:val="26"/>
          <w:szCs w:val="26"/>
        </w:rPr>
        <w:t>l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Serviciului informatică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statistică judiciară din cadrul Consiliului Superior al Magistraturii, prin intermediul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aplicaţiei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informatice furnizate de Consiliu.</w:t>
      </w:r>
    </w:p>
    <w:p w:rsidR="00CD12B4" w:rsidRPr="00EA5E50" w:rsidRDefault="00CD12B4" w:rsidP="001D0FB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………………………………………………………………………………………………………………….</w:t>
      </w:r>
    </w:p>
    <w:p w:rsidR="00591AFE" w:rsidRPr="00EA5E50" w:rsidRDefault="00591AFE" w:rsidP="001D0FB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(11) În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situaţia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 care comisia de evaluare apreciază că nu toate hotărârile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judecătoreşti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selectate sunt relevante pentru activitatea candidatului, aceasta va realiza, în completare, o nouă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selecţie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dispoziţiile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alin. (8) fiind aplicabile în mod corespunzător.</w:t>
      </w:r>
    </w:p>
    <w:p w:rsidR="001D0FB4" w:rsidRPr="00EA5E50" w:rsidRDefault="001D0FB4" w:rsidP="001D0FB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(12) Odată cu cererea de înscriere la concurs, candidatul poate transmite comisiei de evaluare cel mult 5 hotărâri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judecătoreşti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redactate în perioada supusă evaluării, indiferent de materia în care au fost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pronunţate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obiectul acestora, care vor fi avute în vedere la evaluarea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activităţii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>.</w:t>
      </w:r>
      <w:r w:rsidR="009A6BC6" w:rsidRPr="00EA5E50">
        <w:rPr>
          <w:rFonts w:ascii="Calibri" w:hAnsi="Calibri" w:cs="Calibri"/>
          <w:bCs/>
          <w:color w:val="000000"/>
          <w:sz w:val="26"/>
          <w:szCs w:val="26"/>
        </w:rPr>
        <w:t>”</w:t>
      </w:r>
    </w:p>
    <w:p w:rsidR="004B76D1" w:rsidRPr="00EA5E50" w:rsidRDefault="004B76D1" w:rsidP="004B76D1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9A6BC6" w:rsidRPr="00EA5E50" w:rsidRDefault="009A6BC6" w:rsidP="009A6BC6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9. La articolul 40, alineatul (4) se modifică </w:t>
      </w:r>
      <w:proofErr w:type="spellStart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va avea următorul cuprins:</w:t>
      </w:r>
    </w:p>
    <w:p w:rsidR="004B76D1" w:rsidRPr="00EA5E50" w:rsidRDefault="009A6BC6" w:rsidP="009A6BC6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„(4) În cazul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candidaţilor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care în perioada supusă evaluării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-au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desfăşurat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activitatea în cadrul mai multor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instanţe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documentele necesare pentru verificarea respectării termenelor de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soluţionare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 lucrărilor sunt solicitate de la fiecare dintre aceste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instanţe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>.”</w:t>
      </w:r>
    </w:p>
    <w:p w:rsidR="009A6BC6" w:rsidRPr="00EA5E50" w:rsidRDefault="009A6BC6" w:rsidP="009A6BC6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9A6BC6" w:rsidRPr="00EA5E50" w:rsidRDefault="009A6BC6" w:rsidP="009A6BC6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10. </w:t>
      </w:r>
      <w:r w:rsidR="006A1376" w:rsidRPr="00EA5E50">
        <w:rPr>
          <w:rFonts w:ascii="Calibri" w:hAnsi="Calibri" w:cs="Calibri"/>
          <w:b/>
          <w:bCs/>
          <w:color w:val="000000"/>
          <w:sz w:val="26"/>
          <w:szCs w:val="26"/>
        </w:rPr>
        <w:t>A</w:t>
      </w:r>
      <w:r w:rsidR="00485BBC" w:rsidRPr="00EA5E50">
        <w:rPr>
          <w:rFonts w:ascii="Calibri" w:hAnsi="Calibri" w:cs="Calibri"/>
          <w:b/>
          <w:bCs/>
          <w:color w:val="000000"/>
          <w:sz w:val="26"/>
          <w:szCs w:val="26"/>
        </w:rPr>
        <w:t>rticolul 44</w:t>
      </w:r>
      <w:r w:rsidR="006A1376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se modifică </w:t>
      </w:r>
      <w:proofErr w:type="spellStart"/>
      <w:r w:rsidR="006A1376"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="006A1376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va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avea următorul cuprins:</w:t>
      </w:r>
    </w:p>
    <w:p w:rsidR="009A6BC6" w:rsidRPr="00EA5E50" w:rsidRDefault="009A6BC6" w:rsidP="009A6BC6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„</w:t>
      </w:r>
      <w:r w:rsidR="004B06CC" w:rsidRPr="00EA5E50">
        <w:rPr>
          <w:rFonts w:ascii="Calibri" w:hAnsi="Calibri" w:cs="Calibri"/>
          <w:bCs/>
          <w:color w:val="000000"/>
          <w:sz w:val="26"/>
          <w:szCs w:val="26"/>
        </w:rPr>
        <w:t xml:space="preserve">Art. 44 -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(1) Evaluarea conduitei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candidaţilor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din ultimii 3 ani de activitate efectiv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desfăşurată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se face</w:t>
      </w:r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, prin prisma criteriilor prevăzute la art. 45,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 baza înregistrărilor </w:t>
      </w:r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unor </w:t>
      </w:r>
      <w:proofErr w:type="spellStart"/>
      <w:r w:rsidR="00485BBC" w:rsidRPr="00EA5E50">
        <w:rPr>
          <w:rFonts w:ascii="Calibri" w:hAnsi="Calibri" w:cs="Calibri"/>
          <w:bCs/>
          <w:color w:val="000000"/>
          <w:sz w:val="26"/>
          <w:szCs w:val="26"/>
        </w:rPr>
        <w:t>şedinţe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judecată</w:t>
      </w:r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în care </w:t>
      </w:r>
      <w:r w:rsidR="00485BBC" w:rsidRPr="00EA5E50">
        <w:rPr>
          <w:rFonts w:ascii="Calibri" w:hAnsi="Calibri" w:cs="Calibri"/>
          <w:bCs/>
          <w:color w:val="000000"/>
          <w:sz w:val="26"/>
          <w:szCs w:val="26"/>
        </w:rPr>
        <w:t>completul a fost condus de candidat</w:t>
      </w:r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,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 opiniei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secţiei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ori, după caz, 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instanţei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la care 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funcţionat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candidatul în perioada supusă evaluării, a datelor existente la dosarul profesional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informaţiilor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solicitate de la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Inspecţia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Judiciară referitoare la eventualele abateri disciplinare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încălcări ale Codului deontologic al judecătorilor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procurorilor aferente perioadei supuse evaluării</w:t>
      </w:r>
      <w:r w:rsidR="00485BBC"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precum </w:t>
      </w:r>
      <w:proofErr w:type="spellStart"/>
      <w:r w:rsidR="00485BBC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485BBC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 oricăror alte </w:t>
      </w:r>
      <w:proofErr w:type="spellStart"/>
      <w:r w:rsidR="00485BBC" w:rsidRPr="00EA5E50">
        <w:rPr>
          <w:rFonts w:ascii="Calibri" w:hAnsi="Calibri" w:cs="Calibri"/>
          <w:bCs/>
          <w:color w:val="000000"/>
          <w:sz w:val="26"/>
          <w:szCs w:val="26"/>
        </w:rPr>
        <w:t>informaţii</w:t>
      </w:r>
      <w:proofErr w:type="spellEnd"/>
      <w:r w:rsidR="00485BBC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despre candidat care pot fi verificate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>.</w:t>
      </w:r>
    </w:p>
    <w:p w:rsidR="00485BBC" w:rsidRPr="00EA5E50" w:rsidRDefault="00485BBC" w:rsidP="009A6BC6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(2) În acest scop, de îndată după publicarea listei finale 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candidaţilor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care îndeplinesc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condiţiile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participare la concurs, comisia de evaluare solicită</w:t>
      </w:r>
      <w:r w:rsidR="00F7623D" w:rsidRPr="00EA5E50">
        <w:t xml:space="preserve"> </w:t>
      </w:r>
      <w:proofErr w:type="spellStart"/>
      <w:r w:rsidR="00F7623D" w:rsidRPr="00EA5E50">
        <w:rPr>
          <w:rFonts w:ascii="Calibri" w:hAnsi="Calibri" w:cs="Calibri"/>
          <w:bCs/>
          <w:color w:val="000000"/>
          <w:sz w:val="26"/>
          <w:szCs w:val="26"/>
        </w:rPr>
        <w:t>instanţelor</w:t>
      </w:r>
      <w:proofErr w:type="spellEnd"/>
      <w:r w:rsidR="00F7623D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 cadrul cărora </w:t>
      </w:r>
      <w:proofErr w:type="spellStart"/>
      <w:r w:rsidR="00F7623D" w:rsidRPr="00EA5E50">
        <w:rPr>
          <w:rFonts w:ascii="Calibri" w:hAnsi="Calibri" w:cs="Calibri"/>
          <w:bCs/>
          <w:color w:val="000000"/>
          <w:sz w:val="26"/>
          <w:szCs w:val="26"/>
        </w:rPr>
        <w:t>aceştia</w:t>
      </w:r>
      <w:proofErr w:type="spellEnd"/>
      <w:r w:rsidR="00F7623D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F7623D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F7623D" w:rsidRPr="00EA5E50">
        <w:rPr>
          <w:rFonts w:ascii="Calibri" w:hAnsi="Calibri" w:cs="Calibri"/>
          <w:bCs/>
          <w:color w:val="000000"/>
          <w:sz w:val="26"/>
          <w:szCs w:val="26"/>
        </w:rPr>
        <w:t xml:space="preserve">-au </w:t>
      </w:r>
      <w:proofErr w:type="spellStart"/>
      <w:r w:rsidR="00F7623D" w:rsidRPr="00EA5E50">
        <w:rPr>
          <w:rFonts w:ascii="Calibri" w:hAnsi="Calibri" w:cs="Calibri"/>
          <w:bCs/>
          <w:color w:val="000000"/>
          <w:sz w:val="26"/>
          <w:szCs w:val="26"/>
        </w:rPr>
        <w:t>desfăşurat</w:t>
      </w:r>
      <w:proofErr w:type="spellEnd"/>
      <w:r w:rsidR="00F7623D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activitatea în perioada supusă evaluării,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Direcţiei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resurse umane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organizare din cadrul Consiliului Superior al Magistraturii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Inspecţiei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Judiciare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informaţiile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necesare pentru evaluarea conduitei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candidaţilor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>.</w:t>
      </w:r>
      <w:r w:rsidR="00F7623D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</w:p>
    <w:p w:rsidR="00B70B1F" w:rsidRPr="00EA5E50" w:rsidRDefault="00485BBC" w:rsidP="00ED5DF0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lastRenderedPageBreak/>
        <w:t xml:space="preserve">(3) </w:t>
      </w:r>
      <w:r w:rsidR="00B70B1F" w:rsidRPr="00EA5E50">
        <w:rPr>
          <w:rFonts w:ascii="Calibri" w:hAnsi="Calibri" w:cs="Calibri"/>
          <w:bCs/>
          <w:color w:val="000000"/>
          <w:sz w:val="26"/>
          <w:szCs w:val="26"/>
        </w:rPr>
        <w:t>Comisia de evaluare</w:t>
      </w:r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>stabileşte</w:t>
      </w:r>
      <w:proofErr w:type="spellEnd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un număr relevant de </w:t>
      </w:r>
      <w:proofErr w:type="spellStart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>şedinţe</w:t>
      </w:r>
      <w:proofErr w:type="spellEnd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judecată în care completul a fost condus de </w:t>
      </w:r>
      <w:proofErr w:type="spellStart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>candidaţi</w:t>
      </w:r>
      <w:proofErr w:type="spellEnd"/>
      <w:r w:rsidR="00E716B2" w:rsidRPr="00EA5E50">
        <w:rPr>
          <w:rFonts w:ascii="Calibri" w:hAnsi="Calibri" w:cs="Calibri"/>
          <w:bCs/>
          <w:color w:val="000000"/>
          <w:sz w:val="26"/>
          <w:szCs w:val="26"/>
        </w:rPr>
        <w:t>,</w:t>
      </w:r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 </w:t>
      </w:r>
      <w:proofErr w:type="spellStart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>privinţa</w:t>
      </w:r>
      <w:proofErr w:type="spellEnd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cărora va solicita înregistrările de la </w:t>
      </w:r>
      <w:proofErr w:type="spellStart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>instanţele</w:t>
      </w:r>
      <w:proofErr w:type="spellEnd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în cadrul cărora </w:t>
      </w:r>
      <w:proofErr w:type="spellStart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>aceştia</w:t>
      </w:r>
      <w:proofErr w:type="spellEnd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-au </w:t>
      </w:r>
      <w:proofErr w:type="spellStart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>desfăşurat</w:t>
      </w:r>
      <w:proofErr w:type="spellEnd"/>
      <w:r w:rsidR="00A83A7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activitatea în perioada supusă evaluării</w:t>
      </w:r>
      <w:r w:rsidR="00B70B1F" w:rsidRPr="00EA5E50">
        <w:rPr>
          <w:rFonts w:ascii="Calibri" w:hAnsi="Calibri" w:cs="Calibri"/>
          <w:bCs/>
          <w:color w:val="000000"/>
          <w:sz w:val="26"/>
          <w:szCs w:val="26"/>
        </w:rPr>
        <w:t>.</w:t>
      </w:r>
      <w:r w:rsidR="00E716B2" w:rsidRPr="00EA5E50">
        <w:t xml:space="preserve"> </w:t>
      </w:r>
      <w:r w:rsidR="00E716B2" w:rsidRPr="00EA5E50">
        <w:rPr>
          <w:rFonts w:ascii="Calibri" w:hAnsi="Calibri" w:cs="Calibri"/>
          <w:bCs/>
          <w:color w:val="000000"/>
          <w:sz w:val="26"/>
          <w:szCs w:val="26"/>
        </w:rPr>
        <w:t>Comisia de evaluare poate proceda la ascultarea prin sondaj a înregistrărilor primite.</w:t>
      </w:r>
    </w:p>
    <w:p w:rsidR="00ED5DF0" w:rsidRPr="00EA5E50" w:rsidRDefault="00B70B1F" w:rsidP="00ED5DF0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(4) </w:t>
      </w:r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Pentru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obţinerea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opiniei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secţiei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sau a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instanţei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dacă nu există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secţii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la care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funcţionează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candidatul, un membru al comisiei de evaluare desemnat de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preşedintele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acesteia consultă personalul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secţiei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sau, după caz, al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instanţei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cu respectarea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confidenţialităţii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opiniilor exprimate,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consemnează rezultatul într-un referat semnat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datat, care cuprinde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informaţii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verificabile. În cazul în care candidatul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funcţionează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la o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instanţă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din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circumscripţia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altei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curţi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apel, consultarea se realizează de către un membru al comisiei de evaluare constituite în vederea promovării pentru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instanţa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la care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funcţionează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candidatul. Dacă pentru această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instanţă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nu a fost constituită o comisie de evaluare, consultarea se realizează de un judecător de la curtea de apel în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circumscripţia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căreia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funcţionează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candidatul, desemnat de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preşedintele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acelei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curţi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apel.</w:t>
      </w:r>
    </w:p>
    <w:p w:rsidR="00ED5DF0" w:rsidRPr="00EA5E50" w:rsidRDefault="00B70B1F" w:rsidP="00ED5DF0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(5</w:t>
      </w:r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) În cazul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candidaţilor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care </w:t>
      </w:r>
      <w:r w:rsidR="00F7623D" w:rsidRPr="00EA5E50">
        <w:rPr>
          <w:rFonts w:ascii="Calibri" w:hAnsi="Calibri" w:cs="Calibri"/>
          <w:bCs/>
          <w:color w:val="000000"/>
          <w:sz w:val="26"/>
          <w:szCs w:val="26"/>
        </w:rPr>
        <w:t xml:space="preserve">în perioada supusă evaluării </w:t>
      </w:r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au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desfăşurat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activitate la mai multe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instanţe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pentru realizarea consultării sunt avute în vedere toate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i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>nstanţele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dispoziţiile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alin. (4</w:t>
      </w:r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) fiind aplicabile în mod corespunzător.</w:t>
      </w:r>
    </w:p>
    <w:p w:rsidR="00ED5DF0" w:rsidRPr="00EA5E50" w:rsidRDefault="00B70B1F" w:rsidP="00ED5DF0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(6</w:t>
      </w:r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) </w:t>
      </w:r>
      <w:proofErr w:type="spellStart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>Dispoziţiile</w:t>
      </w:r>
      <w:proofErr w:type="spellEnd"/>
      <w:r w:rsidR="00ED5DF0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prezentului articol se aplică în mod corespunzător pentru evaluarea conduitei judecătorului de supraveghere a privării de libertate.</w:t>
      </w:r>
    </w:p>
    <w:p w:rsidR="004B76D1" w:rsidRPr="00EA5E50" w:rsidRDefault="004B76D1" w:rsidP="004B76D1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C631E3" w:rsidRPr="00EA5E50" w:rsidRDefault="00C631E3" w:rsidP="00C631E3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11. La articolul 48, alineatul (2) se modifică </w:t>
      </w:r>
      <w:proofErr w:type="spellStart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va avea următorul cuprins:</w:t>
      </w:r>
    </w:p>
    <w:p w:rsidR="007C0C5E" w:rsidRPr="00EA5E50" w:rsidRDefault="00C631E3" w:rsidP="00DA2744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„(2) Raportul de evaluare se comunică </w:t>
      </w:r>
      <w:r w:rsidR="001B4C99" w:rsidRPr="00EA5E50">
        <w:rPr>
          <w:rFonts w:ascii="Calibri" w:hAnsi="Calibri" w:cs="Calibri"/>
          <w:bCs/>
          <w:color w:val="000000"/>
          <w:sz w:val="26"/>
          <w:szCs w:val="26"/>
        </w:rPr>
        <w:t xml:space="preserve">de către comisia de evaluare 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candidatului, sub semnătură,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un exemplar se transmite comisiei de organizare.”</w:t>
      </w:r>
    </w:p>
    <w:p w:rsidR="00C631E3" w:rsidRPr="00EA5E50" w:rsidRDefault="00C631E3" w:rsidP="00097568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A87FCD" w:rsidRPr="00EA5E50" w:rsidRDefault="00A87FCD" w:rsidP="00A87FCD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Varianta I</w:t>
      </w:r>
    </w:p>
    <w:p w:rsidR="00C631E3" w:rsidRPr="00EA5E50" w:rsidRDefault="00C631E3" w:rsidP="00C631E3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87FCD"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12. 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La articolul 49, după alineatul (3) se introduc două noi alineate, alineatele (3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  <w:vertAlign w:val="superscript"/>
        </w:rPr>
        <w:t>1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) </w:t>
      </w:r>
      <w:proofErr w:type="spellStart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 xml:space="preserve"> (3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  <w:vertAlign w:val="superscript"/>
        </w:rPr>
        <w:t>2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), cu următorul cuprins:</w:t>
      </w:r>
    </w:p>
    <w:p w:rsidR="00C631E3" w:rsidRPr="00EA5E50" w:rsidRDefault="00A87FCD" w:rsidP="00C631E3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„(3</w:t>
      </w:r>
      <w:r w:rsidR="00C631E3" w:rsidRPr="00EA5E50">
        <w:rPr>
          <w:rFonts w:ascii="Calibri" w:hAnsi="Calibri" w:cs="Calibri"/>
          <w:bCs/>
          <w:color w:val="000000"/>
          <w:sz w:val="26"/>
          <w:szCs w:val="26"/>
          <w:vertAlign w:val="superscript"/>
        </w:rPr>
        <w:t>1</w:t>
      </w:r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)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Secţia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judecători analizează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contestaţia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în raport de criticile formulate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documentele prevăzute la alin. (3),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, dacă apreciază că se impune ad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>miterea acesteia, procedează la</w:t>
      </w:r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o nouă evaluare a candidatului pe baza criteriilor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punctajelor p</w:t>
      </w:r>
      <w:r w:rsidR="0038520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revăzute la art. 43 </w:t>
      </w:r>
      <w:proofErr w:type="spellStart"/>
      <w:r w:rsidR="0038520A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38520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art. 45.</w:t>
      </w:r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 o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fişă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evaluare nominală, fiecare membru al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Secţiei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judecători acordă punctajele corespunzătoare, potrivit art. 43 alin. (3)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art. 45 alin. (2). În acest caz, în urma reevaluării candidatului, niciun punctaj acordat nu poate fi mai mic decât cel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obţinut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la evaluarea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iniţială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. Punctajul total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obţinut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ca urmare a admiterii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contestaţiei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este definitiv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se calculează ca medie aritmetică a punctajelor acordate de fiecare dintre membrii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Secţiei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judecători </w:t>
      </w:r>
      <w:proofErr w:type="spellStart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lastRenderedPageBreak/>
        <w:t>prezenţi</w:t>
      </w:r>
      <w:proofErr w:type="spellEnd"/>
      <w:r w:rsidR="00C631E3" w:rsidRPr="00EA5E50">
        <w:rPr>
          <w:rFonts w:ascii="Calibri" w:hAnsi="Calibri" w:cs="Calibri"/>
          <w:bCs/>
          <w:color w:val="000000"/>
          <w:sz w:val="26"/>
          <w:szCs w:val="26"/>
        </w:rPr>
        <w:t>.</w:t>
      </w:r>
    </w:p>
    <w:p w:rsidR="00C631E3" w:rsidRPr="00EA5E50" w:rsidRDefault="00C631E3" w:rsidP="00C631E3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(3</w:t>
      </w:r>
      <w:r w:rsidRPr="00EA5E50">
        <w:rPr>
          <w:rFonts w:ascii="Calibri" w:hAnsi="Calibri" w:cs="Calibri"/>
          <w:bCs/>
          <w:color w:val="000000"/>
          <w:sz w:val="26"/>
          <w:szCs w:val="26"/>
          <w:vertAlign w:val="superscript"/>
        </w:rPr>
        <w:t>2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) În cazul în care, în raport de criticile formulate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documentele prevăzute la alin. (3),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Secţia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judecători apreciază că se impune respingerea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contestaţiei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nu se mai face o nouă evaluare a candidatului pe baza criteriilor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punctajelor prevăzute la art. 43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art. 45.”</w:t>
      </w:r>
    </w:p>
    <w:p w:rsidR="00A87FCD" w:rsidRPr="00EA5E50" w:rsidRDefault="00A87FCD" w:rsidP="00F02D8F">
      <w:pPr>
        <w:widowControl w:val="0"/>
        <w:spacing w:line="276" w:lineRule="auto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A87FCD" w:rsidRPr="00EA5E50" w:rsidRDefault="004B06CC" w:rsidP="00A87FCD">
      <w:pPr>
        <w:widowControl w:val="0"/>
        <w:tabs>
          <w:tab w:val="left" w:pos="709"/>
        </w:tabs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Varian</w:t>
      </w:r>
      <w:r w:rsidR="00A87FCD" w:rsidRPr="00EA5E50">
        <w:rPr>
          <w:rFonts w:ascii="Calibri" w:hAnsi="Calibri" w:cs="Calibri"/>
          <w:b/>
          <w:bCs/>
          <w:color w:val="000000"/>
          <w:sz w:val="26"/>
          <w:szCs w:val="26"/>
        </w:rPr>
        <w:t>ta II</w:t>
      </w:r>
    </w:p>
    <w:p w:rsidR="00A87FCD" w:rsidRPr="00EA5E50" w:rsidRDefault="00A87FCD" w:rsidP="00A87FCD">
      <w:pPr>
        <w:widowControl w:val="0"/>
        <w:tabs>
          <w:tab w:val="left" w:pos="709"/>
        </w:tabs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12. La articolul 49, după alineatul (3) se introduce un nou alineat, alineatul (3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  <w:vertAlign w:val="superscript"/>
        </w:rPr>
        <w:t>1</w:t>
      </w:r>
      <w:r w:rsidRPr="00EA5E50">
        <w:rPr>
          <w:rFonts w:ascii="Calibri" w:hAnsi="Calibri" w:cs="Calibri"/>
          <w:b/>
          <w:bCs/>
          <w:color w:val="000000"/>
          <w:sz w:val="26"/>
          <w:szCs w:val="26"/>
        </w:rPr>
        <w:t>), cu următorul cuprins:</w:t>
      </w:r>
    </w:p>
    <w:p w:rsidR="00F02D8F" w:rsidRDefault="00A87FCD" w:rsidP="00A87FCD">
      <w:pPr>
        <w:widowControl w:val="0"/>
        <w:tabs>
          <w:tab w:val="left" w:pos="709"/>
        </w:tabs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EA5E50">
        <w:rPr>
          <w:rFonts w:ascii="Calibri" w:hAnsi="Calibri" w:cs="Calibri"/>
          <w:bCs/>
          <w:color w:val="000000"/>
          <w:sz w:val="26"/>
          <w:szCs w:val="26"/>
        </w:rPr>
        <w:t>„(3</w:t>
      </w:r>
      <w:r w:rsidRPr="00EA5E50">
        <w:rPr>
          <w:rFonts w:ascii="Calibri" w:hAnsi="Calibri" w:cs="Calibri"/>
          <w:bCs/>
          <w:color w:val="000000"/>
          <w:sz w:val="26"/>
          <w:szCs w:val="26"/>
          <w:vertAlign w:val="superscript"/>
        </w:rPr>
        <w:t>1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)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Secţia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judecători analizează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contestaţia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, în raport de criticile formulate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documentele prevăzute la alin. (3),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procedează la o nouă evaluare a candidatului pe baza criteriilor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punctajelor p</w:t>
      </w:r>
      <w:r w:rsidR="0038520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revăzute la art. 43 </w:t>
      </w:r>
      <w:proofErr w:type="spellStart"/>
      <w:r w:rsidR="0038520A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38520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art. 45.</w:t>
      </w:r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 o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fişă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de evaluare nominală, fiecare membru al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Secţiei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judecători acordă punctajele corespunzătoare, potrivit art. 43 alin. (3) </w:t>
      </w:r>
      <w:proofErr w:type="spellStart"/>
      <w:r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Pr="00EA5E50">
        <w:rPr>
          <w:rFonts w:ascii="Calibri" w:hAnsi="Calibri" w:cs="Calibri"/>
          <w:bCs/>
          <w:color w:val="000000"/>
          <w:sz w:val="26"/>
          <w:szCs w:val="26"/>
        </w:rPr>
        <w:t xml:space="preserve"> art. 45 alin. (2). Punctajul total </w:t>
      </w:r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 xml:space="preserve">se calculează ca medie aritmetică a punctajelor acordate de fiecare dintre membrii </w:t>
      </w:r>
      <w:proofErr w:type="spellStart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>Secţiei</w:t>
      </w:r>
      <w:proofErr w:type="spellEnd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pentru judecători </w:t>
      </w:r>
      <w:proofErr w:type="spellStart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>prezenţi</w:t>
      </w:r>
      <w:proofErr w:type="spellEnd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 xml:space="preserve">. Punctajul acordat în </w:t>
      </w:r>
      <w:r w:rsidR="0038520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urma </w:t>
      </w:r>
      <w:proofErr w:type="spellStart"/>
      <w:r w:rsidR="0038520A" w:rsidRPr="00EA5E50">
        <w:rPr>
          <w:rFonts w:ascii="Calibri" w:hAnsi="Calibri" w:cs="Calibri"/>
          <w:bCs/>
          <w:color w:val="000000"/>
          <w:sz w:val="26"/>
          <w:szCs w:val="26"/>
        </w:rPr>
        <w:t>soluţionării</w:t>
      </w:r>
      <w:proofErr w:type="spellEnd"/>
      <w:r w:rsidR="0038520A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38520A" w:rsidRPr="00EA5E50">
        <w:rPr>
          <w:rFonts w:ascii="Calibri" w:hAnsi="Calibri" w:cs="Calibri"/>
          <w:bCs/>
          <w:color w:val="000000"/>
          <w:sz w:val="26"/>
          <w:szCs w:val="26"/>
        </w:rPr>
        <w:t>contestaţiei</w:t>
      </w:r>
      <w:proofErr w:type="spellEnd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este definitiv </w:t>
      </w:r>
      <w:proofErr w:type="spellStart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>şi</w:t>
      </w:r>
      <w:proofErr w:type="spellEnd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nu poate fi mai mic decât cel </w:t>
      </w:r>
      <w:proofErr w:type="spellStart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>obţinut</w:t>
      </w:r>
      <w:proofErr w:type="spellEnd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 xml:space="preserve"> la evaluarea </w:t>
      </w:r>
      <w:proofErr w:type="spellStart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>iniţială</w:t>
      </w:r>
      <w:proofErr w:type="spellEnd"/>
      <w:r w:rsidR="00F02D8F" w:rsidRPr="00EA5E50">
        <w:rPr>
          <w:rFonts w:ascii="Calibri" w:hAnsi="Calibri" w:cs="Calibri"/>
          <w:bCs/>
          <w:color w:val="000000"/>
          <w:sz w:val="26"/>
          <w:szCs w:val="26"/>
        </w:rPr>
        <w:t>.”</w:t>
      </w:r>
    </w:p>
    <w:p w:rsidR="00F02D8F" w:rsidRDefault="00F02D8F" w:rsidP="00695AD0">
      <w:pPr>
        <w:widowControl w:val="0"/>
        <w:spacing w:line="276" w:lineRule="auto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F02D8F" w:rsidRPr="00A87FCD" w:rsidRDefault="00F02D8F" w:rsidP="00F02D8F">
      <w:pPr>
        <w:widowControl w:val="0"/>
        <w:spacing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13. </w:t>
      </w:r>
      <w:r w:rsidRPr="00A87FCD">
        <w:rPr>
          <w:rFonts w:ascii="Calibri" w:hAnsi="Calibri" w:cs="Calibri"/>
          <w:b/>
          <w:bCs/>
          <w:color w:val="000000"/>
          <w:sz w:val="26"/>
          <w:szCs w:val="26"/>
        </w:rPr>
        <w:t>La articolul 49, alineatul (5) se abrogă.</w:t>
      </w:r>
    </w:p>
    <w:p w:rsidR="00965263" w:rsidRDefault="00965263" w:rsidP="00695AD0">
      <w:pPr>
        <w:widowControl w:val="0"/>
        <w:spacing w:line="276" w:lineRule="auto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D62561" w:rsidRDefault="00D62561" w:rsidP="00695AD0">
      <w:pPr>
        <w:widowControl w:val="0"/>
        <w:spacing w:line="276" w:lineRule="auto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ab/>
      </w:r>
      <w:r w:rsidRPr="00D62561">
        <w:rPr>
          <w:rFonts w:ascii="Calibri" w:hAnsi="Calibri" w:cs="Calibri"/>
          <w:b/>
          <w:bCs/>
          <w:color w:val="000000"/>
          <w:sz w:val="26"/>
          <w:szCs w:val="26"/>
        </w:rPr>
        <w:t>14. La art. 51, alineatul (1) se abrogă.</w:t>
      </w:r>
    </w:p>
    <w:p w:rsidR="00D62561" w:rsidRDefault="00D62561" w:rsidP="00695AD0">
      <w:pPr>
        <w:widowControl w:val="0"/>
        <w:spacing w:line="276" w:lineRule="auto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D62561" w:rsidRPr="00D62561" w:rsidRDefault="00D62561" w:rsidP="00D62561">
      <w:pPr>
        <w:widowControl w:val="0"/>
        <w:spacing w:line="276" w:lineRule="auto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ab/>
        <w:t xml:space="preserve">15. </w:t>
      </w:r>
      <w:r w:rsidRPr="00D62561">
        <w:rPr>
          <w:rFonts w:ascii="Calibri" w:hAnsi="Calibri" w:cs="Calibri"/>
          <w:b/>
          <w:bCs/>
          <w:color w:val="000000"/>
          <w:sz w:val="26"/>
          <w:szCs w:val="26"/>
        </w:rPr>
        <w:t xml:space="preserve">La art. 51, alineatul (5) se modifică </w:t>
      </w:r>
      <w:proofErr w:type="spellStart"/>
      <w:r w:rsidRPr="00D62561">
        <w:rPr>
          <w:rFonts w:ascii="Calibri" w:hAnsi="Calibri" w:cs="Calibri"/>
          <w:b/>
          <w:bCs/>
          <w:color w:val="000000"/>
          <w:sz w:val="26"/>
          <w:szCs w:val="26"/>
        </w:rPr>
        <w:t>şi</w:t>
      </w:r>
      <w:proofErr w:type="spellEnd"/>
      <w:r w:rsidRPr="00D62561">
        <w:rPr>
          <w:rFonts w:ascii="Calibri" w:hAnsi="Calibri" w:cs="Calibri"/>
          <w:b/>
          <w:bCs/>
          <w:color w:val="000000"/>
          <w:sz w:val="26"/>
          <w:szCs w:val="26"/>
        </w:rPr>
        <w:t xml:space="preserve"> va avea următorul cuprins:</w:t>
      </w:r>
    </w:p>
    <w:p w:rsidR="00D62561" w:rsidRPr="00D62561" w:rsidRDefault="00D62561" w:rsidP="00D62561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D62561">
        <w:rPr>
          <w:rFonts w:ascii="Calibri" w:hAnsi="Calibri" w:cs="Calibri"/>
          <w:bCs/>
          <w:color w:val="000000"/>
          <w:sz w:val="26"/>
          <w:szCs w:val="26"/>
        </w:rPr>
        <w:t xml:space="preserve">„(5) Promovarea efectivă se realizează în ordinea punctajelor </w:t>
      </w:r>
      <w:proofErr w:type="spellStart"/>
      <w:r w:rsidRPr="00D62561">
        <w:rPr>
          <w:rFonts w:ascii="Calibri" w:hAnsi="Calibri" w:cs="Calibri"/>
          <w:bCs/>
          <w:color w:val="000000"/>
          <w:sz w:val="26"/>
          <w:szCs w:val="26"/>
        </w:rPr>
        <w:t>obţinute</w:t>
      </w:r>
      <w:proofErr w:type="spellEnd"/>
      <w:r w:rsidRPr="00D62561">
        <w:rPr>
          <w:rFonts w:ascii="Calibri" w:hAnsi="Calibri" w:cs="Calibri"/>
          <w:bCs/>
          <w:color w:val="000000"/>
          <w:sz w:val="26"/>
          <w:szCs w:val="26"/>
        </w:rPr>
        <w:t xml:space="preserve">, în limita numărului de posturi aprobate, în raport de </w:t>
      </w:r>
      <w:proofErr w:type="spellStart"/>
      <w:r w:rsidRPr="00D62561">
        <w:rPr>
          <w:rFonts w:ascii="Calibri" w:hAnsi="Calibri" w:cs="Calibri"/>
          <w:bCs/>
          <w:color w:val="000000"/>
          <w:sz w:val="26"/>
          <w:szCs w:val="26"/>
        </w:rPr>
        <w:t>opţiunea</w:t>
      </w:r>
      <w:proofErr w:type="spellEnd"/>
      <w:r w:rsidRPr="00D62561">
        <w:rPr>
          <w:rFonts w:ascii="Calibri" w:hAnsi="Calibri" w:cs="Calibri"/>
          <w:bCs/>
          <w:color w:val="000000"/>
          <w:sz w:val="26"/>
          <w:szCs w:val="26"/>
        </w:rPr>
        <w:t xml:space="preserve"> candidatului. În cazul în care </w:t>
      </w:r>
      <w:proofErr w:type="spellStart"/>
      <w:r w:rsidRPr="00D62561">
        <w:rPr>
          <w:rFonts w:ascii="Calibri" w:hAnsi="Calibri" w:cs="Calibri"/>
          <w:bCs/>
          <w:color w:val="000000"/>
          <w:sz w:val="26"/>
          <w:szCs w:val="26"/>
        </w:rPr>
        <w:t>candidaţii</w:t>
      </w:r>
      <w:proofErr w:type="spellEnd"/>
      <w:r w:rsidRPr="00D62561">
        <w:rPr>
          <w:rFonts w:ascii="Calibri" w:hAnsi="Calibri" w:cs="Calibri"/>
          <w:bCs/>
          <w:color w:val="000000"/>
          <w:sz w:val="26"/>
          <w:szCs w:val="26"/>
        </w:rPr>
        <w:t xml:space="preserve"> au formulat mai multe </w:t>
      </w:r>
      <w:proofErr w:type="spellStart"/>
      <w:r w:rsidRPr="00D62561">
        <w:rPr>
          <w:rFonts w:ascii="Calibri" w:hAnsi="Calibri" w:cs="Calibri"/>
          <w:bCs/>
          <w:color w:val="000000"/>
          <w:sz w:val="26"/>
          <w:szCs w:val="26"/>
        </w:rPr>
        <w:t>opţiuni</w:t>
      </w:r>
      <w:proofErr w:type="spellEnd"/>
      <w:r w:rsidRPr="00D62561">
        <w:rPr>
          <w:rFonts w:ascii="Calibri" w:hAnsi="Calibri" w:cs="Calibri"/>
          <w:bCs/>
          <w:color w:val="000000"/>
          <w:sz w:val="26"/>
          <w:szCs w:val="26"/>
        </w:rPr>
        <w:t xml:space="preserve"> în </w:t>
      </w:r>
      <w:proofErr w:type="spellStart"/>
      <w:r w:rsidRPr="00D62561">
        <w:rPr>
          <w:rFonts w:ascii="Calibri" w:hAnsi="Calibri" w:cs="Calibri"/>
          <w:bCs/>
          <w:color w:val="000000"/>
          <w:sz w:val="26"/>
          <w:szCs w:val="26"/>
        </w:rPr>
        <w:t>condiţiile</w:t>
      </w:r>
      <w:proofErr w:type="spellEnd"/>
      <w:r w:rsidRPr="00D62561">
        <w:rPr>
          <w:rFonts w:ascii="Calibri" w:hAnsi="Calibri" w:cs="Calibri"/>
          <w:bCs/>
          <w:color w:val="000000"/>
          <w:sz w:val="26"/>
          <w:szCs w:val="26"/>
        </w:rPr>
        <w:t xml:space="preserve"> art. 32 alin. (4), se va </w:t>
      </w:r>
      <w:proofErr w:type="spellStart"/>
      <w:r w:rsidRPr="00D62561">
        <w:rPr>
          <w:rFonts w:ascii="Calibri" w:hAnsi="Calibri" w:cs="Calibri"/>
          <w:bCs/>
          <w:color w:val="000000"/>
          <w:sz w:val="26"/>
          <w:szCs w:val="26"/>
        </w:rPr>
        <w:t>ţine</w:t>
      </w:r>
      <w:proofErr w:type="spellEnd"/>
      <w:r w:rsidRPr="00D62561">
        <w:rPr>
          <w:rFonts w:ascii="Calibri" w:hAnsi="Calibri" w:cs="Calibri"/>
          <w:bCs/>
          <w:color w:val="000000"/>
          <w:sz w:val="26"/>
          <w:szCs w:val="26"/>
        </w:rPr>
        <w:t xml:space="preserve"> seama de ordinea de </w:t>
      </w:r>
      <w:proofErr w:type="spellStart"/>
      <w:r w:rsidRPr="00D62561">
        <w:rPr>
          <w:rFonts w:ascii="Calibri" w:hAnsi="Calibri" w:cs="Calibri"/>
          <w:bCs/>
          <w:color w:val="000000"/>
          <w:sz w:val="26"/>
          <w:szCs w:val="26"/>
        </w:rPr>
        <w:t>preferinţă</w:t>
      </w:r>
      <w:proofErr w:type="spellEnd"/>
      <w:r w:rsidRPr="00D62561">
        <w:rPr>
          <w:rFonts w:ascii="Calibri" w:hAnsi="Calibri" w:cs="Calibri"/>
          <w:bCs/>
          <w:color w:val="000000"/>
          <w:sz w:val="26"/>
          <w:szCs w:val="26"/>
        </w:rPr>
        <w:t xml:space="preserve"> indicată de </w:t>
      </w:r>
      <w:proofErr w:type="spellStart"/>
      <w:r w:rsidRPr="00D62561">
        <w:rPr>
          <w:rFonts w:ascii="Calibri" w:hAnsi="Calibri" w:cs="Calibri"/>
          <w:bCs/>
          <w:color w:val="000000"/>
          <w:sz w:val="26"/>
          <w:szCs w:val="26"/>
        </w:rPr>
        <w:t>aceştia</w:t>
      </w:r>
      <w:proofErr w:type="spellEnd"/>
      <w:r w:rsidRPr="00D62561">
        <w:rPr>
          <w:rFonts w:ascii="Calibri" w:hAnsi="Calibri" w:cs="Calibri"/>
          <w:bCs/>
          <w:color w:val="000000"/>
          <w:sz w:val="26"/>
          <w:szCs w:val="26"/>
        </w:rPr>
        <w:t>.”</w:t>
      </w:r>
    </w:p>
    <w:p w:rsidR="00D62561" w:rsidRDefault="00D62561" w:rsidP="00695AD0">
      <w:pPr>
        <w:widowControl w:val="0"/>
        <w:spacing w:line="276" w:lineRule="auto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D62561" w:rsidRDefault="00D62561" w:rsidP="00695AD0">
      <w:pPr>
        <w:widowControl w:val="0"/>
        <w:spacing w:line="276" w:lineRule="auto"/>
        <w:jc w:val="both"/>
        <w:rPr>
          <w:rFonts w:ascii="Calibri" w:hAnsi="Calibri" w:cs="Calibri"/>
          <w:bCs/>
          <w:color w:val="000000"/>
          <w:sz w:val="26"/>
          <w:szCs w:val="26"/>
        </w:rPr>
      </w:pPr>
    </w:p>
    <w:p w:rsidR="00695AD0" w:rsidRPr="00695AD0" w:rsidRDefault="00D62561" w:rsidP="00D62561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D62561">
        <w:rPr>
          <w:rFonts w:ascii="Calibri" w:hAnsi="Calibri" w:cs="Calibri"/>
          <w:b/>
          <w:bCs/>
          <w:color w:val="000000"/>
          <w:sz w:val="26"/>
          <w:szCs w:val="26"/>
        </w:rPr>
        <w:t xml:space="preserve">Art. 2 </w:t>
      </w:r>
      <w:r w:rsidRPr="00D62561">
        <w:rPr>
          <w:rFonts w:ascii="Calibri" w:hAnsi="Calibri" w:cs="Calibri"/>
          <w:bCs/>
          <w:color w:val="000000"/>
          <w:sz w:val="26"/>
          <w:szCs w:val="26"/>
        </w:rPr>
        <w:t>- Prezenta hotărâre se publică în Monitorul Oficial al României, Partea I.</w:t>
      </w:r>
    </w:p>
    <w:p w:rsidR="00DB4B63" w:rsidRDefault="00DB4B63" w:rsidP="00695AD0">
      <w:pPr>
        <w:widowControl w:val="0"/>
        <w:spacing w:before="600" w:after="360"/>
        <w:jc w:val="center"/>
        <w:rPr>
          <w:rFonts w:ascii="Calibri" w:hAnsi="Calibri" w:cs="Calibri"/>
          <w:b/>
          <w:bCs/>
          <w:sz w:val="26"/>
          <w:szCs w:val="26"/>
        </w:rPr>
      </w:pPr>
      <w:r w:rsidRPr="00D62561">
        <w:rPr>
          <w:rFonts w:ascii="Calibri" w:hAnsi="Calibri" w:cs="Calibri"/>
          <w:b/>
          <w:bCs/>
          <w:color w:val="000000"/>
          <w:sz w:val="26"/>
          <w:szCs w:val="26"/>
        </w:rPr>
        <w:t xml:space="preserve">Dată în </w:t>
      </w:r>
      <w:proofErr w:type="spellStart"/>
      <w:r w:rsidRPr="00D62561">
        <w:rPr>
          <w:rFonts w:ascii="Calibri" w:hAnsi="Calibri" w:cs="Calibri"/>
          <w:b/>
          <w:bCs/>
          <w:color w:val="000000"/>
          <w:sz w:val="26"/>
          <w:szCs w:val="26"/>
        </w:rPr>
        <w:t>Bucureşti</w:t>
      </w:r>
      <w:proofErr w:type="spellEnd"/>
      <w:r w:rsidR="00B77C36" w:rsidRPr="00D62561">
        <w:rPr>
          <w:rFonts w:ascii="Calibri" w:hAnsi="Calibri" w:cs="Calibri"/>
          <w:b/>
          <w:bCs/>
          <w:color w:val="000000"/>
          <w:sz w:val="26"/>
          <w:szCs w:val="26"/>
        </w:rPr>
        <w:t>,</w:t>
      </w:r>
      <w:r w:rsidR="0050322F" w:rsidRPr="00D62561">
        <w:rPr>
          <w:rFonts w:ascii="Calibri" w:hAnsi="Calibri" w:cs="Calibri"/>
          <w:b/>
          <w:bCs/>
          <w:color w:val="000000"/>
          <w:sz w:val="26"/>
          <w:szCs w:val="26"/>
        </w:rPr>
        <w:t xml:space="preserve"> la data de </w:t>
      </w:r>
      <w:r w:rsidR="00986F9D" w:rsidRPr="00D62561">
        <w:rPr>
          <w:rFonts w:ascii="Calibri" w:hAnsi="Calibri" w:cs="Calibri"/>
          <w:b/>
          <w:bCs/>
          <w:sz w:val="26"/>
          <w:szCs w:val="26"/>
        </w:rPr>
        <w:t>……</w:t>
      </w:r>
      <w:r w:rsidR="00695AD0" w:rsidRPr="00D62561">
        <w:rPr>
          <w:rFonts w:ascii="Calibri" w:hAnsi="Calibri" w:cs="Calibri"/>
          <w:b/>
          <w:bCs/>
          <w:sz w:val="26"/>
          <w:szCs w:val="26"/>
        </w:rPr>
        <w:t>2021</w:t>
      </w:r>
    </w:p>
    <w:p w:rsidR="00CD12B4" w:rsidRDefault="00CD12B4" w:rsidP="00986F9D">
      <w:pPr>
        <w:tabs>
          <w:tab w:val="left" w:pos="7153"/>
        </w:tabs>
        <w:spacing w:line="276" w:lineRule="auto"/>
        <w:jc w:val="center"/>
        <w:rPr>
          <w:rFonts w:ascii="Calibri" w:hAnsi="Calibri"/>
          <w:b/>
          <w:sz w:val="26"/>
          <w:szCs w:val="26"/>
          <w:lang w:eastAsia="en-US"/>
        </w:rPr>
      </w:pPr>
      <w:bookmarkStart w:id="2" w:name="presedinte"/>
    </w:p>
    <w:p w:rsidR="00986F9D" w:rsidRPr="005C688B" w:rsidRDefault="00986F9D" w:rsidP="00986F9D">
      <w:pPr>
        <w:tabs>
          <w:tab w:val="left" w:pos="7153"/>
        </w:tabs>
        <w:spacing w:line="276" w:lineRule="auto"/>
        <w:jc w:val="center"/>
        <w:rPr>
          <w:rFonts w:ascii="Calibri" w:hAnsi="Calibri"/>
          <w:b/>
          <w:sz w:val="26"/>
          <w:szCs w:val="26"/>
          <w:lang w:eastAsia="en-US"/>
        </w:rPr>
      </w:pPr>
      <w:r w:rsidRPr="005C688B">
        <w:rPr>
          <w:rFonts w:ascii="Calibri" w:hAnsi="Calibri"/>
          <w:b/>
          <w:sz w:val="26"/>
          <w:szCs w:val="26"/>
          <w:lang w:eastAsia="en-US"/>
        </w:rPr>
        <w:t xml:space="preserve">Judecător </w:t>
      </w:r>
      <w:r w:rsidR="00695AD0">
        <w:rPr>
          <w:rFonts w:ascii="Calibri" w:hAnsi="Calibri"/>
          <w:b/>
          <w:sz w:val="26"/>
          <w:szCs w:val="26"/>
          <w:lang w:eastAsia="en-US"/>
        </w:rPr>
        <w:t>Mihai-</w:t>
      </w:r>
      <w:r w:rsidR="00695AD0" w:rsidRPr="00695AD0">
        <w:rPr>
          <w:rFonts w:ascii="Calibri" w:hAnsi="Calibri"/>
          <w:b/>
          <w:sz w:val="26"/>
          <w:szCs w:val="26"/>
          <w:lang w:eastAsia="en-US"/>
        </w:rPr>
        <w:t>Bogdan Mateescu</w:t>
      </w:r>
    </w:p>
    <w:p w:rsidR="00986F9D" w:rsidRPr="000C21A7" w:rsidRDefault="00986F9D" w:rsidP="0089167E">
      <w:pPr>
        <w:tabs>
          <w:tab w:val="left" w:pos="7153"/>
        </w:tabs>
        <w:spacing w:line="276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proofErr w:type="spellStart"/>
      <w:r w:rsidRPr="005C688B">
        <w:rPr>
          <w:rFonts w:ascii="Calibri" w:hAnsi="Calibri"/>
          <w:b/>
          <w:bCs/>
          <w:sz w:val="26"/>
          <w:szCs w:val="26"/>
          <w:lang w:eastAsia="en-US"/>
        </w:rPr>
        <w:t>Preşedintele</w:t>
      </w:r>
      <w:proofErr w:type="spellEnd"/>
      <w:r w:rsidRPr="005C688B">
        <w:rPr>
          <w:rFonts w:ascii="Calibri" w:hAnsi="Calibri"/>
          <w:b/>
          <w:bCs/>
          <w:sz w:val="26"/>
          <w:szCs w:val="26"/>
          <w:lang w:eastAsia="en-US"/>
        </w:rPr>
        <w:t xml:space="preserve"> Consiliului Superior al Magistraturii</w:t>
      </w:r>
      <w:bookmarkStart w:id="3" w:name="_GoBack"/>
      <w:bookmarkEnd w:id="2"/>
      <w:bookmarkEnd w:id="3"/>
    </w:p>
    <w:sectPr w:rsidR="00986F9D" w:rsidRPr="000C21A7" w:rsidSect="0070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851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A0" w:rsidRDefault="00E821A0">
      <w:r>
        <w:separator/>
      </w:r>
    </w:p>
  </w:endnote>
  <w:endnote w:type="continuationSeparator" w:id="0">
    <w:p w:rsidR="00E821A0" w:rsidRDefault="00E8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ED" w:rsidRDefault="009F2F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534"/>
      <w:gridCol w:w="2268"/>
      <w:gridCol w:w="708"/>
      <w:gridCol w:w="3402"/>
      <w:gridCol w:w="534"/>
      <w:gridCol w:w="1033"/>
      <w:gridCol w:w="1977"/>
    </w:tblGrid>
    <w:tr w:rsidR="00CC2E9C" w:rsidRPr="003F3275" w:rsidTr="009F2FED">
      <w:trPr>
        <w:trHeight w:val="699"/>
      </w:trPr>
      <w:tc>
        <w:tcPr>
          <w:tcW w:w="534" w:type="dxa"/>
          <w:tcBorders>
            <w:top w:val="single" w:sz="24" w:space="0" w:color="00519C"/>
          </w:tcBorders>
          <w:shd w:val="clear" w:color="auto" w:fill="auto"/>
          <w:vAlign w:val="bottom"/>
        </w:tcPr>
        <w:p w:rsidR="00CC2E9C" w:rsidRPr="000C21A7" w:rsidRDefault="00547239" w:rsidP="000C21A7">
          <w:pPr>
            <w:ind w:left="-91"/>
            <w:rPr>
              <w:rFonts w:ascii="Calibri" w:hAnsi="Calibri" w:cs="Calibri"/>
              <w:sz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30505" cy="302260"/>
                <wp:effectExtent l="0" t="0" r="0" b="254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single" w:sz="24" w:space="0" w:color="00519C"/>
          </w:tcBorders>
          <w:shd w:val="clear" w:color="auto" w:fill="auto"/>
          <w:vAlign w:val="bottom"/>
        </w:tcPr>
        <w:p w:rsidR="00CC2E9C" w:rsidRDefault="00CC2E9C" w:rsidP="00CC2E9C">
          <w:pPr>
            <w:ind w:left="-91"/>
            <w:rPr>
              <w:rFonts w:ascii="Calibri" w:hAnsi="Calibri" w:cs="Calibri"/>
              <w:sz w:val="20"/>
            </w:rPr>
          </w:pPr>
          <w:r w:rsidRPr="000C21A7">
            <w:rPr>
              <w:rFonts w:ascii="Calibri" w:hAnsi="Calibri" w:cs="Calibri"/>
              <w:sz w:val="20"/>
            </w:rPr>
            <w:t>Tel: (+40)21-311.69.02</w:t>
          </w:r>
        </w:p>
        <w:p w:rsidR="00CC2E9C" w:rsidRPr="000C21A7" w:rsidRDefault="00CC2E9C" w:rsidP="00CC2E9C">
          <w:pPr>
            <w:ind w:left="-91"/>
            <w:rPr>
              <w:rFonts w:ascii="Calibri" w:hAnsi="Calibri" w:cs="Calibri"/>
              <w:sz w:val="20"/>
            </w:rPr>
          </w:pPr>
          <w:r w:rsidRPr="000C21A7">
            <w:rPr>
              <w:rFonts w:ascii="Calibri" w:hAnsi="Calibri" w:cs="Calibri"/>
              <w:sz w:val="20"/>
            </w:rPr>
            <w:t>Fax: (+40)21-311.69.01</w:t>
          </w:r>
        </w:p>
      </w:tc>
      <w:tc>
        <w:tcPr>
          <w:tcW w:w="708" w:type="dxa"/>
          <w:tcBorders>
            <w:top w:val="single" w:sz="24" w:space="0" w:color="00519C"/>
          </w:tcBorders>
          <w:shd w:val="clear" w:color="auto" w:fill="auto"/>
          <w:vAlign w:val="bottom"/>
        </w:tcPr>
        <w:p w:rsidR="00CC2E9C" w:rsidRPr="000C21A7" w:rsidRDefault="00547239" w:rsidP="00733007">
          <w:pPr>
            <w:pStyle w:val="Footer"/>
            <w:rPr>
              <w:rStyle w:val="Hyperlink"/>
              <w:rFonts w:ascii="Calibri" w:hAnsi="Calibri" w:cs="Calibri"/>
              <w:sz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334010" cy="238760"/>
                <wp:effectExtent l="0" t="0" r="889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single" w:sz="24" w:space="0" w:color="00519C"/>
          </w:tcBorders>
          <w:shd w:val="clear" w:color="auto" w:fill="auto"/>
          <w:vAlign w:val="bottom"/>
        </w:tcPr>
        <w:p w:rsidR="00CC2E9C" w:rsidRDefault="00CC2E9C" w:rsidP="00733007">
          <w:pPr>
            <w:pStyle w:val="Footer"/>
            <w:rPr>
              <w:rStyle w:val="Hyperlink"/>
              <w:rFonts w:ascii="Calibri" w:hAnsi="Calibri" w:cs="Calibri"/>
              <w:sz w:val="20"/>
            </w:rPr>
          </w:pPr>
          <w:r w:rsidRPr="000C21A7">
            <w:rPr>
              <w:rFonts w:ascii="Calibri" w:hAnsi="Calibri" w:cs="Calibri"/>
              <w:sz w:val="20"/>
            </w:rPr>
            <w:t xml:space="preserve">Website: </w:t>
          </w:r>
          <w:r w:rsidRPr="007C6EDD">
            <w:rPr>
              <w:rFonts w:ascii="Calibri" w:hAnsi="Calibri" w:cs="Calibri"/>
              <w:sz w:val="20"/>
            </w:rPr>
            <w:t>www.csm1909.ro</w:t>
          </w:r>
        </w:p>
        <w:p w:rsidR="00CC2E9C" w:rsidRPr="000C21A7" w:rsidRDefault="00CC2E9C" w:rsidP="00733007">
          <w:pPr>
            <w:pStyle w:val="Footer"/>
            <w:rPr>
              <w:rFonts w:ascii="Calibri" w:hAnsi="Calibri" w:cs="Calibri"/>
              <w:sz w:val="20"/>
            </w:rPr>
          </w:pPr>
          <w:r w:rsidRPr="000C21A7">
            <w:rPr>
              <w:rFonts w:ascii="Calibri" w:hAnsi="Calibri" w:cs="Calibri"/>
              <w:sz w:val="20"/>
            </w:rPr>
            <w:t xml:space="preserve">Email: </w:t>
          </w:r>
          <w:r w:rsidR="009F2FED" w:rsidRPr="007C6EDD">
            <w:rPr>
              <w:rFonts w:ascii="Calibri" w:hAnsi="Calibri" w:cs="Calibri"/>
              <w:sz w:val="20"/>
            </w:rPr>
            <w:t>secretar_general@csm1909.ro</w:t>
          </w:r>
        </w:p>
      </w:tc>
      <w:tc>
        <w:tcPr>
          <w:tcW w:w="534" w:type="dxa"/>
          <w:tcBorders>
            <w:top w:val="single" w:sz="24" w:space="0" w:color="00519C"/>
          </w:tcBorders>
          <w:shd w:val="clear" w:color="auto" w:fill="auto"/>
          <w:vAlign w:val="bottom"/>
        </w:tcPr>
        <w:p w:rsidR="00CC2E9C" w:rsidRPr="000C21A7" w:rsidRDefault="00547239" w:rsidP="00733007">
          <w:pPr>
            <w:pStyle w:val="Footer"/>
            <w:rPr>
              <w:rFonts w:ascii="Calibri" w:hAnsi="Calibri" w:cs="Calibri"/>
              <w:sz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30505" cy="302260"/>
                <wp:effectExtent l="0" t="0" r="0" b="254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0" w:type="dxa"/>
          <w:gridSpan w:val="2"/>
          <w:tcBorders>
            <w:top w:val="single" w:sz="24" w:space="0" w:color="00519C"/>
          </w:tcBorders>
          <w:shd w:val="clear" w:color="auto" w:fill="auto"/>
          <w:vAlign w:val="bottom"/>
        </w:tcPr>
        <w:p w:rsidR="00CC2E9C" w:rsidRPr="000C21A7" w:rsidRDefault="00CC2E9C" w:rsidP="00733007">
          <w:pPr>
            <w:pStyle w:val="Footer"/>
            <w:rPr>
              <w:rFonts w:ascii="Calibri" w:hAnsi="Calibri" w:cs="Calibri"/>
              <w:sz w:val="20"/>
            </w:rPr>
          </w:pPr>
          <w:r w:rsidRPr="000C21A7">
            <w:rPr>
              <w:rFonts w:ascii="Calibri" w:hAnsi="Calibri" w:cs="Calibri"/>
              <w:sz w:val="20"/>
            </w:rPr>
            <w:t>Calea Plevnei nr. 141B, sector 6, cod poștal 060011</w:t>
          </w:r>
        </w:p>
      </w:tc>
    </w:tr>
    <w:tr w:rsidR="00733007" w:rsidRPr="003F3275" w:rsidTr="00CC2E9C">
      <w:trPr>
        <w:trHeight w:val="313"/>
      </w:trPr>
      <w:tc>
        <w:tcPr>
          <w:tcW w:w="8479" w:type="dxa"/>
          <w:gridSpan w:val="6"/>
          <w:shd w:val="clear" w:color="auto" w:fill="auto"/>
          <w:vAlign w:val="center"/>
        </w:tcPr>
        <w:p w:rsidR="00733007" w:rsidRPr="000C21A7" w:rsidRDefault="00733007" w:rsidP="00733007">
          <w:pPr>
            <w:pStyle w:val="Footer"/>
            <w:rPr>
              <w:rFonts w:ascii="Calibri" w:hAnsi="Calibri" w:cs="Calibri"/>
              <w:i/>
              <w:szCs w:val="28"/>
            </w:rPr>
          </w:pPr>
          <w:r w:rsidRPr="000C21A7">
            <w:rPr>
              <w:rFonts w:ascii="Calibri" w:hAnsi="Calibri" w:cs="Calibri"/>
              <w:i/>
              <w:sz w:val="20"/>
            </w:rPr>
            <w:t xml:space="preserve">Număr de înregistrare în registrul de </w:t>
          </w:r>
          <w:proofErr w:type="spellStart"/>
          <w:r w:rsidRPr="000C21A7">
            <w:rPr>
              <w:rFonts w:ascii="Calibri" w:hAnsi="Calibri" w:cs="Calibri"/>
              <w:i/>
              <w:sz w:val="20"/>
            </w:rPr>
            <w:t>evidenţă</w:t>
          </w:r>
          <w:proofErr w:type="spellEnd"/>
          <w:r w:rsidRPr="000C21A7">
            <w:rPr>
              <w:rFonts w:ascii="Calibri" w:hAnsi="Calibri" w:cs="Calibri"/>
              <w:i/>
              <w:sz w:val="20"/>
            </w:rPr>
            <w:t xml:space="preserve"> a prelucrărilor de date cu caracter personal </w:t>
          </w:r>
          <w:r w:rsidRPr="000C21A7">
            <w:rPr>
              <w:rFonts w:ascii="Calibri" w:hAnsi="Calibri" w:cs="Calibri"/>
              <w:b/>
              <w:i/>
              <w:sz w:val="20"/>
            </w:rPr>
            <w:t>2359</w:t>
          </w:r>
        </w:p>
      </w:tc>
      <w:tc>
        <w:tcPr>
          <w:tcW w:w="1977" w:type="dxa"/>
          <w:shd w:val="clear" w:color="auto" w:fill="auto"/>
          <w:vAlign w:val="center"/>
        </w:tcPr>
        <w:p w:rsidR="00733007" w:rsidRPr="000C21A7" w:rsidRDefault="00733007" w:rsidP="000C21A7">
          <w:pPr>
            <w:pStyle w:val="Footer"/>
            <w:jc w:val="right"/>
            <w:rPr>
              <w:rFonts w:ascii="Calibri" w:hAnsi="Calibri" w:cs="Calibri"/>
              <w:noProof/>
            </w:rPr>
          </w:pPr>
          <w:r w:rsidRPr="000C21A7">
            <w:rPr>
              <w:rFonts w:ascii="Calibri" w:hAnsi="Calibri" w:cs="Calibri"/>
              <w:sz w:val="20"/>
            </w:rPr>
            <w:t xml:space="preserve">Pagina </w:t>
          </w:r>
          <w:r w:rsidRPr="000C21A7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0C21A7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0C21A7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9167E">
            <w:rPr>
              <w:rFonts w:ascii="Calibri" w:hAnsi="Calibri" w:cs="Calibri"/>
              <w:b/>
              <w:bCs/>
              <w:noProof/>
              <w:sz w:val="20"/>
            </w:rPr>
            <w:t>5</w:t>
          </w:r>
          <w:r w:rsidRPr="000C21A7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0C21A7">
            <w:rPr>
              <w:rFonts w:ascii="Calibri" w:hAnsi="Calibri" w:cs="Calibri"/>
              <w:sz w:val="20"/>
            </w:rPr>
            <w:t xml:space="preserve"> din </w:t>
          </w:r>
          <w:r w:rsidRPr="000C21A7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0C21A7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0C21A7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9167E">
            <w:rPr>
              <w:rFonts w:ascii="Calibri" w:hAnsi="Calibri" w:cs="Calibri"/>
              <w:b/>
              <w:bCs/>
              <w:noProof/>
              <w:sz w:val="20"/>
            </w:rPr>
            <w:t>6</w:t>
          </w:r>
          <w:r w:rsidRPr="000C21A7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733007" w:rsidRPr="00733007" w:rsidRDefault="0073300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ED" w:rsidRDefault="009F2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A0" w:rsidRDefault="00E821A0">
      <w:r>
        <w:separator/>
      </w:r>
    </w:p>
  </w:footnote>
  <w:footnote w:type="continuationSeparator" w:id="0">
    <w:p w:rsidR="00E821A0" w:rsidRDefault="00E8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ED" w:rsidRDefault="009F2F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24" w:space="0" w:color="00519B"/>
      </w:tblBorders>
      <w:tblLook w:val="04A0" w:firstRow="1" w:lastRow="0" w:firstColumn="1" w:lastColumn="0" w:noHBand="0" w:noVBand="1"/>
    </w:tblPr>
    <w:tblGrid>
      <w:gridCol w:w="10194"/>
    </w:tblGrid>
    <w:tr w:rsidR="00341391" w:rsidTr="006F3F37">
      <w:tc>
        <w:tcPr>
          <w:tcW w:w="10194" w:type="dxa"/>
          <w:shd w:val="clear" w:color="auto" w:fill="auto"/>
        </w:tcPr>
        <w:p w:rsidR="00341391" w:rsidRDefault="00547239" w:rsidP="009F2FED">
          <w:pPr>
            <w:pStyle w:val="Header"/>
            <w:spacing w:after="100"/>
          </w:pPr>
          <w:bookmarkStart w:id="4" w:name="_Hlk65584873"/>
          <w:r w:rsidRPr="003C0C04">
            <w:rPr>
              <w:noProof/>
              <w:lang w:val="en-US" w:eastAsia="en-US"/>
            </w:rPr>
            <w:drawing>
              <wp:inline distT="0" distB="0" distL="0" distR="0">
                <wp:extent cx="5899785" cy="1002030"/>
                <wp:effectExtent l="0" t="0" r="5715" b="7620"/>
                <wp:docPr id="1" name="Imagine 28" descr="O imagine care conține text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8" descr="O imagine care conține text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978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:rsidR="00704967" w:rsidRPr="006F3F37" w:rsidRDefault="00704967" w:rsidP="00341391">
    <w:pPr>
      <w:pStyle w:val="Header"/>
      <w:rPr>
        <w:rFonts w:ascii="Calibri" w:hAnsi="Calibri" w:cs="Calibri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ED" w:rsidRDefault="009F2F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D4591"/>
    <w:multiLevelType w:val="hybridMultilevel"/>
    <w:tmpl w:val="5DA6354A"/>
    <w:lvl w:ilvl="0" w:tplc="52562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rl" w:val="http://localhost:4099/DocumentUpload.aspx?id_document=1154000000303544&amp;id_departament=&amp;id_sesiune=&amp;id_user=&amp;id_institutie=&amp;actiune=modifica"/>
  </w:docVars>
  <w:rsids>
    <w:rsidRoot w:val="00254700"/>
    <w:rsid w:val="000200C6"/>
    <w:rsid w:val="00034C48"/>
    <w:rsid w:val="00042B9A"/>
    <w:rsid w:val="0005036D"/>
    <w:rsid w:val="0006159B"/>
    <w:rsid w:val="00076384"/>
    <w:rsid w:val="00077AE3"/>
    <w:rsid w:val="00086252"/>
    <w:rsid w:val="00097568"/>
    <w:rsid w:val="000C21A7"/>
    <w:rsid w:val="000C4CFE"/>
    <w:rsid w:val="000C4EFA"/>
    <w:rsid w:val="000E6A10"/>
    <w:rsid w:val="0011206E"/>
    <w:rsid w:val="001226B7"/>
    <w:rsid w:val="00135E9B"/>
    <w:rsid w:val="001511F8"/>
    <w:rsid w:val="00170BAA"/>
    <w:rsid w:val="001B4C99"/>
    <w:rsid w:val="001C2A57"/>
    <w:rsid w:val="001C33A1"/>
    <w:rsid w:val="001D0FB4"/>
    <w:rsid w:val="001D64BC"/>
    <w:rsid w:val="001D7D53"/>
    <w:rsid w:val="001E23F6"/>
    <w:rsid w:val="001E5D38"/>
    <w:rsid w:val="0020524A"/>
    <w:rsid w:val="00210BD5"/>
    <w:rsid w:val="0021564A"/>
    <w:rsid w:val="00234BF4"/>
    <w:rsid w:val="00254700"/>
    <w:rsid w:val="00255AA1"/>
    <w:rsid w:val="002616E0"/>
    <w:rsid w:val="00277BBE"/>
    <w:rsid w:val="002814B1"/>
    <w:rsid w:val="002B1563"/>
    <w:rsid w:val="002B4307"/>
    <w:rsid w:val="002C6249"/>
    <w:rsid w:val="002F38C9"/>
    <w:rsid w:val="002F45BF"/>
    <w:rsid w:val="00313DAC"/>
    <w:rsid w:val="00330AA8"/>
    <w:rsid w:val="00334CCC"/>
    <w:rsid w:val="00341391"/>
    <w:rsid w:val="003465D5"/>
    <w:rsid w:val="00364D70"/>
    <w:rsid w:val="00372EAE"/>
    <w:rsid w:val="0038520A"/>
    <w:rsid w:val="003A03C3"/>
    <w:rsid w:val="003A3A7E"/>
    <w:rsid w:val="003A5E31"/>
    <w:rsid w:val="003B7B5E"/>
    <w:rsid w:val="003C488F"/>
    <w:rsid w:val="003D0E0C"/>
    <w:rsid w:val="003D383D"/>
    <w:rsid w:val="003E0C74"/>
    <w:rsid w:val="00415BBC"/>
    <w:rsid w:val="00452FB5"/>
    <w:rsid w:val="004564CE"/>
    <w:rsid w:val="004573C6"/>
    <w:rsid w:val="00460814"/>
    <w:rsid w:val="00462AA6"/>
    <w:rsid w:val="00485BBC"/>
    <w:rsid w:val="00486745"/>
    <w:rsid w:val="00493090"/>
    <w:rsid w:val="004A0981"/>
    <w:rsid w:val="004A1232"/>
    <w:rsid w:val="004A7BA5"/>
    <w:rsid w:val="004B06CC"/>
    <w:rsid w:val="004B76D1"/>
    <w:rsid w:val="004D2AF3"/>
    <w:rsid w:val="004E2A51"/>
    <w:rsid w:val="004E34BF"/>
    <w:rsid w:val="004F6AA8"/>
    <w:rsid w:val="0050322F"/>
    <w:rsid w:val="005117A7"/>
    <w:rsid w:val="00512CF5"/>
    <w:rsid w:val="005211F8"/>
    <w:rsid w:val="00522583"/>
    <w:rsid w:val="0053495D"/>
    <w:rsid w:val="00547239"/>
    <w:rsid w:val="005531C5"/>
    <w:rsid w:val="00554599"/>
    <w:rsid w:val="005866C6"/>
    <w:rsid w:val="00591AFE"/>
    <w:rsid w:val="005A245D"/>
    <w:rsid w:val="005B350D"/>
    <w:rsid w:val="005C0363"/>
    <w:rsid w:val="005C7597"/>
    <w:rsid w:val="005E51F1"/>
    <w:rsid w:val="00606727"/>
    <w:rsid w:val="006072C2"/>
    <w:rsid w:val="00623D66"/>
    <w:rsid w:val="006261AE"/>
    <w:rsid w:val="00632376"/>
    <w:rsid w:val="00633527"/>
    <w:rsid w:val="0064005A"/>
    <w:rsid w:val="00640B48"/>
    <w:rsid w:val="00661478"/>
    <w:rsid w:val="00695AD0"/>
    <w:rsid w:val="00697390"/>
    <w:rsid w:val="006A1376"/>
    <w:rsid w:val="006B50FE"/>
    <w:rsid w:val="006B7D82"/>
    <w:rsid w:val="006C158B"/>
    <w:rsid w:val="006D1BC6"/>
    <w:rsid w:val="006E13DB"/>
    <w:rsid w:val="006E2B93"/>
    <w:rsid w:val="006E337F"/>
    <w:rsid w:val="006F3F37"/>
    <w:rsid w:val="006F76D2"/>
    <w:rsid w:val="00701985"/>
    <w:rsid w:val="00704967"/>
    <w:rsid w:val="00711538"/>
    <w:rsid w:val="00712C70"/>
    <w:rsid w:val="00733007"/>
    <w:rsid w:val="007632DC"/>
    <w:rsid w:val="0076349B"/>
    <w:rsid w:val="00770662"/>
    <w:rsid w:val="007756DB"/>
    <w:rsid w:val="007A0A74"/>
    <w:rsid w:val="007A3B3C"/>
    <w:rsid w:val="007A50AB"/>
    <w:rsid w:val="007B42F7"/>
    <w:rsid w:val="007C0C5E"/>
    <w:rsid w:val="007C5FA6"/>
    <w:rsid w:val="007C6E88"/>
    <w:rsid w:val="007C6EDD"/>
    <w:rsid w:val="007E0B22"/>
    <w:rsid w:val="0080744D"/>
    <w:rsid w:val="0082097A"/>
    <w:rsid w:val="008231AE"/>
    <w:rsid w:val="00824CA8"/>
    <w:rsid w:val="00827E03"/>
    <w:rsid w:val="008364DF"/>
    <w:rsid w:val="00840EBF"/>
    <w:rsid w:val="008418DF"/>
    <w:rsid w:val="0084562D"/>
    <w:rsid w:val="00862E7F"/>
    <w:rsid w:val="00870457"/>
    <w:rsid w:val="00885ADC"/>
    <w:rsid w:val="0089167E"/>
    <w:rsid w:val="00897E1F"/>
    <w:rsid w:val="008A2198"/>
    <w:rsid w:val="008B237B"/>
    <w:rsid w:val="008C468D"/>
    <w:rsid w:val="008C7144"/>
    <w:rsid w:val="008D2A53"/>
    <w:rsid w:val="008D5044"/>
    <w:rsid w:val="008E52E4"/>
    <w:rsid w:val="009055AC"/>
    <w:rsid w:val="00907AC2"/>
    <w:rsid w:val="009149AB"/>
    <w:rsid w:val="009177EA"/>
    <w:rsid w:val="00933664"/>
    <w:rsid w:val="00933C9F"/>
    <w:rsid w:val="00947306"/>
    <w:rsid w:val="0095128A"/>
    <w:rsid w:val="009558B4"/>
    <w:rsid w:val="00955B4A"/>
    <w:rsid w:val="009600D8"/>
    <w:rsid w:val="009641A9"/>
    <w:rsid w:val="00965263"/>
    <w:rsid w:val="00973783"/>
    <w:rsid w:val="009746C0"/>
    <w:rsid w:val="009860F6"/>
    <w:rsid w:val="00986F9D"/>
    <w:rsid w:val="00987A0F"/>
    <w:rsid w:val="00997AD2"/>
    <w:rsid w:val="009A6BC6"/>
    <w:rsid w:val="009C0C1E"/>
    <w:rsid w:val="009C5F3A"/>
    <w:rsid w:val="009C65A6"/>
    <w:rsid w:val="009E0694"/>
    <w:rsid w:val="009E2538"/>
    <w:rsid w:val="009E77FD"/>
    <w:rsid w:val="009F0C3C"/>
    <w:rsid w:val="009F2FED"/>
    <w:rsid w:val="00A01EE9"/>
    <w:rsid w:val="00A033D7"/>
    <w:rsid w:val="00A2605E"/>
    <w:rsid w:val="00A56FF1"/>
    <w:rsid w:val="00A70F8D"/>
    <w:rsid w:val="00A77AD0"/>
    <w:rsid w:val="00A83A70"/>
    <w:rsid w:val="00A870B9"/>
    <w:rsid w:val="00A87FCD"/>
    <w:rsid w:val="00A97D2D"/>
    <w:rsid w:val="00AB5077"/>
    <w:rsid w:val="00AC1D94"/>
    <w:rsid w:val="00AC740B"/>
    <w:rsid w:val="00AD439A"/>
    <w:rsid w:val="00AD5363"/>
    <w:rsid w:val="00AE23E8"/>
    <w:rsid w:val="00AF60A0"/>
    <w:rsid w:val="00B02F92"/>
    <w:rsid w:val="00B163DC"/>
    <w:rsid w:val="00B26B5A"/>
    <w:rsid w:val="00B44135"/>
    <w:rsid w:val="00B52D25"/>
    <w:rsid w:val="00B54C58"/>
    <w:rsid w:val="00B61F43"/>
    <w:rsid w:val="00B70B1F"/>
    <w:rsid w:val="00B713F7"/>
    <w:rsid w:val="00B77C36"/>
    <w:rsid w:val="00B83D49"/>
    <w:rsid w:val="00B86936"/>
    <w:rsid w:val="00B91815"/>
    <w:rsid w:val="00BA043D"/>
    <w:rsid w:val="00BA1E1A"/>
    <w:rsid w:val="00BC3257"/>
    <w:rsid w:val="00BF1E07"/>
    <w:rsid w:val="00C04DB4"/>
    <w:rsid w:val="00C24025"/>
    <w:rsid w:val="00C416D9"/>
    <w:rsid w:val="00C417ED"/>
    <w:rsid w:val="00C4773D"/>
    <w:rsid w:val="00C631E3"/>
    <w:rsid w:val="00C77720"/>
    <w:rsid w:val="00C80A7F"/>
    <w:rsid w:val="00C87352"/>
    <w:rsid w:val="00C87E3D"/>
    <w:rsid w:val="00C9107B"/>
    <w:rsid w:val="00C9485A"/>
    <w:rsid w:val="00CA5F39"/>
    <w:rsid w:val="00CC2E9C"/>
    <w:rsid w:val="00CC3839"/>
    <w:rsid w:val="00CC5EA7"/>
    <w:rsid w:val="00CD12B4"/>
    <w:rsid w:val="00CD4787"/>
    <w:rsid w:val="00CD6E6B"/>
    <w:rsid w:val="00D22CE2"/>
    <w:rsid w:val="00D370D3"/>
    <w:rsid w:val="00D461DE"/>
    <w:rsid w:val="00D62561"/>
    <w:rsid w:val="00DA2744"/>
    <w:rsid w:val="00DB4B63"/>
    <w:rsid w:val="00DB70E5"/>
    <w:rsid w:val="00DE3401"/>
    <w:rsid w:val="00DF1566"/>
    <w:rsid w:val="00DF4732"/>
    <w:rsid w:val="00DF5D5D"/>
    <w:rsid w:val="00E030BD"/>
    <w:rsid w:val="00E03A10"/>
    <w:rsid w:val="00E11A14"/>
    <w:rsid w:val="00E25680"/>
    <w:rsid w:val="00E716B2"/>
    <w:rsid w:val="00E7245D"/>
    <w:rsid w:val="00E7721D"/>
    <w:rsid w:val="00E77B8A"/>
    <w:rsid w:val="00E821A0"/>
    <w:rsid w:val="00E944C5"/>
    <w:rsid w:val="00EA5E50"/>
    <w:rsid w:val="00EA75C4"/>
    <w:rsid w:val="00EA7A41"/>
    <w:rsid w:val="00EB0712"/>
    <w:rsid w:val="00EB1992"/>
    <w:rsid w:val="00EB343F"/>
    <w:rsid w:val="00EC7885"/>
    <w:rsid w:val="00ED5DF0"/>
    <w:rsid w:val="00ED651C"/>
    <w:rsid w:val="00EF093A"/>
    <w:rsid w:val="00EF6DED"/>
    <w:rsid w:val="00F02D8F"/>
    <w:rsid w:val="00F02F8F"/>
    <w:rsid w:val="00F15656"/>
    <w:rsid w:val="00F300F1"/>
    <w:rsid w:val="00F33B1F"/>
    <w:rsid w:val="00F35C6B"/>
    <w:rsid w:val="00F36C71"/>
    <w:rsid w:val="00F42297"/>
    <w:rsid w:val="00F42A7C"/>
    <w:rsid w:val="00F6680F"/>
    <w:rsid w:val="00F675C5"/>
    <w:rsid w:val="00F73BE0"/>
    <w:rsid w:val="00F7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2DD4A19-A122-4CAC-A189-68250BC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15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1416"/>
    </w:pPr>
    <w:rPr>
      <w:szCs w:val="26"/>
    </w:rPr>
  </w:style>
  <w:style w:type="paragraph" w:styleId="Header">
    <w:name w:val="header"/>
    <w:basedOn w:val="Normal"/>
    <w:link w:val="HeaderChar"/>
    <w:rsid w:val="002C624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C6249"/>
    <w:pPr>
      <w:tabs>
        <w:tab w:val="center" w:pos="4536"/>
        <w:tab w:val="right" w:pos="9072"/>
      </w:tabs>
    </w:pPr>
  </w:style>
  <w:style w:type="paragraph" w:customStyle="1" w:styleId="CaracterCaracter">
    <w:name w:val="Caracter Caracter"/>
    <w:basedOn w:val="Normal"/>
    <w:rsid w:val="00B44135"/>
    <w:rPr>
      <w:sz w:val="20"/>
      <w:szCs w:val="20"/>
      <w:lang w:val="pl-PL" w:eastAsia="pl-PL"/>
    </w:rPr>
  </w:style>
  <w:style w:type="table" w:styleId="TableGrid">
    <w:name w:val="Table Grid"/>
    <w:basedOn w:val="TableNormal"/>
    <w:uiPriority w:val="39"/>
    <w:rsid w:val="00B4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85AD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85ADC"/>
    <w:rPr>
      <w:sz w:val="28"/>
      <w:szCs w:val="24"/>
      <w:lang w:val="ro-RO" w:eastAsia="ro-RO"/>
    </w:rPr>
  </w:style>
  <w:style w:type="character" w:customStyle="1" w:styleId="HeaderChar">
    <w:name w:val="Header Char"/>
    <w:link w:val="Header"/>
    <w:rsid w:val="00704967"/>
    <w:rPr>
      <w:sz w:val="28"/>
      <w:szCs w:val="24"/>
      <w:lang w:val="ro-RO" w:eastAsia="ro-RO"/>
    </w:rPr>
  </w:style>
  <w:style w:type="character" w:customStyle="1" w:styleId="UnresolvedMention">
    <w:name w:val="Unresolved Mention"/>
    <w:uiPriority w:val="99"/>
    <w:semiHidden/>
    <w:unhideWhenUsed/>
    <w:rsid w:val="009F2F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AD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4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4C99"/>
    <w:rPr>
      <w:rFonts w:ascii="Segoe UI" w:hAnsi="Segoe UI" w:cs="Segoe UI"/>
      <w:sz w:val="18"/>
      <w:szCs w:val="18"/>
      <w:lang w:val="ro-RO" w:eastAsia="ro-RO"/>
    </w:rPr>
  </w:style>
  <w:style w:type="paragraph" w:styleId="NoSpacing">
    <w:name w:val="No Spacing"/>
    <w:uiPriority w:val="1"/>
    <w:qFormat/>
    <w:rsid w:val="0089167E"/>
    <w:rPr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Numar dosar</vt:lpstr>
      <vt:lpstr>Numar dosar      </vt:lpstr>
    </vt:vector>
  </TitlesOfParts>
  <Company>indaco</Company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Numar dosar</dc:title>
  <dc:subject/>
  <dc:creator>valy</dc:creator>
  <cp:keywords/>
  <dc:description/>
  <cp:lastModifiedBy>Maria, CEAUSESCU</cp:lastModifiedBy>
  <cp:revision>9</cp:revision>
  <cp:lastPrinted>2021-03-10T11:37:00Z</cp:lastPrinted>
  <dcterms:created xsi:type="dcterms:W3CDTF">2021-03-09T10:58:00Z</dcterms:created>
  <dcterms:modified xsi:type="dcterms:W3CDTF">2021-03-12T08:03:00Z</dcterms:modified>
</cp:coreProperties>
</file>