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280" w:rsidRPr="00B80048" w:rsidRDefault="003E30D5" w:rsidP="006F09A5">
      <w:pPr>
        <w:spacing w:line="276" w:lineRule="auto"/>
        <w:jc w:val="center"/>
        <w:rPr>
          <w:rFonts w:ascii="Trebuchet MS" w:hAnsi="Trebuchet MS" w:cs="Arial"/>
          <w:b/>
          <w:lang w:val="ro-RO"/>
        </w:rPr>
      </w:pPr>
      <w:r w:rsidRPr="00B80048">
        <w:rPr>
          <w:rFonts w:ascii="Trebuchet MS" w:hAnsi="Trebuchet MS" w:cs="Arial"/>
          <w:b/>
          <w:lang w:val="ro-RO"/>
        </w:rPr>
        <w:t>Documentul suport pentru dezbaterea publică privind activitățile propuse pentru finanțare în cadrul proiect</w:t>
      </w:r>
      <w:r w:rsidR="00E822B7" w:rsidRPr="00B80048">
        <w:rPr>
          <w:rFonts w:ascii="Trebuchet MS" w:hAnsi="Trebuchet MS" w:cs="Arial"/>
          <w:b/>
          <w:lang w:val="ro-RO"/>
        </w:rPr>
        <w:t>el</w:t>
      </w:r>
      <w:r w:rsidR="005F0105" w:rsidRPr="00B80048">
        <w:rPr>
          <w:rFonts w:ascii="Trebuchet MS" w:hAnsi="Trebuchet MS" w:cs="Arial"/>
          <w:b/>
          <w:lang w:val="ro-RO"/>
        </w:rPr>
        <w:t xml:space="preserve">or </w:t>
      </w:r>
      <w:r w:rsidRPr="00B80048">
        <w:rPr>
          <w:rFonts w:ascii="Trebuchet MS" w:hAnsi="Trebuchet MS" w:cs="Arial"/>
          <w:b/>
          <w:lang w:val="ro-RO"/>
        </w:rPr>
        <w:t>predefinit</w:t>
      </w:r>
      <w:r w:rsidR="00E822B7" w:rsidRPr="00B80048">
        <w:rPr>
          <w:rFonts w:ascii="Trebuchet MS" w:hAnsi="Trebuchet MS" w:cs="Arial"/>
          <w:b/>
          <w:lang w:val="ro-RO"/>
        </w:rPr>
        <w:t>e</w:t>
      </w:r>
      <w:r w:rsidRPr="00B80048">
        <w:rPr>
          <w:rFonts w:ascii="Trebuchet MS" w:hAnsi="Trebuchet MS" w:cs="Arial"/>
          <w:b/>
          <w:lang w:val="ro-RO"/>
        </w:rPr>
        <w:t xml:space="preserve"> în domeniul formării profesionale și a consolidării capacității instituționale în sistemul judiciar</w:t>
      </w:r>
      <w:r w:rsidR="00E822B7" w:rsidRPr="00B80048">
        <w:rPr>
          <w:rFonts w:ascii="Trebuchet MS" w:hAnsi="Trebuchet MS" w:cs="Arial"/>
          <w:b/>
          <w:lang w:val="ro-RO"/>
        </w:rPr>
        <w:t>, precum și în domeniul luptei împotriva criminalității și corupției</w:t>
      </w:r>
    </w:p>
    <w:p w:rsidR="00525EB2" w:rsidRPr="00B80048" w:rsidRDefault="00525EB2" w:rsidP="006F09A5">
      <w:pPr>
        <w:spacing w:line="276" w:lineRule="auto"/>
        <w:rPr>
          <w:rFonts w:ascii="Trebuchet MS" w:hAnsi="Trebuchet MS" w:cs="Arial"/>
          <w:lang w:val="ro-RO"/>
        </w:rPr>
      </w:pPr>
    </w:p>
    <w:p w:rsidR="003E30D5" w:rsidRPr="00B80048" w:rsidRDefault="003E30D5" w:rsidP="006F09A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rebuchet MS" w:hAnsi="Trebuchet MS" w:cs="Arial"/>
          <w:b/>
          <w:lang w:val="ro-RO"/>
        </w:rPr>
      </w:pPr>
      <w:r w:rsidRPr="00B80048">
        <w:rPr>
          <w:rFonts w:ascii="Trebuchet MS" w:hAnsi="Trebuchet MS" w:cs="Arial"/>
          <w:b/>
          <w:lang w:val="ro-RO"/>
        </w:rPr>
        <w:t>Obiectivul consultării</w:t>
      </w:r>
    </w:p>
    <w:p w:rsidR="00D14638" w:rsidRPr="00B80048" w:rsidRDefault="003E30D5" w:rsidP="00501FD9">
      <w:pPr>
        <w:spacing w:line="276" w:lineRule="auto"/>
        <w:ind w:firstLine="720"/>
        <w:jc w:val="both"/>
        <w:rPr>
          <w:rFonts w:ascii="Trebuchet MS" w:hAnsi="Trebuchet MS" w:cs="Arial"/>
          <w:lang w:val="ro-RO"/>
        </w:rPr>
      </w:pPr>
      <w:r w:rsidRPr="00B80048">
        <w:rPr>
          <w:rFonts w:ascii="Trebuchet MS" w:hAnsi="Trebuchet MS" w:cs="Arial"/>
          <w:lang w:val="ro-RO"/>
        </w:rPr>
        <w:t>Stabilirea celor mai bune acțiuni care să fie finanțate în cadrul unui proiect predefinit în domeniul formării profesionale pentru judecă</w:t>
      </w:r>
      <w:r w:rsidR="00453156" w:rsidRPr="00B80048">
        <w:rPr>
          <w:rFonts w:ascii="Trebuchet MS" w:hAnsi="Trebuchet MS" w:cs="Arial"/>
          <w:lang w:val="ro-RO"/>
        </w:rPr>
        <w:t xml:space="preserve">tori, procurori, grefieri și </w:t>
      </w:r>
      <w:r w:rsidR="000F5BAD" w:rsidRPr="00B80048">
        <w:rPr>
          <w:rFonts w:ascii="Trebuchet MS" w:hAnsi="Trebuchet MS" w:cs="Arial"/>
          <w:lang w:val="ro-RO"/>
        </w:rPr>
        <w:t>alți</w:t>
      </w:r>
      <w:r w:rsidR="00453156" w:rsidRPr="00B80048">
        <w:rPr>
          <w:rFonts w:ascii="Trebuchet MS" w:hAnsi="Trebuchet MS" w:cs="Arial"/>
          <w:lang w:val="ro-RO"/>
        </w:rPr>
        <w:t xml:space="preserve"> </w:t>
      </w:r>
      <w:r w:rsidR="000F5BAD" w:rsidRPr="00B80048">
        <w:rPr>
          <w:rFonts w:ascii="Trebuchet MS" w:hAnsi="Trebuchet MS" w:cs="Arial"/>
          <w:lang w:val="ro-RO"/>
        </w:rPr>
        <w:t>profesioniști</w:t>
      </w:r>
      <w:r w:rsidR="00453156" w:rsidRPr="00B80048">
        <w:rPr>
          <w:rFonts w:ascii="Trebuchet MS" w:hAnsi="Trebuchet MS" w:cs="Arial"/>
          <w:lang w:val="ro-RO"/>
        </w:rPr>
        <w:t>, precum</w:t>
      </w:r>
      <w:r w:rsidRPr="00B80048">
        <w:rPr>
          <w:rFonts w:ascii="Trebuchet MS" w:hAnsi="Trebuchet MS" w:cs="Arial"/>
          <w:lang w:val="ro-RO"/>
        </w:rPr>
        <w:t xml:space="preserve"> și a</w:t>
      </w:r>
      <w:r w:rsidR="00453156" w:rsidRPr="00B80048">
        <w:rPr>
          <w:rFonts w:ascii="Trebuchet MS" w:hAnsi="Trebuchet MS" w:cs="Arial"/>
          <w:lang w:val="ro-RO"/>
        </w:rPr>
        <w:t>l</w:t>
      </w:r>
      <w:r w:rsidRPr="00B80048">
        <w:rPr>
          <w:rFonts w:ascii="Trebuchet MS" w:hAnsi="Trebuchet MS" w:cs="Arial"/>
          <w:lang w:val="ro-RO"/>
        </w:rPr>
        <w:t xml:space="preserve"> consolidării capacității inst</w:t>
      </w:r>
      <w:r w:rsidR="005F1906" w:rsidRPr="00B80048">
        <w:rPr>
          <w:rFonts w:ascii="Trebuchet MS" w:hAnsi="Trebuchet MS" w:cs="Arial"/>
          <w:lang w:val="ro-RO"/>
        </w:rPr>
        <w:t>ituționale în sistemul judiciar.</w:t>
      </w:r>
    </w:p>
    <w:p w:rsidR="00D14638" w:rsidRPr="00B80048" w:rsidRDefault="00D14638" w:rsidP="006F09A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rebuchet MS" w:hAnsi="Trebuchet MS" w:cs="Arial"/>
          <w:b/>
          <w:lang w:val="ro-RO"/>
        </w:rPr>
      </w:pPr>
      <w:r w:rsidRPr="00B80048">
        <w:rPr>
          <w:rFonts w:ascii="Trebuchet MS" w:hAnsi="Trebuchet MS" w:cs="Arial"/>
          <w:b/>
          <w:lang w:val="ro-RO"/>
        </w:rPr>
        <w:t xml:space="preserve">Descrierea contextului </w:t>
      </w:r>
    </w:p>
    <w:p w:rsidR="00D14638" w:rsidRPr="00B80048" w:rsidRDefault="006F09A5" w:rsidP="006F09A5">
      <w:pPr>
        <w:pStyle w:val="NormalWeb"/>
        <w:spacing w:after="100" w:afterAutospacing="1" w:line="276" w:lineRule="auto"/>
        <w:ind w:firstLine="720"/>
        <w:jc w:val="both"/>
        <w:rPr>
          <w:rFonts w:ascii="Trebuchet MS" w:hAnsi="Trebuchet MS" w:cs="Arial"/>
          <w:sz w:val="22"/>
          <w:szCs w:val="22"/>
          <w:lang w:val="ro-RO"/>
        </w:rPr>
      </w:pPr>
      <w:r w:rsidRPr="00B80048">
        <w:rPr>
          <w:rFonts w:ascii="Trebuchet MS" w:hAnsi="Trebuchet MS" w:cs="Arial"/>
          <w:sz w:val="22"/>
          <w:szCs w:val="22"/>
          <w:lang w:val="ro-RO"/>
        </w:rPr>
        <w:t>O</w:t>
      </w:r>
      <w:r w:rsidR="00EE638C" w:rsidRPr="00B80048">
        <w:rPr>
          <w:rFonts w:ascii="Trebuchet MS" w:hAnsi="Trebuchet MS" w:cs="Arial"/>
          <w:sz w:val="22"/>
          <w:szCs w:val="22"/>
          <w:lang w:val="ro-RO"/>
        </w:rPr>
        <w:t>biectivele generale ale</w:t>
      </w:r>
      <w:r w:rsidR="00D14638" w:rsidRPr="00B80048">
        <w:rPr>
          <w:rFonts w:ascii="Trebuchet MS" w:hAnsi="Trebuchet MS" w:cs="Arial"/>
          <w:sz w:val="22"/>
          <w:szCs w:val="22"/>
          <w:lang w:val="ro-RO"/>
        </w:rPr>
        <w:t xml:space="preserve"> </w:t>
      </w:r>
      <w:r w:rsidR="00EE638C" w:rsidRPr="00B80048">
        <w:rPr>
          <w:rFonts w:ascii="Trebuchet MS" w:hAnsi="Trebuchet MS" w:cs="Arial"/>
          <w:sz w:val="22"/>
          <w:szCs w:val="22"/>
          <w:lang w:val="ro-RO"/>
        </w:rPr>
        <w:t>granturilor norvegiene pentru perioada 2014-2021 vizează</w:t>
      </w:r>
      <w:r w:rsidR="00D14638" w:rsidRPr="00B80048">
        <w:rPr>
          <w:rFonts w:ascii="Trebuchet MS" w:hAnsi="Trebuchet MS" w:cs="Arial"/>
          <w:sz w:val="22"/>
          <w:szCs w:val="22"/>
          <w:lang w:val="ro-RO"/>
        </w:rPr>
        <w:t xml:space="preserve"> reducerea </w:t>
      </w:r>
      <w:r w:rsidRPr="00B80048">
        <w:rPr>
          <w:rFonts w:ascii="Trebuchet MS" w:hAnsi="Trebuchet MS" w:cs="Arial"/>
          <w:sz w:val="22"/>
          <w:szCs w:val="22"/>
          <w:lang w:val="ro-RO"/>
        </w:rPr>
        <w:t>disparităților</w:t>
      </w:r>
      <w:r w:rsidR="00D14638" w:rsidRPr="00B80048">
        <w:rPr>
          <w:rFonts w:ascii="Trebuchet MS" w:hAnsi="Trebuchet MS" w:cs="Arial"/>
          <w:sz w:val="22"/>
          <w:szCs w:val="22"/>
          <w:lang w:val="ro-RO"/>
        </w:rPr>
        <w:t xml:space="preserve"> economice </w:t>
      </w:r>
      <w:r w:rsidRPr="00B80048">
        <w:rPr>
          <w:rFonts w:ascii="Trebuchet MS" w:hAnsi="Trebuchet MS" w:cs="Arial"/>
          <w:sz w:val="22"/>
          <w:szCs w:val="22"/>
          <w:lang w:val="ro-RO"/>
        </w:rPr>
        <w:t>și</w:t>
      </w:r>
      <w:r w:rsidR="00D14638" w:rsidRPr="00B80048">
        <w:rPr>
          <w:rFonts w:ascii="Trebuchet MS" w:hAnsi="Trebuchet MS" w:cs="Arial"/>
          <w:sz w:val="22"/>
          <w:szCs w:val="22"/>
          <w:lang w:val="ro-RO"/>
        </w:rPr>
        <w:t xml:space="preserve"> sociale în </w:t>
      </w:r>
      <w:r w:rsidRPr="00B80048">
        <w:rPr>
          <w:rFonts w:ascii="Trebuchet MS" w:hAnsi="Trebuchet MS" w:cs="Arial"/>
          <w:sz w:val="22"/>
          <w:szCs w:val="22"/>
          <w:lang w:val="ro-RO"/>
        </w:rPr>
        <w:t>Spațiul</w:t>
      </w:r>
      <w:r w:rsidR="00D14638" w:rsidRPr="00B80048">
        <w:rPr>
          <w:rFonts w:ascii="Trebuchet MS" w:hAnsi="Trebuchet MS" w:cs="Arial"/>
          <w:sz w:val="22"/>
          <w:szCs w:val="22"/>
          <w:lang w:val="ro-RO"/>
        </w:rPr>
        <w:t xml:space="preserve"> Economic European </w:t>
      </w:r>
      <w:r w:rsidRPr="00B80048">
        <w:rPr>
          <w:rFonts w:ascii="Trebuchet MS" w:hAnsi="Trebuchet MS" w:cs="Arial"/>
          <w:sz w:val="22"/>
          <w:szCs w:val="22"/>
          <w:lang w:val="ro-RO"/>
        </w:rPr>
        <w:t>și</w:t>
      </w:r>
      <w:r w:rsidR="00D14638" w:rsidRPr="00B80048">
        <w:rPr>
          <w:rFonts w:ascii="Trebuchet MS" w:hAnsi="Trebuchet MS" w:cs="Arial"/>
          <w:sz w:val="22"/>
          <w:szCs w:val="22"/>
          <w:lang w:val="ro-RO"/>
        </w:rPr>
        <w:t xml:space="preserve"> întărirea </w:t>
      </w:r>
      <w:r w:rsidRPr="00B80048">
        <w:rPr>
          <w:rFonts w:ascii="Trebuchet MS" w:hAnsi="Trebuchet MS" w:cs="Arial"/>
          <w:sz w:val="22"/>
          <w:szCs w:val="22"/>
          <w:lang w:val="ro-RO"/>
        </w:rPr>
        <w:t>relațiilor</w:t>
      </w:r>
      <w:r w:rsidR="00D14638" w:rsidRPr="00B80048">
        <w:rPr>
          <w:rFonts w:ascii="Trebuchet MS" w:hAnsi="Trebuchet MS" w:cs="Arial"/>
          <w:sz w:val="22"/>
          <w:szCs w:val="22"/>
          <w:lang w:val="ro-RO"/>
        </w:rPr>
        <w:t xml:space="preserve"> bilaterale între Norvegia </w:t>
      </w:r>
      <w:r w:rsidRPr="00B80048">
        <w:rPr>
          <w:rFonts w:ascii="Trebuchet MS" w:hAnsi="Trebuchet MS" w:cs="Arial"/>
          <w:sz w:val="22"/>
          <w:szCs w:val="22"/>
          <w:lang w:val="ro-RO"/>
        </w:rPr>
        <w:t>și</w:t>
      </w:r>
      <w:r w:rsidR="00D14638" w:rsidRPr="00B80048">
        <w:rPr>
          <w:rFonts w:ascii="Trebuchet MS" w:hAnsi="Trebuchet MS" w:cs="Arial"/>
          <w:sz w:val="22"/>
          <w:szCs w:val="22"/>
          <w:lang w:val="ro-RO"/>
        </w:rPr>
        <w:t xml:space="preserve"> </w:t>
      </w:r>
      <w:r w:rsidRPr="00B80048">
        <w:rPr>
          <w:rFonts w:ascii="Trebuchet MS" w:hAnsi="Trebuchet MS" w:cs="Arial"/>
          <w:sz w:val="22"/>
          <w:szCs w:val="22"/>
          <w:lang w:val="ro-RO"/>
        </w:rPr>
        <w:t xml:space="preserve">statele beneficiare </w:t>
      </w:r>
      <w:r w:rsidR="00D14638" w:rsidRPr="00B80048">
        <w:rPr>
          <w:rFonts w:ascii="Trebuchet MS" w:hAnsi="Trebuchet MS" w:cs="Arial"/>
          <w:sz w:val="22"/>
          <w:szCs w:val="22"/>
          <w:lang w:val="ro-RO"/>
        </w:rPr>
        <w:t xml:space="preserve">prin </w:t>
      </w:r>
      <w:r w:rsidRPr="00B80048">
        <w:rPr>
          <w:rFonts w:ascii="Trebuchet MS" w:hAnsi="Trebuchet MS" w:cs="Arial"/>
          <w:sz w:val="22"/>
          <w:szCs w:val="22"/>
          <w:lang w:val="ro-RO"/>
        </w:rPr>
        <w:t>contribuții</w:t>
      </w:r>
      <w:r w:rsidR="00D14638" w:rsidRPr="00B80048">
        <w:rPr>
          <w:rFonts w:ascii="Trebuchet MS" w:hAnsi="Trebuchet MS" w:cs="Arial"/>
          <w:sz w:val="22"/>
          <w:szCs w:val="22"/>
          <w:lang w:val="ro-RO"/>
        </w:rPr>
        <w:t xml:space="preserve"> financiare în mai multe sectoare prioritare</w:t>
      </w:r>
      <w:r w:rsidR="00453156" w:rsidRPr="00B80048">
        <w:rPr>
          <w:rFonts w:ascii="Trebuchet MS" w:hAnsi="Trebuchet MS" w:cs="Arial"/>
          <w:sz w:val="22"/>
          <w:szCs w:val="22"/>
          <w:lang w:val="ro-RO"/>
        </w:rPr>
        <w:t>,</w:t>
      </w:r>
      <w:r w:rsidR="00D14638" w:rsidRPr="00B80048">
        <w:rPr>
          <w:rFonts w:ascii="Trebuchet MS" w:hAnsi="Trebuchet MS" w:cs="Arial"/>
          <w:sz w:val="22"/>
          <w:szCs w:val="22"/>
          <w:lang w:val="ro-RO"/>
        </w:rPr>
        <w:t xml:space="preserve"> printre care și </w:t>
      </w:r>
      <w:r w:rsidR="00D14638" w:rsidRPr="00B80048">
        <w:rPr>
          <w:rFonts w:ascii="Trebuchet MS" w:hAnsi="Trebuchet MS" w:cs="Arial"/>
          <w:b/>
          <w:sz w:val="22"/>
          <w:szCs w:val="22"/>
          <w:lang w:val="ro-RO"/>
        </w:rPr>
        <w:t>Justiția și afacerile interne</w:t>
      </w:r>
      <w:r w:rsidR="00D14638" w:rsidRPr="00B80048">
        <w:rPr>
          <w:rFonts w:ascii="Trebuchet MS" w:hAnsi="Trebuchet MS" w:cs="Arial"/>
          <w:sz w:val="22"/>
          <w:szCs w:val="22"/>
          <w:lang w:val="ro-RO"/>
        </w:rPr>
        <w:t>.</w:t>
      </w:r>
    </w:p>
    <w:p w:rsidR="006F09A5" w:rsidRPr="00B80048" w:rsidRDefault="00D14638" w:rsidP="0035548B">
      <w:pPr>
        <w:pStyle w:val="NormalWeb"/>
        <w:spacing w:after="100" w:afterAutospacing="1" w:line="276" w:lineRule="auto"/>
        <w:ind w:firstLine="720"/>
        <w:jc w:val="both"/>
        <w:rPr>
          <w:rFonts w:ascii="Trebuchet MS" w:hAnsi="Trebuchet MS" w:cs="Arial"/>
          <w:sz w:val="22"/>
          <w:szCs w:val="22"/>
          <w:lang w:val="ro-RO"/>
        </w:rPr>
      </w:pPr>
      <w:r w:rsidRPr="00B80048">
        <w:rPr>
          <w:rFonts w:ascii="Trebuchet MS" w:hAnsi="Trebuchet MS" w:cs="Arial"/>
          <w:sz w:val="22"/>
          <w:szCs w:val="22"/>
          <w:lang w:val="ro-RO"/>
        </w:rPr>
        <w:t xml:space="preserve">Cadrul de cooperare </w:t>
      </w:r>
      <w:r w:rsidR="006F09A5" w:rsidRPr="00B80048">
        <w:rPr>
          <w:rFonts w:ascii="Trebuchet MS" w:hAnsi="Trebuchet MS" w:cs="Arial"/>
          <w:sz w:val="22"/>
          <w:szCs w:val="22"/>
          <w:lang w:val="ro-RO"/>
        </w:rPr>
        <w:t>și</w:t>
      </w:r>
      <w:r w:rsidRPr="00B80048">
        <w:rPr>
          <w:rFonts w:ascii="Trebuchet MS" w:hAnsi="Trebuchet MS" w:cs="Arial"/>
          <w:sz w:val="22"/>
          <w:szCs w:val="22"/>
          <w:lang w:val="ro-RO"/>
        </w:rPr>
        <w:t xml:space="preserve"> implementare a </w:t>
      </w:r>
      <w:r w:rsidR="006F09A5" w:rsidRPr="00B80048">
        <w:rPr>
          <w:rFonts w:ascii="Trebuchet MS" w:hAnsi="Trebuchet MS" w:cs="Arial"/>
          <w:sz w:val="22"/>
          <w:szCs w:val="22"/>
          <w:lang w:val="ro-RO"/>
        </w:rPr>
        <w:t>asistenței</w:t>
      </w:r>
      <w:r w:rsidRPr="00B80048">
        <w:rPr>
          <w:rFonts w:ascii="Trebuchet MS" w:hAnsi="Trebuchet MS" w:cs="Arial"/>
          <w:sz w:val="22"/>
          <w:szCs w:val="22"/>
          <w:lang w:val="ro-RO"/>
        </w:rPr>
        <w:t xml:space="preserve"> financiare este stabilit prin </w:t>
      </w:r>
      <w:hyperlink r:id="rId8" w:history="1">
        <w:r w:rsidRPr="00B80048">
          <w:rPr>
            <w:rStyle w:val="Hyperlink"/>
            <w:rFonts w:ascii="Trebuchet MS" w:eastAsiaTheme="minorEastAsia" w:hAnsi="Trebuchet MS" w:cs="Arial"/>
            <w:color w:val="auto"/>
            <w:sz w:val="22"/>
            <w:szCs w:val="22"/>
            <w:u w:val="none"/>
            <w:lang w:val="ro-RO"/>
          </w:rPr>
          <w:t xml:space="preserve">Memorandumul de </w:t>
        </w:r>
        <w:r w:rsidR="006F09A5" w:rsidRPr="00B80048">
          <w:rPr>
            <w:rStyle w:val="Hyperlink"/>
            <w:rFonts w:ascii="Trebuchet MS" w:eastAsiaTheme="minorEastAsia" w:hAnsi="Trebuchet MS" w:cs="Arial"/>
            <w:color w:val="auto"/>
            <w:sz w:val="22"/>
            <w:szCs w:val="22"/>
            <w:u w:val="none"/>
            <w:lang w:val="ro-RO"/>
          </w:rPr>
          <w:t>Înțelegere</w:t>
        </w:r>
        <w:r w:rsidRPr="00B80048">
          <w:rPr>
            <w:rStyle w:val="Hyperlink"/>
            <w:rFonts w:ascii="Trebuchet MS" w:eastAsiaTheme="minorEastAsia" w:hAnsi="Trebuchet MS" w:cs="Arial"/>
            <w:color w:val="auto"/>
            <w:sz w:val="22"/>
            <w:szCs w:val="22"/>
            <w:u w:val="none"/>
            <w:lang w:val="ro-RO"/>
          </w:rPr>
          <w:t xml:space="preserve"> pentru Implementarea Mecanismului Financiar Norvegian 2014-20</w:t>
        </w:r>
      </w:hyperlink>
      <w:r w:rsidRPr="00B80048">
        <w:rPr>
          <w:rFonts w:ascii="Trebuchet MS" w:hAnsi="Trebuchet MS" w:cs="Arial"/>
          <w:sz w:val="22"/>
          <w:szCs w:val="22"/>
          <w:lang w:val="ro-RO"/>
        </w:rPr>
        <w:t xml:space="preserve">20, încheiat între Regatul Norvegiei </w:t>
      </w:r>
      <w:r w:rsidR="006F09A5" w:rsidRPr="00B80048">
        <w:rPr>
          <w:rFonts w:ascii="Trebuchet MS" w:hAnsi="Trebuchet MS" w:cs="Arial"/>
          <w:sz w:val="22"/>
          <w:szCs w:val="22"/>
          <w:lang w:val="ro-RO"/>
        </w:rPr>
        <w:t>și</w:t>
      </w:r>
      <w:r w:rsidRPr="00B80048">
        <w:rPr>
          <w:rFonts w:ascii="Trebuchet MS" w:hAnsi="Trebuchet MS" w:cs="Arial"/>
          <w:sz w:val="22"/>
          <w:szCs w:val="22"/>
          <w:lang w:val="ro-RO"/>
        </w:rPr>
        <w:t xml:space="preserve"> Guvernul României</w:t>
      </w:r>
      <w:r w:rsidR="006F09A5" w:rsidRPr="00B80048">
        <w:rPr>
          <w:rStyle w:val="FootnoteReference"/>
          <w:rFonts w:ascii="Trebuchet MS" w:hAnsi="Trebuchet MS" w:cs="Arial"/>
          <w:sz w:val="22"/>
          <w:szCs w:val="22"/>
          <w:lang w:val="ro-RO"/>
        </w:rPr>
        <w:footnoteReference w:id="1"/>
      </w:r>
      <w:r w:rsidR="00453156" w:rsidRPr="00B80048">
        <w:rPr>
          <w:rFonts w:ascii="Trebuchet MS" w:hAnsi="Trebuchet MS" w:cs="Arial"/>
          <w:sz w:val="22"/>
          <w:szCs w:val="22"/>
          <w:lang w:val="ro-RO"/>
        </w:rPr>
        <w:t>,</w:t>
      </w:r>
      <w:r w:rsidR="006F09A5" w:rsidRPr="00B80048">
        <w:rPr>
          <w:rFonts w:ascii="Trebuchet MS" w:hAnsi="Trebuchet MS" w:cs="Arial"/>
          <w:sz w:val="22"/>
          <w:szCs w:val="22"/>
          <w:lang w:val="ro-RO"/>
        </w:rPr>
        <w:t xml:space="preserve"> la data de 13 octombrie 2016</w:t>
      </w:r>
      <w:r w:rsidRPr="00B80048">
        <w:rPr>
          <w:rFonts w:ascii="Trebuchet MS" w:hAnsi="Trebuchet MS" w:cs="Arial"/>
          <w:sz w:val="22"/>
          <w:szCs w:val="22"/>
          <w:lang w:val="ro-RO"/>
        </w:rPr>
        <w:t xml:space="preserve">. </w:t>
      </w:r>
    </w:p>
    <w:p w:rsidR="006F09A5" w:rsidRPr="00B80048" w:rsidRDefault="006F09A5" w:rsidP="006F09A5">
      <w:pPr>
        <w:autoSpaceDE w:val="0"/>
        <w:autoSpaceDN w:val="0"/>
        <w:adjustRightInd w:val="0"/>
        <w:spacing w:after="100" w:afterAutospacing="1" w:line="276" w:lineRule="auto"/>
        <w:ind w:firstLine="720"/>
        <w:jc w:val="both"/>
        <w:rPr>
          <w:rFonts w:ascii="Trebuchet MS" w:hAnsi="Trebuchet MS" w:cs="Arial"/>
          <w:lang w:val="ro-RO"/>
        </w:rPr>
      </w:pPr>
      <w:r w:rsidRPr="00B80048">
        <w:rPr>
          <w:rFonts w:ascii="Trebuchet MS" w:hAnsi="Trebuchet MS" w:cs="Arial"/>
          <w:lang w:val="ro-RO"/>
        </w:rPr>
        <w:t xml:space="preserve"> Memorandumul de Înțelegere privind implementarea Granturilor Norvegiene în România pentru perioada 2014-2021 include un program dedicat domeniului </w:t>
      </w:r>
      <w:r w:rsidR="003462BB" w:rsidRPr="00B80048">
        <w:rPr>
          <w:rFonts w:ascii="Trebuchet MS" w:hAnsi="Trebuchet MS" w:cs="Arial"/>
          <w:lang w:val="ro-RO"/>
        </w:rPr>
        <w:t>”J</w:t>
      </w:r>
      <w:r w:rsidRPr="00B80048">
        <w:rPr>
          <w:rFonts w:ascii="Trebuchet MS" w:hAnsi="Trebuchet MS" w:cs="Arial"/>
          <w:lang w:val="ro-RO"/>
        </w:rPr>
        <w:t>ustiție</w:t>
      </w:r>
      <w:r w:rsidR="003462BB" w:rsidRPr="00B80048">
        <w:rPr>
          <w:rFonts w:ascii="Trebuchet MS" w:hAnsi="Trebuchet MS" w:cs="Arial"/>
          <w:lang w:val="ro-RO"/>
        </w:rPr>
        <w:t>”</w:t>
      </w:r>
      <w:r w:rsidRPr="00B80048">
        <w:rPr>
          <w:rFonts w:ascii="Trebuchet MS" w:hAnsi="Trebuchet MS" w:cs="Arial"/>
          <w:lang w:val="ro-RO"/>
        </w:rPr>
        <w:t>, Operator de Program fiind Ministerul Justiției. Programul “Justiție” prevede fina</w:t>
      </w:r>
      <w:r w:rsidR="00EE638C" w:rsidRPr="00B80048">
        <w:rPr>
          <w:rFonts w:ascii="Trebuchet MS" w:hAnsi="Trebuchet MS" w:cs="Arial"/>
          <w:lang w:val="ro-RO"/>
        </w:rPr>
        <w:t>nțarea a 4 proiecte predefinite</w:t>
      </w:r>
      <w:r w:rsidRPr="00B80048">
        <w:rPr>
          <w:rFonts w:ascii="Trebuchet MS" w:hAnsi="Trebuchet MS" w:cs="Arial"/>
          <w:lang w:val="ro-RO"/>
        </w:rPr>
        <w:t>, unul dintre acestea fiind dedicat formării profesionale și a consolidării capacității instituționale în sistemul judiciar</w:t>
      </w:r>
      <w:r w:rsidR="00EE638C" w:rsidRPr="00B80048">
        <w:rPr>
          <w:rFonts w:ascii="Trebuchet MS" w:hAnsi="Trebuchet MS" w:cs="Arial"/>
          <w:b/>
          <w:lang w:val="ro-RO"/>
        </w:rPr>
        <w:t xml:space="preserve"> </w:t>
      </w:r>
      <w:r w:rsidR="00EE638C" w:rsidRPr="00B80048">
        <w:rPr>
          <w:rFonts w:ascii="Trebuchet MS" w:hAnsi="Trebuchet MS" w:cs="Arial"/>
          <w:lang w:val="ro-RO"/>
        </w:rPr>
        <w:t>(„</w:t>
      </w:r>
      <w:r w:rsidR="00EE638C" w:rsidRPr="00B80048">
        <w:rPr>
          <w:rFonts w:ascii="Trebuchet MS" w:hAnsi="Trebuchet MS" w:cs="Arial"/>
          <w:i/>
          <w:lang w:val="ro-RO"/>
        </w:rPr>
        <w:t>Judicial Training and Capacity Building”</w:t>
      </w:r>
      <w:r w:rsidR="00EE638C" w:rsidRPr="00B80048">
        <w:rPr>
          <w:rFonts w:ascii="Trebuchet MS" w:hAnsi="Trebuchet MS" w:cs="Arial"/>
          <w:lang w:val="ro-RO"/>
        </w:rPr>
        <w:t>)</w:t>
      </w:r>
      <w:r w:rsidR="00A933C7" w:rsidRPr="00B80048">
        <w:rPr>
          <w:rFonts w:ascii="Trebuchet MS" w:hAnsi="Trebuchet MS" w:cs="Arial"/>
          <w:lang w:val="ro-RO"/>
        </w:rPr>
        <w:t>, iar altul luptei împotriva criminalității și corupției</w:t>
      </w:r>
      <w:r w:rsidR="000F652C" w:rsidRPr="00B80048">
        <w:rPr>
          <w:rFonts w:ascii="Trebuchet MS" w:hAnsi="Trebuchet MS" w:cs="Arial"/>
          <w:lang w:val="ro-RO"/>
        </w:rPr>
        <w:t xml:space="preserve"> („</w:t>
      </w:r>
      <w:r w:rsidR="000F652C" w:rsidRPr="00B80048">
        <w:rPr>
          <w:rFonts w:ascii="Trebuchet MS" w:hAnsi="Trebuchet MS" w:cs="Arial"/>
          <w:i/>
          <w:lang w:val="ro-RO"/>
        </w:rPr>
        <w:t>Fighting Criminality and Corruption”</w:t>
      </w:r>
      <w:r w:rsidR="000F652C" w:rsidRPr="00B80048">
        <w:rPr>
          <w:rFonts w:ascii="Trebuchet MS" w:hAnsi="Trebuchet MS" w:cs="Arial"/>
          <w:lang w:val="ro-RO"/>
        </w:rPr>
        <w:t>)</w:t>
      </w:r>
      <w:r w:rsidR="00EE638C" w:rsidRPr="00B80048">
        <w:rPr>
          <w:rFonts w:ascii="Trebuchet MS" w:hAnsi="Trebuchet MS" w:cs="Arial"/>
          <w:lang w:val="ro-RO"/>
        </w:rPr>
        <w:t>.</w:t>
      </w:r>
      <w:r w:rsidRPr="00B80048">
        <w:rPr>
          <w:rFonts w:ascii="Trebuchet MS" w:hAnsi="Trebuchet MS" w:cs="Arial"/>
          <w:lang w:val="ro-RO"/>
        </w:rPr>
        <w:t xml:space="preserve"> </w:t>
      </w:r>
    </w:p>
    <w:p w:rsidR="000F5BAD" w:rsidRPr="00B80048" w:rsidRDefault="002E2D3D" w:rsidP="001D25CE">
      <w:pPr>
        <w:autoSpaceDE w:val="0"/>
        <w:autoSpaceDN w:val="0"/>
        <w:adjustRightInd w:val="0"/>
        <w:spacing w:after="100" w:afterAutospacing="1" w:line="276" w:lineRule="auto"/>
        <w:ind w:firstLine="720"/>
        <w:jc w:val="both"/>
        <w:rPr>
          <w:rFonts w:ascii="Trebuchet MS" w:hAnsi="Trebuchet MS" w:cs="Arial"/>
          <w:lang w:val="ro-RO"/>
        </w:rPr>
      </w:pPr>
      <w:r w:rsidRPr="00B80048">
        <w:rPr>
          <w:rFonts w:ascii="Trebuchet MS" w:hAnsi="Trebuchet MS" w:cs="Arial"/>
          <w:lang w:val="ro-RO"/>
        </w:rPr>
        <w:t xml:space="preserve">Primul proiect vizează </w:t>
      </w:r>
      <w:r w:rsidR="000F5BAD" w:rsidRPr="00B80048">
        <w:rPr>
          <w:rFonts w:ascii="Trebuchet MS" w:hAnsi="Trebuchet MS" w:cs="Arial"/>
          <w:lang w:val="ro-RO"/>
        </w:rPr>
        <w:t xml:space="preserve">formarea profesională și consolidarea capacității în sistemul judiciar cu privire la, </w:t>
      </w:r>
      <w:r w:rsidRPr="00B80048">
        <w:rPr>
          <w:rFonts w:ascii="Trebuchet MS" w:hAnsi="Trebuchet MS" w:cs="Arial"/>
          <w:lang w:val="ro-RO"/>
        </w:rPr>
        <w:t>printre altele</w:t>
      </w:r>
      <w:r w:rsidR="000F5BAD" w:rsidRPr="00B80048">
        <w:rPr>
          <w:rFonts w:ascii="Trebuchet MS" w:hAnsi="Trebuchet MS" w:cs="Arial"/>
          <w:lang w:val="ro-RO"/>
        </w:rPr>
        <w:t>, conceptul de cultură judiciară europeană, Convenția Europeană a Drepturilor Omului</w:t>
      </w:r>
      <w:r w:rsidRPr="00B80048">
        <w:rPr>
          <w:rFonts w:ascii="Trebuchet MS" w:hAnsi="Trebuchet MS" w:cs="Arial"/>
          <w:lang w:val="ro-RO"/>
        </w:rPr>
        <w:t xml:space="preserve"> (CEDO)</w:t>
      </w:r>
      <w:r w:rsidR="000F5BAD" w:rsidRPr="00B80048">
        <w:rPr>
          <w:rFonts w:ascii="Trebuchet MS" w:hAnsi="Trebuchet MS" w:cs="Arial"/>
          <w:lang w:val="ro-RO"/>
        </w:rPr>
        <w:t xml:space="preserve"> și dezvoltarea infrastructurii de instruire.</w:t>
      </w:r>
    </w:p>
    <w:p w:rsidR="00D14638" w:rsidRPr="00B80048" w:rsidRDefault="00D14638" w:rsidP="001D25CE">
      <w:pPr>
        <w:autoSpaceDE w:val="0"/>
        <w:autoSpaceDN w:val="0"/>
        <w:adjustRightInd w:val="0"/>
        <w:spacing w:after="100" w:afterAutospacing="1" w:line="276" w:lineRule="auto"/>
        <w:ind w:firstLine="720"/>
        <w:jc w:val="both"/>
        <w:rPr>
          <w:rFonts w:ascii="Trebuchet MS" w:hAnsi="Trebuchet MS" w:cs="Arial"/>
          <w:lang w:val="ro-RO"/>
        </w:rPr>
      </w:pPr>
      <w:r w:rsidRPr="00B80048">
        <w:rPr>
          <w:rFonts w:ascii="Trebuchet MS" w:hAnsi="Trebuchet MS" w:cs="Arial"/>
          <w:lang w:val="ro-RO"/>
        </w:rPr>
        <w:t xml:space="preserve">Conform anexei B la Memorandumul de </w:t>
      </w:r>
      <w:r w:rsidR="006F09A5" w:rsidRPr="00B80048">
        <w:rPr>
          <w:rFonts w:ascii="Trebuchet MS" w:hAnsi="Trebuchet MS" w:cs="Arial"/>
          <w:lang w:val="ro-RO"/>
        </w:rPr>
        <w:t>Înțelegere</w:t>
      </w:r>
      <w:r w:rsidRPr="00B80048">
        <w:rPr>
          <w:rFonts w:ascii="Trebuchet MS" w:hAnsi="Trebuchet MS" w:cs="Arial"/>
          <w:lang w:val="ro-RO"/>
        </w:rPr>
        <w:t xml:space="preserve">, valoarea grantului pentru acest proiect predefinit este de minimum 2.500.000 euro, </w:t>
      </w:r>
      <w:r w:rsidR="00EE638C" w:rsidRPr="00B80048">
        <w:rPr>
          <w:rFonts w:ascii="Trebuchet MS" w:hAnsi="Trebuchet MS" w:cs="Arial"/>
          <w:lang w:val="ro-RO"/>
        </w:rPr>
        <w:t xml:space="preserve">cofinanțarea </w:t>
      </w:r>
      <w:r w:rsidR="008E225D" w:rsidRPr="00B80048">
        <w:rPr>
          <w:rFonts w:ascii="Trebuchet MS" w:hAnsi="Trebuchet MS" w:cs="Arial"/>
          <w:lang w:val="ro-RO"/>
        </w:rPr>
        <w:t>națională</w:t>
      </w:r>
      <w:r w:rsidR="00EE638C" w:rsidRPr="00B80048">
        <w:rPr>
          <w:rFonts w:ascii="Trebuchet MS" w:hAnsi="Trebuchet MS" w:cs="Arial"/>
          <w:lang w:val="ro-RO"/>
        </w:rPr>
        <w:t xml:space="preserve"> fiind de aproximativ 375.000</w:t>
      </w:r>
      <w:r w:rsidR="00FA0311" w:rsidRPr="00B80048">
        <w:rPr>
          <w:rFonts w:ascii="Trebuchet MS" w:hAnsi="Trebuchet MS" w:cs="Arial"/>
          <w:lang w:val="ro-RO"/>
        </w:rPr>
        <w:t xml:space="preserve"> euro</w:t>
      </w:r>
      <w:r w:rsidR="00EE638C" w:rsidRPr="00B80048">
        <w:rPr>
          <w:rFonts w:ascii="Trebuchet MS" w:hAnsi="Trebuchet MS" w:cs="Arial"/>
          <w:lang w:val="ro-RO"/>
        </w:rPr>
        <w:t xml:space="preserve">. </w:t>
      </w:r>
      <w:r w:rsidR="00FA0311" w:rsidRPr="00B80048">
        <w:rPr>
          <w:rFonts w:ascii="Trebuchet MS" w:hAnsi="Trebuchet MS" w:cs="Arial"/>
          <w:lang w:val="ro-RO"/>
        </w:rPr>
        <w:t xml:space="preserve">Promotorul de Proiect este Consiliul Superior al Magistraturii. Partenerii naționali vor fi Institutul Național al Magistraturii și Școala Națională de Grefieri. </w:t>
      </w:r>
      <w:r w:rsidR="00EE638C" w:rsidRPr="00B80048">
        <w:rPr>
          <w:rFonts w:ascii="Trebuchet MS" w:hAnsi="Trebuchet MS" w:cs="Arial"/>
          <w:lang w:val="ro-RO"/>
        </w:rPr>
        <w:t xml:space="preserve">Partener din </w:t>
      </w:r>
      <w:r w:rsidR="006F09A5" w:rsidRPr="00B80048">
        <w:rPr>
          <w:rFonts w:ascii="Trebuchet MS" w:hAnsi="Trebuchet MS" w:cs="Arial"/>
          <w:lang w:val="ro-RO"/>
        </w:rPr>
        <w:t>p</w:t>
      </w:r>
      <w:r w:rsidR="00EE638C" w:rsidRPr="00B80048">
        <w:rPr>
          <w:rFonts w:ascii="Trebuchet MS" w:hAnsi="Trebuchet MS" w:cs="Arial"/>
          <w:lang w:val="ro-RO"/>
        </w:rPr>
        <w:t>a</w:t>
      </w:r>
      <w:r w:rsidR="00FA0311" w:rsidRPr="00B80048">
        <w:rPr>
          <w:rFonts w:ascii="Trebuchet MS" w:hAnsi="Trebuchet MS" w:cs="Arial"/>
          <w:lang w:val="ro-RO"/>
        </w:rPr>
        <w:t>rtea statului donator</w:t>
      </w:r>
      <w:r w:rsidR="006F09A5" w:rsidRPr="00B80048">
        <w:rPr>
          <w:rFonts w:ascii="Trebuchet MS" w:hAnsi="Trebuchet MS" w:cs="Arial"/>
          <w:lang w:val="ro-RO"/>
        </w:rPr>
        <w:t xml:space="preserve"> </w:t>
      </w:r>
      <w:r w:rsidR="00EE638C" w:rsidRPr="00B80048">
        <w:rPr>
          <w:rFonts w:ascii="Trebuchet MS" w:hAnsi="Trebuchet MS" w:cs="Arial"/>
          <w:lang w:val="ro-RO"/>
        </w:rPr>
        <w:t>este</w:t>
      </w:r>
      <w:r w:rsidRPr="00B80048">
        <w:rPr>
          <w:rFonts w:ascii="Trebuchet MS" w:hAnsi="Trebuchet MS" w:cs="Arial"/>
          <w:lang w:val="ro-RO"/>
        </w:rPr>
        <w:t xml:space="preserve"> Administrația Instanțelor din Norvegia (NCA).</w:t>
      </w:r>
    </w:p>
    <w:p w:rsidR="001D25CE" w:rsidRPr="00B80048" w:rsidRDefault="0084011B" w:rsidP="001D25CE">
      <w:pPr>
        <w:autoSpaceDE w:val="0"/>
        <w:autoSpaceDN w:val="0"/>
        <w:adjustRightInd w:val="0"/>
        <w:spacing w:after="100" w:afterAutospacing="1" w:line="276" w:lineRule="auto"/>
        <w:ind w:firstLine="720"/>
        <w:jc w:val="both"/>
        <w:rPr>
          <w:rFonts w:ascii="Trebuchet MS" w:hAnsi="Trebuchet MS" w:cs="Arial"/>
          <w:lang w:val="ro-RO"/>
        </w:rPr>
      </w:pPr>
      <w:r w:rsidRPr="00B80048">
        <w:rPr>
          <w:rFonts w:ascii="Trebuchet MS" w:hAnsi="Trebuchet MS" w:cs="Arial"/>
          <w:lang w:val="ro-RO"/>
        </w:rPr>
        <w:t>Proiectul privind lupta împotriva criminalității, inclusiv a corupției și buna guvernare va asigura</w:t>
      </w:r>
      <w:r w:rsidR="00906ADE" w:rsidRPr="00B80048">
        <w:rPr>
          <w:rFonts w:ascii="Trebuchet MS" w:hAnsi="Trebuchet MS" w:cs="Arial"/>
          <w:lang w:val="ro-RO"/>
        </w:rPr>
        <w:t>, printre altele,</w:t>
      </w:r>
      <w:r w:rsidRPr="00B80048">
        <w:rPr>
          <w:rFonts w:ascii="Trebuchet MS" w:hAnsi="Trebuchet MS" w:cs="Arial"/>
          <w:lang w:val="ro-RO"/>
        </w:rPr>
        <w:t xml:space="preserve"> îmbunătățirea nivelului de cunoștințe și </w:t>
      </w:r>
      <w:r w:rsidR="00906ADE" w:rsidRPr="00B80048">
        <w:rPr>
          <w:rFonts w:ascii="Trebuchet MS" w:hAnsi="Trebuchet MS" w:cs="Arial"/>
          <w:lang w:val="ro-RO"/>
        </w:rPr>
        <w:t xml:space="preserve">a </w:t>
      </w:r>
      <w:r w:rsidRPr="00B80048">
        <w:rPr>
          <w:rFonts w:ascii="Trebuchet MS" w:hAnsi="Trebuchet MS" w:cs="Arial"/>
          <w:lang w:val="ro-RO"/>
        </w:rPr>
        <w:t>capacității personalului, precum și a echipamentelor tehnice necesare pentru îndeplinirea acestor măsuri.</w:t>
      </w:r>
    </w:p>
    <w:p w:rsidR="00D901B6" w:rsidRPr="00B80048" w:rsidRDefault="001D25CE" w:rsidP="001D25CE">
      <w:pPr>
        <w:autoSpaceDE w:val="0"/>
        <w:autoSpaceDN w:val="0"/>
        <w:adjustRightInd w:val="0"/>
        <w:spacing w:after="100" w:afterAutospacing="1" w:line="276" w:lineRule="auto"/>
        <w:ind w:firstLine="720"/>
        <w:jc w:val="both"/>
        <w:rPr>
          <w:rFonts w:ascii="Trebuchet MS" w:hAnsi="Trebuchet MS" w:cs="Arial"/>
          <w:lang w:val="ro-RO"/>
        </w:rPr>
      </w:pPr>
      <w:r w:rsidRPr="00B80048">
        <w:rPr>
          <w:rFonts w:ascii="Trebuchet MS" w:hAnsi="Trebuchet MS" w:cs="Arial"/>
          <w:lang w:val="ro-RO"/>
        </w:rPr>
        <w:lastRenderedPageBreak/>
        <w:t xml:space="preserve">Promotorul de </w:t>
      </w:r>
      <w:r w:rsidR="00F32715" w:rsidRPr="00B80048">
        <w:rPr>
          <w:rFonts w:ascii="Trebuchet MS" w:hAnsi="Trebuchet MS" w:cs="Arial"/>
          <w:lang w:val="ro-RO"/>
        </w:rPr>
        <w:t xml:space="preserve">Proiect </w:t>
      </w:r>
      <w:r w:rsidRPr="00B80048">
        <w:rPr>
          <w:rFonts w:ascii="Trebuchet MS" w:hAnsi="Trebuchet MS" w:cs="Arial"/>
          <w:lang w:val="ro-RO"/>
        </w:rPr>
        <w:t>va fi Parchetul de pe lângă Înalta Curte de Casație și Justiție. Proiectul va fi implementat în parteneriat cu Direcția Națională Anticorupție și Direcția de Investigare a Infracțiunilor de Criminalitate Organizată și Terorism.</w:t>
      </w:r>
    </w:p>
    <w:p w:rsidR="001D25CE" w:rsidRPr="00B80048" w:rsidRDefault="001D25CE" w:rsidP="0084011B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rebuchet MS" w:hAnsi="Trebuchet MS" w:cs="Arial"/>
          <w:lang w:val="ro-RO"/>
        </w:rPr>
      </w:pPr>
      <w:r w:rsidRPr="00B80048">
        <w:rPr>
          <w:rFonts w:ascii="Trebuchet MS" w:hAnsi="Trebuchet MS" w:cs="Arial"/>
          <w:lang w:val="ro-RO"/>
        </w:rPr>
        <w:t>Un maxim de 60% din bugetul totalul al proiectelor poate fi folosit pentru măsuri de tip „hard”</w:t>
      </w:r>
      <w:r w:rsidR="0077797E" w:rsidRPr="00B80048">
        <w:rPr>
          <w:rFonts w:ascii="Trebuchet MS" w:hAnsi="Trebuchet MS" w:cs="Arial"/>
          <w:lang w:val="ro-RO"/>
        </w:rPr>
        <w:t xml:space="preserve"> (infrastructură)</w:t>
      </w:r>
      <w:r w:rsidRPr="00B80048">
        <w:rPr>
          <w:rFonts w:ascii="Trebuchet MS" w:hAnsi="Trebuchet MS" w:cs="Arial"/>
          <w:lang w:val="ro-RO"/>
        </w:rPr>
        <w:t>.</w:t>
      </w:r>
    </w:p>
    <w:p w:rsidR="001D25CE" w:rsidRPr="00B80048" w:rsidRDefault="001D25CE" w:rsidP="0084011B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rebuchet MS" w:hAnsi="Trebuchet MS" w:cs="Arial"/>
          <w:lang w:val="ro-RO"/>
        </w:rPr>
      </w:pPr>
    </w:p>
    <w:p w:rsidR="001D25CE" w:rsidRPr="00B80048" w:rsidRDefault="001D25CE" w:rsidP="0084011B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rebuchet MS" w:hAnsi="Trebuchet MS" w:cs="Arial"/>
          <w:b/>
          <w:lang w:val="ro-RO"/>
        </w:rPr>
      </w:pPr>
    </w:p>
    <w:p w:rsidR="000430FE" w:rsidRPr="00B80048" w:rsidRDefault="00C81038" w:rsidP="006F09A5">
      <w:pPr>
        <w:pStyle w:val="ListParagraph"/>
        <w:numPr>
          <w:ilvl w:val="0"/>
          <w:numId w:val="1"/>
        </w:numPr>
        <w:spacing w:after="100" w:afterAutospacing="1" w:line="276" w:lineRule="auto"/>
        <w:jc w:val="both"/>
        <w:rPr>
          <w:rFonts w:ascii="Trebuchet MS" w:hAnsi="Trebuchet MS" w:cs="Arial"/>
          <w:b/>
          <w:lang w:val="ro-RO"/>
        </w:rPr>
      </w:pPr>
      <w:r w:rsidRPr="00B80048">
        <w:rPr>
          <w:rFonts w:ascii="Trebuchet MS" w:hAnsi="Trebuchet MS" w:cs="Arial"/>
          <w:b/>
          <w:lang w:val="ro-RO"/>
        </w:rPr>
        <w:t>Nevoi identificate și acțiuni propuse de</w:t>
      </w:r>
      <w:r w:rsidR="000430FE" w:rsidRPr="00B80048">
        <w:rPr>
          <w:rFonts w:ascii="Trebuchet MS" w:hAnsi="Trebuchet MS" w:cs="Arial"/>
          <w:b/>
          <w:lang w:val="ro-RO"/>
        </w:rPr>
        <w:t xml:space="preserve"> CSM </w:t>
      </w:r>
      <w:r w:rsidRPr="00B80048">
        <w:rPr>
          <w:rFonts w:ascii="Trebuchet MS" w:hAnsi="Trebuchet MS" w:cs="Arial"/>
          <w:b/>
          <w:lang w:val="ro-RO"/>
        </w:rPr>
        <w:t xml:space="preserve">în cadrul </w:t>
      </w:r>
      <w:r w:rsidR="000430FE" w:rsidRPr="00B80048">
        <w:rPr>
          <w:rFonts w:ascii="Trebuchet MS" w:hAnsi="Trebuchet MS" w:cs="Arial"/>
          <w:b/>
          <w:lang w:val="ro-RO"/>
        </w:rPr>
        <w:t>proiectul</w:t>
      </w:r>
      <w:r w:rsidR="00804779">
        <w:rPr>
          <w:rFonts w:ascii="Trebuchet MS" w:hAnsi="Trebuchet MS" w:cs="Arial"/>
          <w:b/>
          <w:lang w:val="ro-RO"/>
        </w:rPr>
        <w:t>ui</w:t>
      </w:r>
      <w:r w:rsidR="000430FE" w:rsidRPr="00B80048">
        <w:rPr>
          <w:rFonts w:ascii="Trebuchet MS" w:hAnsi="Trebuchet MS" w:cs="Arial"/>
          <w:b/>
          <w:lang w:val="ro-RO"/>
        </w:rPr>
        <w:t xml:space="preserve"> predefinit </w:t>
      </w:r>
      <w:r w:rsidR="00E84BF4" w:rsidRPr="00B80048">
        <w:rPr>
          <w:rFonts w:ascii="Trebuchet MS" w:hAnsi="Trebuchet MS" w:cs="Arial"/>
          <w:b/>
          <w:lang w:val="ro-RO"/>
        </w:rPr>
        <w:t xml:space="preserve">privind </w:t>
      </w:r>
      <w:r w:rsidR="000430FE" w:rsidRPr="00B80048">
        <w:rPr>
          <w:rFonts w:ascii="Trebuchet MS" w:hAnsi="Trebuchet MS" w:cs="Arial"/>
          <w:b/>
          <w:lang w:val="ro-RO"/>
        </w:rPr>
        <w:t xml:space="preserve"> </w:t>
      </w:r>
      <w:r w:rsidRPr="008F5992">
        <w:rPr>
          <w:rFonts w:ascii="Trebuchet MS" w:hAnsi="Trebuchet MS" w:cs="Arial"/>
          <w:b/>
          <w:i/>
          <w:lang w:val="ro-RO"/>
        </w:rPr>
        <w:t>formarea profesională și consolidarea capacității instituționale în sistemul judiciar</w:t>
      </w:r>
      <w:r w:rsidR="002009D7" w:rsidRPr="00B80048">
        <w:rPr>
          <w:rFonts w:ascii="Trebuchet MS" w:hAnsi="Trebuchet MS" w:cs="Arial"/>
          <w:b/>
          <w:lang w:val="ro-RO"/>
        </w:rPr>
        <w:t>, finanțat de Mecanismul Financiar Norvegian 2014-2021</w:t>
      </w:r>
    </w:p>
    <w:p w:rsidR="0035548B" w:rsidRPr="00B80048" w:rsidRDefault="0035548B" w:rsidP="0035548B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  <w:lang w:val="ro-RO"/>
        </w:rPr>
      </w:pPr>
    </w:p>
    <w:p w:rsidR="004144D8" w:rsidRPr="00B80048" w:rsidRDefault="00647978" w:rsidP="00501FD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tabs>
          <w:tab w:val="center" w:pos="4536"/>
          <w:tab w:val="right" w:pos="9072"/>
        </w:tabs>
        <w:spacing w:before="120" w:after="120" w:line="276" w:lineRule="auto"/>
        <w:ind w:left="0"/>
        <w:jc w:val="both"/>
        <w:rPr>
          <w:rStyle w:val="Hyperlink"/>
          <w:rFonts w:ascii="Trebuchet MS" w:hAnsi="Trebuchet MS" w:cs="Arial"/>
          <w:color w:val="auto"/>
          <w:u w:val="none"/>
          <w:lang w:val="ro-RO"/>
        </w:rPr>
      </w:pPr>
      <w:r w:rsidRPr="00B80048">
        <w:rPr>
          <w:rFonts w:ascii="Trebuchet MS" w:hAnsi="Trebuchet MS" w:cs="Arial"/>
          <w:b/>
          <w:i/>
          <w:lang w:val="ro-RO"/>
        </w:rPr>
        <w:t>Componenta I</w:t>
      </w:r>
      <w:r w:rsidR="00282A93">
        <w:rPr>
          <w:rFonts w:ascii="Trebuchet MS" w:hAnsi="Trebuchet MS" w:cs="Arial"/>
          <w:b/>
          <w:i/>
          <w:lang w:val="ro-RO"/>
        </w:rPr>
        <w:t>:</w:t>
      </w:r>
      <w:r w:rsidRPr="00B80048">
        <w:rPr>
          <w:rFonts w:ascii="Trebuchet MS" w:hAnsi="Trebuchet MS" w:cs="Arial"/>
          <w:b/>
          <w:i/>
          <w:lang w:val="ro-RO"/>
        </w:rPr>
        <w:t xml:space="preserve"> </w:t>
      </w:r>
      <w:r w:rsidR="00D34C34" w:rsidRPr="00B80048">
        <w:rPr>
          <w:rFonts w:ascii="Trebuchet MS" w:hAnsi="Trebuchet MS" w:cs="Arial"/>
          <w:lang w:val="ro-RO"/>
        </w:rPr>
        <w:t>Dezvoltarea culturii judiciare europene în cadrul sistemului judiciar românesc</w:t>
      </w:r>
    </w:p>
    <w:p w:rsidR="00501FD9" w:rsidRPr="00B80048" w:rsidRDefault="00501FD9" w:rsidP="00501FD9">
      <w:pPr>
        <w:pStyle w:val="ListParagraph"/>
        <w:tabs>
          <w:tab w:val="center" w:pos="4536"/>
          <w:tab w:val="right" w:pos="9072"/>
        </w:tabs>
        <w:spacing w:before="120" w:after="120" w:line="276" w:lineRule="auto"/>
        <w:ind w:left="1134"/>
        <w:jc w:val="both"/>
        <w:rPr>
          <w:rStyle w:val="Hyperlink"/>
          <w:rFonts w:ascii="Trebuchet MS" w:hAnsi="Trebuchet MS"/>
          <w:b/>
          <w:color w:val="auto"/>
          <w:u w:val="none"/>
          <w:lang w:val="ro-RO"/>
        </w:rPr>
      </w:pPr>
    </w:p>
    <w:p w:rsidR="00501FD9" w:rsidRPr="00B80048" w:rsidRDefault="00501FD9" w:rsidP="00501FD9">
      <w:pPr>
        <w:pStyle w:val="ListParagraph"/>
        <w:numPr>
          <w:ilvl w:val="0"/>
          <w:numId w:val="10"/>
        </w:numPr>
        <w:tabs>
          <w:tab w:val="center" w:pos="4536"/>
          <w:tab w:val="right" w:pos="9072"/>
        </w:tabs>
        <w:spacing w:before="120" w:after="120" w:line="276" w:lineRule="auto"/>
        <w:ind w:left="1134" w:hanging="425"/>
        <w:jc w:val="both"/>
        <w:rPr>
          <w:rStyle w:val="Hyperlink"/>
          <w:rFonts w:ascii="Trebuchet MS" w:hAnsi="Trebuchet MS"/>
          <w:b/>
          <w:color w:val="auto"/>
          <w:u w:val="none"/>
          <w:lang w:val="ro-RO"/>
        </w:rPr>
      </w:pPr>
      <w:r w:rsidRPr="00B80048">
        <w:rPr>
          <w:rStyle w:val="Hyperlink"/>
          <w:rFonts w:ascii="Trebuchet MS" w:hAnsi="Trebuchet MS" w:cs="Arial"/>
          <w:b/>
          <w:color w:val="auto"/>
          <w:u w:val="none"/>
          <w:lang w:val="ro-RO"/>
        </w:rPr>
        <w:t>exemple de activități potențiale</w:t>
      </w:r>
    </w:p>
    <w:p w:rsidR="00A75802" w:rsidRPr="00B80048" w:rsidRDefault="00D34C34" w:rsidP="00A75802">
      <w:pPr>
        <w:tabs>
          <w:tab w:val="left" w:pos="284"/>
          <w:tab w:val="center" w:pos="4536"/>
          <w:tab w:val="right" w:pos="9072"/>
        </w:tabs>
        <w:spacing w:before="120" w:after="120" w:line="276" w:lineRule="auto"/>
        <w:jc w:val="both"/>
        <w:rPr>
          <w:rStyle w:val="Hyperlink"/>
          <w:rFonts w:ascii="Trebuchet MS" w:hAnsi="Trebuchet MS" w:cs="Arial"/>
          <w:color w:val="auto"/>
          <w:u w:val="none"/>
          <w:lang w:val="ro-RO"/>
        </w:rPr>
      </w:pPr>
      <w:r w:rsidRPr="00B80048">
        <w:rPr>
          <w:rStyle w:val="Hyperlink"/>
          <w:rFonts w:ascii="Trebuchet MS" w:hAnsi="Trebuchet MS" w:cs="Arial"/>
          <w:color w:val="auto"/>
          <w:u w:val="none"/>
          <w:lang w:val="ro-RO"/>
        </w:rPr>
        <w:t xml:space="preserve">Dezvoltarea </w:t>
      </w:r>
      <w:r w:rsidR="000D070D" w:rsidRPr="00B80048">
        <w:rPr>
          <w:rStyle w:val="Hyperlink"/>
          <w:rFonts w:ascii="Trebuchet MS" w:hAnsi="Trebuchet MS" w:cs="Arial"/>
          <w:color w:val="auto"/>
          <w:u w:val="none"/>
          <w:lang w:val="ro-RO"/>
        </w:rPr>
        <w:t>program</w:t>
      </w:r>
      <w:r w:rsidR="00B80048">
        <w:rPr>
          <w:rStyle w:val="Hyperlink"/>
          <w:rFonts w:ascii="Trebuchet MS" w:hAnsi="Trebuchet MS" w:cs="Arial"/>
          <w:color w:val="auto"/>
          <w:u w:val="none"/>
          <w:lang w:val="ro-RO"/>
        </w:rPr>
        <w:t>ei</w:t>
      </w:r>
      <w:r w:rsidRPr="00B80048">
        <w:rPr>
          <w:rStyle w:val="Hyperlink"/>
          <w:rFonts w:ascii="Trebuchet MS" w:hAnsi="Trebuchet MS" w:cs="Arial"/>
          <w:color w:val="auto"/>
          <w:u w:val="none"/>
          <w:lang w:val="ro-RO"/>
        </w:rPr>
        <w:t xml:space="preserve"> </w:t>
      </w:r>
      <w:r w:rsidR="00A75802" w:rsidRPr="00B80048">
        <w:rPr>
          <w:rStyle w:val="Hyperlink"/>
          <w:rFonts w:ascii="Trebuchet MS" w:hAnsi="Trebuchet MS" w:cs="Arial"/>
          <w:color w:val="auto"/>
          <w:u w:val="none"/>
          <w:lang w:val="ro-RO"/>
        </w:rPr>
        <w:t xml:space="preserve">de formare și asigurarea formării din perspectivă europeană către cea națională, reprezintă, la acest moment, una dintre marile nevoi ale sistemului judiciar românesc, pentru a permite judecătorilor și procurorilor români, precum și personalului auxiliar, să își formeze o imagine de ansamblu asupra contextului european în cadrul căruia sistemul judiciar </w:t>
      </w:r>
      <w:r w:rsidR="000D070D" w:rsidRPr="00B80048">
        <w:rPr>
          <w:rStyle w:val="Hyperlink"/>
          <w:rFonts w:ascii="Trebuchet MS" w:hAnsi="Trebuchet MS" w:cs="Arial"/>
          <w:color w:val="auto"/>
          <w:u w:val="none"/>
          <w:lang w:val="ro-RO"/>
        </w:rPr>
        <w:t>are un rol important prin oferi</w:t>
      </w:r>
      <w:r w:rsidR="00A75802" w:rsidRPr="00B80048">
        <w:rPr>
          <w:rStyle w:val="Hyperlink"/>
          <w:rFonts w:ascii="Trebuchet MS" w:hAnsi="Trebuchet MS" w:cs="Arial"/>
          <w:color w:val="auto"/>
          <w:u w:val="none"/>
          <w:lang w:val="ro-RO"/>
        </w:rPr>
        <w:t xml:space="preserve">rea unui act de justiție calitativ. Noutatea legislației adoptate în 2016 cu privire la achizițiile publice, transpunând </w:t>
      </w:r>
      <w:r w:rsidR="000D070D" w:rsidRPr="00B80048">
        <w:rPr>
          <w:rStyle w:val="Hyperlink"/>
          <w:rFonts w:ascii="Trebuchet MS" w:hAnsi="Trebuchet MS" w:cs="Arial"/>
          <w:color w:val="auto"/>
          <w:u w:val="none"/>
          <w:lang w:val="ro-RO"/>
        </w:rPr>
        <w:t>legislația</w:t>
      </w:r>
      <w:r w:rsidR="00A75802" w:rsidRPr="00B80048">
        <w:rPr>
          <w:rStyle w:val="Hyperlink"/>
          <w:rFonts w:ascii="Trebuchet MS" w:hAnsi="Trebuchet MS" w:cs="Arial"/>
          <w:color w:val="auto"/>
          <w:u w:val="none"/>
          <w:lang w:val="ro-RO"/>
        </w:rPr>
        <w:t xml:space="preserve"> europeană, precum și impactul hotărârilor judecătorești specifice asupra mediului economic și de afaceri, implică formare specifică, inclusiv printr-o abordare din perspectiva jurisprudenței Curții Europene de Justiție și a cooperării judiciare.</w:t>
      </w:r>
    </w:p>
    <w:p w:rsidR="00D446FB" w:rsidRPr="00B80048" w:rsidRDefault="00D446FB" w:rsidP="00A75802">
      <w:pPr>
        <w:tabs>
          <w:tab w:val="left" w:pos="284"/>
          <w:tab w:val="center" w:pos="4536"/>
          <w:tab w:val="right" w:pos="9072"/>
        </w:tabs>
        <w:spacing w:before="120" w:after="120" w:line="276" w:lineRule="auto"/>
        <w:jc w:val="both"/>
        <w:rPr>
          <w:rStyle w:val="Hyperlink"/>
          <w:rFonts w:ascii="Trebuchet MS" w:hAnsi="Trebuchet MS" w:cs="Arial"/>
          <w:color w:val="auto"/>
          <w:u w:val="none"/>
          <w:lang w:val="ro-RO"/>
        </w:rPr>
      </w:pPr>
      <w:r w:rsidRPr="00B80048">
        <w:rPr>
          <w:rStyle w:val="Hyperlink"/>
          <w:rFonts w:ascii="Trebuchet MS" w:hAnsi="Trebuchet MS" w:cs="Arial"/>
          <w:color w:val="auto"/>
          <w:u w:val="none"/>
          <w:lang w:val="ro-RO"/>
        </w:rPr>
        <w:t>Activitățile pr</w:t>
      </w:r>
      <w:r w:rsidR="002E41C8" w:rsidRPr="00B80048">
        <w:rPr>
          <w:rStyle w:val="Hyperlink"/>
          <w:rFonts w:ascii="Trebuchet MS" w:hAnsi="Trebuchet MS" w:cs="Arial"/>
          <w:color w:val="auto"/>
          <w:u w:val="none"/>
          <w:lang w:val="ro-RO"/>
        </w:rPr>
        <w:t>opuse pentru proiect vor aborda nevoile de formare ale sistemului judiciar românesc, în domenii de interes dintr-o perspectivă europeană, precum:</w:t>
      </w:r>
    </w:p>
    <w:p w:rsidR="002E41C8" w:rsidRPr="00B80048" w:rsidRDefault="002E41C8" w:rsidP="002E41C8">
      <w:pPr>
        <w:pStyle w:val="ListParagraph"/>
        <w:numPr>
          <w:ilvl w:val="0"/>
          <w:numId w:val="24"/>
        </w:numPr>
        <w:tabs>
          <w:tab w:val="left" w:pos="284"/>
          <w:tab w:val="center" w:pos="4536"/>
          <w:tab w:val="right" w:pos="9072"/>
        </w:tabs>
        <w:spacing w:before="120" w:after="120" w:line="276" w:lineRule="auto"/>
        <w:jc w:val="both"/>
        <w:rPr>
          <w:rStyle w:val="Hyperlink"/>
          <w:rFonts w:ascii="Trebuchet MS" w:hAnsi="Trebuchet MS" w:cs="Arial"/>
          <w:color w:val="auto"/>
          <w:u w:val="none"/>
          <w:lang w:val="ro-RO"/>
        </w:rPr>
      </w:pPr>
      <w:r w:rsidRPr="00B80048">
        <w:rPr>
          <w:rStyle w:val="Hyperlink"/>
          <w:rFonts w:ascii="Trebuchet MS" w:hAnsi="Trebuchet MS" w:cs="Arial"/>
          <w:color w:val="auto"/>
          <w:u w:val="none"/>
          <w:lang w:val="ro-RO"/>
        </w:rPr>
        <w:t>CEDO în materie civilă și penală;</w:t>
      </w:r>
    </w:p>
    <w:p w:rsidR="002E41C8" w:rsidRPr="00B80048" w:rsidRDefault="002E41C8" w:rsidP="002E41C8">
      <w:pPr>
        <w:pStyle w:val="ListParagraph"/>
        <w:numPr>
          <w:ilvl w:val="0"/>
          <w:numId w:val="24"/>
        </w:numPr>
        <w:tabs>
          <w:tab w:val="left" w:pos="284"/>
          <w:tab w:val="center" w:pos="4536"/>
          <w:tab w:val="right" w:pos="9072"/>
        </w:tabs>
        <w:spacing w:before="120" w:after="120" w:line="276" w:lineRule="auto"/>
        <w:jc w:val="both"/>
        <w:rPr>
          <w:rStyle w:val="Hyperlink"/>
          <w:rFonts w:ascii="Trebuchet MS" w:hAnsi="Trebuchet MS" w:cs="Arial"/>
          <w:color w:val="auto"/>
          <w:u w:val="none"/>
          <w:lang w:val="ro-RO"/>
        </w:rPr>
      </w:pPr>
      <w:r w:rsidRPr="00B80048">
        <w:rPr>
          <w:rStyle w:val="Hyperlink"/>
          <w:rFonts w:ascii="Trebuchet MS" w:hAnsi="Trebuchet MS" w:cs="Arial"/>
          <w:color w:val="auto"/>
          <w:u w:val="none"/>
          <w:lang w:val="ro-RO"/>
        </w:rPr>
        <w:t>Cooperare judiciară în materie civilă și penală;</w:t>
      </w:r>
    </w:p>
    <w:p w:rsidR="00E67B16" w:rsidRPr="00B80048" w:rsidRDefault="002E41C8" w:rsidP="00EE6DD7">
      <w:pPr>
        <w:pStyle w:val="ListParagraph"/>
        <w:numPr>
          <w:ilvl w:val="0"/>
          <w:numId w:val="24"/>
        </w:numPr>
        <w:tabs>
          <w:tab w:val="left" w:pos="284"/>
          <w:tab w:val="center" w:pos="4536"/>
          <w:tab w:val="right" w:pos="9072"/>
        </w:tabs>
        <w:spacing w:before="120" w:after="120" w:line="276" w:lineRule="auto"/>
        <w:jc w:val="both"/>
        <w:rPr>
          <w:rStyle w:val="Hyperlink"/>
          <w:rFonts w:ascii="Trebuchet MS" w:hAnsi="Trebuchet MS" w:cs="Arial"/>
          <w:color w:val="auto"/>
          <w:u w:val="none"/>
          <w:lang w:val="ro-RO"/>
        </w:rPr>
      </w:pPr>
      <w:r w:rsidRPr="00B80048">
        <w:rPr>
          <w:rStyle w:val="Hyperlink"/>
          <w:rFonts w:ascii="Trebuchet MS" w:hAnsi="Trebuchet MS" w:cs="Arial"/>
          <w:color w:val="auto"/>
          <w:u w:val="none"/>
          <w:lang w:val="ro-RO"/>
        </w:rPr>
        <w:t>Eficiența sistemului judiciar în domenii care contribuie la creșterea economică europeană (achiziții publice, regulile procedurale aplicabile în litigiile de contencios administrativ, procedura fiscală - în mod special, executarea silită fiscală, taxa pe valoare adăugată,</w:t>
      </w:r>
      <w:r w:rsidR="00ED6BFD" w:rsidRPr="00B80048">
        <w:rPr>
          <w:rStyle w:val="Hyperlink"/>
          <w:rFonts w:ascii="Trebuchet MS" w:hAnsi="Trebuchet MS" w:cs="Arial"/>
          <w:color w:val="auto"/>
          <w:u w:val="none"/>
          <w:lang w:val="ro-RO"/>
        </w:rPr>
        <w:t xml:space="preserve"> proceduri speciale din codul de procedură civilă</w:t>
      </w:r>
      <w:r w:rsidRPr="00B80048">
        <w:rPr>
          <w:rStyle w:val="Hyperlink"/>
          <w:rFonts w:ascii="Trebuchet MS" w:hAnsi="Trebuchet MS" w:cs="Arial"/>
          <w:color w:val="auto"/>
          <w:u w:val="none"/>
          <w:lang w:val="ro-RO"/>
        </w:rPr>
        <w:t>)</w:t>
      </w:r>
      <w:r w:rsidR="00433D76" w:rsidRPr="00B80048">
        <w:rPr>
          <w:rStyle w:val="Hyperlink"/>
          <w:rFonts w:ascii="Trebuchet MS" w:hAnsi="Trebuchet MS" w:cs="Arial"/>
          <w:color w:val="auto"/>
          <w:u w:val="none"/>
          <w:lang w:val="ro-RO"/>
        </w:rPr>
        <w:t>.</w:t>
      </w:r>
    </w:p>
    <w:p w:rsidR="00501FD9" w:rsidRPr="00B80048" w:rsidRDefault="00501FD9" w:rsidP="009E3ACC">
      <w:pPr>
        <w:tabs>
          <w:tab w:val="center" w:pos="4536"/>
          <w:tab w:val="right" w:pos="9072"/>
        </w:tabs>
        <w:spacing w:before="120" w:after="120" w:line="276" w:lineRule="auto"/>
        <w:jc w:val="both"/>
        <w:rPr>
          <w:rStyle w:val="Hyperlink"/>
          <w:rFonts w:ascii="Trebuchet MS" w:hAnsi="Trebuchet MS" w:cs="Arial"/>
          <w:b/>
          <w:color w:val="auto"/>
          <w:lang w:val="ro-RO"/>
        </w:rPr>
      </w:pPr>
    </w:p>
    <w:p w:rsidR="004144D8" w:rsidRPr="00B80048" w:rsidRDefault="004144D8" w:rsidP="00501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autoSpaceDE w:val="0"/>
        <w:autoSpaceDN w:val="0"/>
        <w:adjustRightInd w:val="0"/>
        <w:spacing w:line="276" w:lineRule="auto"/>
        <w:jc w:val="both"/>
        <w:rPr>
          <w:rFonts w:ascii="Trebuchet MS" w:hAnsi="Trebuchet MS" w:cs="Arial"/>
          <w:lang w:val="ro-RO"/>
        </w:rPr>
      </w:pPr>
      <w:r w:rsidRPr="00B80048">
        <w:rPr>
          <w:rFonts w:ascii="Trebuchet MS" w:hAnsi="Trebuchet MS" w:cs="Arial"/>
          <w:b/>
          <w:i/>
          <w:lang w:val="ro-RO"/>
        </w:rPr>
        <w:t xml:space="preserve">Componenta II: </w:t>
      </w:r>
      <w:r w:rsidR="008E225D" w:rsidRPr="00B80048">
        <w:rPr>
          <w:rFonts w:ascii="Trebuchet MS" w:hAnsi="Trebuchet MS" w:cs="Arial"/>
          <w:lang w:val="ro-RO"/>
        </w:rPr>
        <w:t>Îmbunătățirea</w:t>
      </w:r>
      <w:r w:rsidRPr="00B80048">
        <w:rPr>
          <w:rFonts w:ascii="Trebuchet MS" w:hAnsi="Trebuchet MS" w:cs="Arial"/>
          <w:lang w:val="ro-RO"/>
        </w:rPr>
        <w:t xml:space="preserve"> accesului la justiție, în special pentru grupurile vulnerabile (</w:t>
      </w:r>
      <w:r w:rsidRPr="00B80048">
        <w:rPr>
          <w:rFonts w:ascii="Trebuchet MS" w:hAnsi="Trebuchet MS" w:cs="Arial"/>
          <w:i/>
          <w:lang w:val="ro-RO"/>
        </w:rPr>
        <w:t>roma, persoane cu venituri mici etc.</w:t>
      </w:r>
      <w:r w:rsidRPr="00B80048">
        <w:rPr>
          <w:rFonts w:ascii="Trebuchet MS" w:hAnsi="Trebuchet MS" w:cs="Arial"/>
          <w:lang w:val="ro-RO"/>
        </w:rPr>
        <w:t>), inclusiv prin cooperarea cât mai deschisă cu autoritățile publice cu competențe în domeniu</w:t>
      </w:r>
      <w:r w:rsidR="00453156" w:rsidRPr="00B80048">
        <w:rPr>
          <w:rFonts w:ascii="Trebuchet MS" w:hAnsi="Trebuchet MS" w:cs="Arial"/>
          <w:lang w:val="ro-RO"/>
        </w:rPr>
        <w:t>,</w:t>
      </w:r>
      <w:r w:rsidRPr="00B80048">
        <w:rPr>
          <w:rFonts w:ascii="Trebuchet MS" w:hAnsi="Trebuchet MS" w:cs="Arial"/>
          <w:lang w:val="ro-RO"/>
        </w:rPr>
        <w:t xml:space="preserve"> precum și cu organizațiile non-guvernamentale pentru promovarea formelor alternative de soluționare a disputelor și a altor mijloace legale de asigurare a unui acces efectiv la justiție; </w:t>
      </w:r>
    </w:p>
    <w:p w:rsidR="001848C7" w:rsidRPr="00B80048" w:rsidRDefault="001848C7" w:rsidP="00633965">
      <w:pPr>
        <w:pStyle w:val="ListParagraph"/>
        <w:numPr>
          <w:ilvl w:val="0"/>
          <w:numId w:val="10"/>
        </w:numPr>
        <w:tabs>
          <w:tab w:val="center" w:pos="4536"/>
          <w:tab w:val="right" w:pos="9072"/>
        </w:tabs>
        <w:spacing w:before="120" w:after="120" w:line="276" w:lineRule="auto"/>
        <w:ind w:left="1134" w:hanging="425"/>
        <w:jc w:val="both"/>
        <w:rPr>
          <w:rStyle w:val="Hyperlink"/>
          <w:rFonts w:ascii="Trebuchet MS" w:hAnsi="Trebuchet MS"/>
          <w:b/>
          <w:color w:val="auto"/>
          <w:u w:val="none"/>
          <w:lang w:val="ro-RO"/>
        </w:rPr>
      </w:pPr>
      <w:r w:rsidRPr="00B80048">
        <w:rPr>
          <w:rStyle w:val="Hyperlink"/>
          <w:rFonts w:ascii="Trebuchet MS" w:hAnsi="Trebuchet MS" w:cs="Arial"/>
          <w:b/>
          <w:color w:val="auto"/>
          <w:u w:val="none"/>
          <w:lang w:val="ro-RO"/>
        </w:rPr>
        <w:t>exemple de activități potențiale</w:t>
      </w:r>
    </w:p>
    <w:p w:rsidR="001848C7" w:rsidRPr="00B80048" w:rsidRDefault="001848C7" w:rsidP="00633965">
      <w:pPr>
        <w:pStyle w:val="Normal1"/>
        <w:numPr>
          <w:ilvl w:val="0"/>
          <w:numId w:val="3"/>
        </w:numPr>
        <w:spacing w:before="0" w:beforeAutospacing="0" w:after="0" w:afterAutospacing="0" w:line="276" w:lineRule="auto"/>
        <w:ind w:left="284" w:hanging="284"/>
        <w:jc w:val="both"/>
        <w:rPr>
          <w:rFonts w:ascii="Trebuchet MS" w:hAnsi="Trebuchet MS" w:cs="Arial"/>
          <w:sz w:val="22"/>
          <w:szCs w:val="22"/>
          <w:lang w:val="ro-RO"/>
        </w:rPr>
      </w:pPr>
      <w:r w:rsidRPr="00B80048">
        <w:rPr>
          <w:rFonts w:ascii="Trebuchet MS" w:hAnsi="Trebuchet MS" w:cs="Arial"/>
          <w:sz w:val="22"/>
          <w:szCs w:val="22"/>
          <w:lang w:val="ro-RO"/>
        </w:rPr>
        <w:t xml:space="preserve">organizarea unei serii de </w:t>
      </w:r>
      <w:r w:rsidR="00D473D0" w:rsidRPr="00B80048">
        <w:rPr>
          <w:rFonts w:ascii="Trebuchet MS" w:hAnsi="Trebuchet MS" w:cs="Arial"/>
          <w:sz w:val="22"/>
          <w:szCs w:val="22"/>
          <w:lang w:val="ro-RO"/>
        </w:rPr>
        <w:t xml:space="preserve">ateliere de lucru </w:t>
      </w:r>
      <w:r w:rsidRPr="00B80048">
        <w:rPr>
          <w:rFonts w:ascii="Trebuchet MS" w:hAnsi="Trebuchet MS" w:cs="Arial"/>
          <w:sz w:val="22"/>
          <w:szCs w:val="22"/>
          <w:lang w:val="ro-RO"/>
        </w:rPr>
        <w:t xml:space="preserve">dedicate </w:t>
      </w:r>
      <w:r w:rsidR="008E225D" w:rsidRPr="00B80048">
        <w:rPr>
          <w:rFonts w:ascii="Trebuchet MS" w:hAnsi="Trebuchet MS" w:cs="Arial"/>
          <w:sz w:val="22"/>
          <w:szCs w:val="22"/>
          <w:lang w:val="ro-RO"/>
        </w:rPr>
        <w:t>experților</w:t>
      </w:r>
      <w:r w:rsidRPr="00B80048">
        <w:rPr>
          <w:rFonts w:ascii="Trebuchet MS" w:hAnsi="Trebuchet MS" w:cs="Arial"/>
          <w:sz w:val="22"/>
          <w:szCs w:val="22"/>
          <w:lang w:val="ro-RO"/>
        </w:rPr>
        <w:t xml:space="preserve"> locali pentru romi, membrilor </w:t>
      </w:r>
      <w:r w:rsidR="008E225D" w:rsidRPr="00B80048">
        <w:rPr>
          <w:rFonts w:ascii="Trebuchet MS" w:hAnsi="Trebuchet MS" w:cs="Arial"/>
          <w:sz w:val="22"/>
          <w:szCs w:val="22"/>
          <w:lang w:val="ro-RO"/>
        </w:rPr>
        <w:t>rețelei</w:t>
      </w:r>
      <w:r w:rsidRPr="00B80048">
        <w:rPr>
          <w:rFonts w:ascii="Trebuchet MS" w:hAnsi="Trebuchet MS" w:cs="Arial"/>
          <w:sz w:val="22"/>
          <w:szCs w:val="22"/>
          <w:lang w:val="ro-RO"/>
        </w:rPr>
        <w:t xml:space="preserve"> de mediatori sanitari </w:t>
      </w:r>
      <w:r w:rsidR="008E225D" w:rsidRPr="00B80048">
        <w:rPr>
          <w:rFonts w:ascii="Trebuchet MS" w:hAnsi="Trebuchet MS" w:cs="Arial"/>
          <w:sz w:val="22"/>
          <w:szCs w:val="22"/>
          <w:lang w:val="ro-RO"/>
        </w:rPr>
        <w:t>și</w:t>
      </w:r>
      <w:r w:rsidRPr="00B80048">
        <w:rPr>
          <w:rFonts w:ascii="Trebuchet MS" w:hAnsi="Trebuchet MS" w:cs="Arial"/>
          <w:sz w:val="22"/>
          <w:szCs w:val="22"/>
          <w:lang w:val="ro-RO"/>
        </w:rPr>
        <w:t xml:space="preserve"> </w:t>
      </w:r>
      <w:r w:rsidR="008E225D" w:rsidRPr="00B80048">
        <w:rPr>
          <w:rFonts w:ascii="Trebuchet MS" w:hAnsi="Trebuchet MS" w:cs="Arial"/>
          <w:sz w:val="22"/>
          <w:szCs w:val="22"/>
          <w:lang w:val="ro-RO"/>
        </w:rPr>
        <w:t>școlari</w:t>
      </w:r>
      <w:r w:rsidRPr="00B80048">
        <w:rPr>
          <w:rFonts w:ascii="Trebuchet MS" w:hAnsi="Trebuchet MS" w:cs="Arial"/>
          <w:sz w:val="22"/>
          <w:szCs w:val="22"/>
          <w:lang w:val="ro-RO"/>
        </w:rPr>
        <w:t xml:space="preserve"> în vederea prezentării </w:t>
      </w:r>
      <w:r w:rsidR="008E225D" w:rsidRPr="00B80048">
        <w:rPr>
          <w:rFonts w:ascii="Trebuchet MS" w:hAnsi="Trebuchet MS" w:cs="Arial"/>
          <w:sz w:val="22"/>
          <w:szCs w:val="22"/>
          <w:lang w:val="ro-RO"/>
        </w:rPr>
        <w:t>informațiilor</w:t>
      </w:r>
      <w:r w:rsidRPr="00B80048">
        <w:rPr>
          <w:rFonts w:ascii="Trebuchet MS" w:hAnsi="Trebuchet MS" w:cs="Arial"/>
          <w:sz w:val="22"/>
          <w:szCs w:val="22"/>
          <w:lang w:val="ro-RO"/>
        </w:rPr>
        <w:t xml:space="preserve"> privind ajutorul public judiciar, precum </w:t>
      </w:r>
      <w:r w:rsidR="008E225D" w:rsidRPr="00B80048">
        <w:rPr>
          <w:rFonts w:ascii="Trebuchet MS" w:hAnsi="Trebuchet MS" w:cs="Arial"/>
          <w:sz w:val="22"/>
          <w:szCs w:val="22"/>
          <w:lang w:val="ro-RO"/>
        </w:rPr>
        <w:t>și</w:t>
      </w:r>
      <w:r w:rsidRPr="00B80048">
        <w:rPr>
          <w:rFonts w:ascii="Trebuchet MS" w:hAnsi="Trebuchet MS" w:cs="Arial"/>
          <w:sz w:val="22"/>
          <w:szCs w:val="22"/>
          <w:lang w:val="ro-RO"/>
        </w:rPr>
        <w:t xml:space="preserve"> a pachetului informativ elaborat în cadrul proiectului „</w:t>
      </w:r>
      <w:r w:rsidR="008E225D" w:rsidRPr="00B80048">
        <w:rPr>
          <w:rFonts w:ascii="Trebuchet MS" w:hAnsi="Trebuchet MS" w:cs="Arial"/>
          <w:i/>
          <w:sz w:val="22"/>
          <w:szCs w:val="22"/>
          <w:lang w:val="ro-RO"/>
        </w:rPr>
        <w:t>Îmbunătățirea</w:t>
      </w:r>
      <w:r w:rsidRPr="00B80048">
        <w:rPr>
          <w:rFonts w:ascii="Trebuchet MS" w:hAnsi="Trebuchet MS" w:cs="Arial"/>
          <w:i/>
          <w:sz w:val="22"/>
          <w:szCs w:val="22"/>
          <w:lang w:val="ro-RO"/>
        </w:rPr>
        <w:t xml:space="preserve"> </w:t>
      </w:r>
      <w:r w:rsidRPr="00B80048">
        <w:rPr>
          <w:rFonts w:ascii="Trebuchet MS" w:hAnsi="Trebuchet MS" w:cs="Arial"/>
          <w:i/>
          <w:sz w:val="22"/>
          <w:szCs w:val="22"/>
          <w:lang w:val="ro-RO"/>
        </w:rPr>
        <w:lastRenderedPageBreak/>
        <w:t xml:space="preserve">accesului la </w:t>
      </w:r>
      <w:r w:rsidR="008E225D" w:rsidRPr="00B80048">
        <w:rPr>
          <w:rFonts w:ascii="Trebuchet MS" w:hAnsi="Trebuchet MS" w:cs="Arial"/>
          <w:i/>
          <w:sz w:val="22"/>
          <w:szCs w:val="22"/>
          <w:lang w:val="ro-RO"/>
        </w:rPr>
        <w:t>justiție</w:t>
      </w:r>
      <w:r w:rsidRPr="00B80048">
        <w:rPr>
          <w:rFonts w:ascii="Trebuchet MS" w:hAnsi="Trebuchet MS" w:cs="Arial"/>
          <w:i/>
          <w:sz w:val="22"/>
          <w:szCs w:val="22"/>
          <w:lang w:val="ro-RO"/>
        </w:rPr>
        <w:t xml:space="preserve">. O abordare integrată cu accent pe </w:t>
      </w:r>
      <w:r w:rsidR="008E225D" w:rsidRPr="00B80048">
        <w:rPr>
          <w:rFonts w:ascii="Trebuchet MS" w:hAnsi="Trebuchet MS" w:cs="Arial"/>
          <w:i/>
          <w:sz w:val="22"/>
          <w:szCs w:val="22"/>
          <w:lang w:val="ro-RO"/>
        </w:rPr>
        <w:t>populația</w:t>
      </w:r>
      <w:r w:rsidRPr="00B80048">
        <w:rPr>
          <w:rFonts w:ascii="Trebuchet MS" w:hAnsi="Trebuchet MS" w:cs="Arial"/>
          <w:i/>
          <w:sz w:val="22"/>
          <w:szCs w:val="22"/>
          <w:lang w:val="ro-RO"/>
        </w:rPr>
        <w:t xml:space="preserve"> romă </w:t>
      </w:r>
      <w:r w:rsidR="008E225D" w:rsidRPr="00B80048">
        <w:rPr>
          <w:rFonts w:ascii="Trebuchet MS" w:hAnsi="Trebuchet MS" w:cs="Arial"/>
          <w:i/>
          <w:sz w:val="22"/>
          <w:szCs w:val="22"/>
          <w:lang w:val="ro-RO"/>
        </w:rPr>
        <w:t>și</w:t>
      </w:r>
      <w:r w:rsidRPr="00B80048">
        <w:rPr>
          <w:rFonts w:ascii="Trebuchet MS" w:hAnsi="Trebuchet MS" w:cs="Arial"/>
          <w:i/>
          <w:sz w:val="22"/>
          <w:szCs w:val="22"/>
          <w:lang w:val="ro-RO"/>
        </w:rPr>
        <w:t xml:space="preserve"> alte grupuri vulnerabile</w:t>
      </w:r>
      <w:r w:rsidRPr="00B80048">
        <w:rPr>
          <w:rFonts w:ascii="Trebuchet MS" w:hAnsi="Trebuchet MS" w:cs="Arial"/>
          <w:sz w:val="22"/>
          <w:szCs w:val="22"/>
          <w:lang w:val="ro-RO"/>
        </w:rPr>
        <w:t>” implementat de CSM în cadrul MFN 2009-2014;</w:t>
      </w:r>
    </w:p>
    <w:p w:rsidR="00647978" w:rsidRPr="00B80048" w:rsidRDefault="001848C7" w:rsidP="000F5BAD">
      <w:pPr>
        <w:pStyle w:val="Normal1"/>
        <w:numPr>
          <w:ilvl w:val="0"/>
          <w:numId w:val="3"/>
        </w:numPr>
        <w:spacing w:before="0" w:beforeAutospacing="0" w:after="0" w:afterAutospacing="0" w:line="276" w:lineRule="auto"/>
        <w:ind w:left="284" w:hanging="284"/>
        <w:jc w:val="both"/>
        <w:rPr>
          <w:rFonts w:ascii="Trebuchet MS" w:hAnsi="Trebuchet MS" w:cs="Arial"/>
          <w:sz w:val="22"/>
          <w:szCs w:val="22"/>
          <w:lang w:val="ro-RO"/>
        </w:rPr>
      </w:pPr>
      <w:r w:rsidRPr="00B80048">
        <w:rPr>
          <w:rFonts w:ascii="Trebuchet MS" w:hAnsi="Trebuchet MS" w:cs="Arial"/>
          <w:sz w:val="22"/>
          <w:szCs w:val="22"/>
          <w:lang w:val="ro-RO"/>
        </w:rPr>
        <w:t xml:space="preserve">organizarea de </w:t>
      </w:r>
      <w:r w:rsidR="008E225D" w:rsidRPr="00B80048">
        <w:rPr>
          <w:rFonts w:ascii="Trebuchet MS" w:hAnsi="Trebuchet MS" w:cs="Arial"/>
          <w:sz w:val="22"/>
          <w:szCs w:val="22"/>
          <w:lang w:val="ro-RO"/>
        </w:rPr>
        <w:t>conferințe</w:t>
      </w:r>
      <w:r w:rsidR="00633965" w:rsidRPr="00B80048">
        <w:rPr>
          <w:rFonts w:ascii="Trebuchet MS" w:hAnsi="Trebuchet MS" w:cs="Arial"/>
          <w:sz w:val="22"/>
          <w:szCs w:val="22"/>
          <w:lang w:val="ro-RO"/>
        </w:rPr>
        <w:t xml:space="preserve"> pentru dezbateri între </w:t>
      </w:r>
      <w:r w:rsidR="008E225D" w:rsidRPr="00B80048">
        <w:rPr>
          <w:rFonts w:ascii="Trebuchet MS" w:hAnsi="Trebuchet MS" w:cs="Arial"/>
          <w:sz w:val="22"/>
          <w:szCs w:val="22"/>
          <w:lang w:val="ro-RO"/>
        </w:rPr>
        <w:t>profesioniștii</w:t>
      </w:r>
      <w:r w:rsidR="00633965" w:rsidRPr="00B80048">
        <w:rPr>
          <w:rFonts w:ascii="Trebuchet MS" w:hAnsi="Trebuchet MS" w:cs="Arial"/>
          <w:sz w:val="22"/>
          <w:szCs w:val="22"/>
          <w:lang w:val="ro-RO"/>
        </w:rPr>
        <w:t xml:space="preserve"> din cadrul sistemului judiciar cu privire la </w:t>
      </w:r>
      <w:r w:rsidR="008E225D" w:rsidRPr="00B80048">
        <w:rPr>
          <w:rFonts w:ascii="Trebuchet MS" w:hAnsi="Trebuchet MS" w:cs="Arial"/>
          <w:sz w:val="22"/>
          <w:szCs w:val="22"/>
          <w:lang w:val="ro-RO"/>
        </w:rPr>
        <w:t>legislația</w:t>
      </w:r>
      <w:r w:rsidR="00633965" w:rsidRPr="00B80048">
        <w:rPr>
          <w:rFonts w:ascii="Trebuchet MS" w:hAnsi="Trebuchet MS" w:cs="Arial"/>
          <w:sz w:val="22"/>
          <w:szCs w:val="22"/>
          <w:lang w:val="ro-RO"/>
        </w:rPr>
        <w:t xml:space="preserve"> europeană/</w:t>
      </w:r>
      <w:r w:rsidR="00593ED1">
        <w:rPr>
          <w:rFonts w:ascii="Trebuchet MS" w:hAnsi="Trebuchet MS" w:cs="Arial"/>
          <w:sz w:val="22"/>
          <w:szCs w:val="22"/>
          <w:lang w:val="ro-RO"/>
        </w:rPr>
        <w:t xml:space="preserve"> </w:t>
      </w:r>
      <w:r w:rsidR="008E225D" w:rsidRPr="00B80048">
        <w:rPr>
          <w:rFonts w:ascii="Trebuchet MS" w:hAnsi="Trebuchet MS" w:cs="Arial"/>
          <w:sz w:val="22"/>
          <w:szCs w:val="22"/>
          <w:lang w:val="ro-RO"/>
        </w:rPr>
        <w:t>națională</w:t>
      </w:r>
      <w:r w:rsidR="00633965" w:rsidRPr="00B80048">
        <w:rPr>
          <w:rFonts w:ascii="Trebuchet MS" w:hAnsi="Trebuchet MS" w:cs="Arial"/>
          <w:sz w:val="22"/>
          <w:szCs w:val="22"/>
          <w:lang w:val="ro-RO"/>
        </w:rPr>
        <w:t xml:space="preserve"> în materia accesului la </w:t>
      </w:r>
      <w:r w:rsidR="008E225D" w:rsidRPr="00B80048">
        <w:rPr>
          <w:rFonts w:ascii="Trebuchet MS" w:hAnsi="Trebuchet MS" w:cs="Arial"/>
          <w:sz w:val="22"/>
          <w:szCs w:val="22"/>
          <w:lang w:val="ro-RO"/>
        </w:rPr>
        <w:t>justiție</w:t>
      </w:r>
      <w:r w:rsidR="00633965" w:rsidRPr="00B80048">
        <w:rPr>
          <w:rFonts w:ascii="Trebuchet MS" w:hAnsi="Trebuchet MS" w:cs="Arial"/>
          <w:sz w:val="22"/>
          <w:szCs w:val="22"/>
          <w:lang w:val="ro-RO"/>
        </w:rPr>
        <w:t xml:space="preserve">, precum </w:t>
      </w:r>
      <w:r w:rsidR="008E225D" w:rsidRPr="00B80048">
        <w:rPr>
          <w:rFonts w:ascii="Trebuchet MS" w:hAnsi="Trebuchet MS" w:cs="Arial"/>
          <w:sz w:val="22"/>
          <w:szCs w:val="22"/>
          <w:lang w:val="ro-RO"/>
        </w:rPr>
        <w:t>și</w:t>
      </w:r>
      <w:r w:rsidR="00633965" w:rsidRPr="00B80048">
        <w:rPr>
          <w:rFonts w:ascii="Trebuchet MS" w:hAnsi="Trebuchet MS" w:cs="Arial"/>
          <w:sz w:val="22"/>
          <w:szCs w:val="22"/>
          <w:lang w:val="ro-RO"/>
        </w:rPr>
        <w:t xml:space="preserve"> cu privire la </w:t>
      </w:r>
      <w:r w:rsidR="008E225D" w:rsidRPr="00B80048">
        <w:rPr>
          <w:rFonts w:ascii="Trebuchet MS" w:hAnsi="Trebuchet MS" w:cs="Arial"/>
          <w:sz w:val="22"/>
          <w:szCs w:val="22"/>
          <w:lang w:val="ro-RO"/>
        </w:rPr>
        <w:t>jurisprudența</w:t>
      </w:r>
      <w:r w:rsidR="00633965" w:rsidRPr="00B80048">
        <w:rPr>
          <w:rFonts w:ascii="Trebuchet MS" w:hAnsi="Trebuchet MS" w:cs="Arial"/>
          <w:sz w:val="22"/>
          <w:szCs w:val="22"/>
          <w:lang w:val="ro-RO"/>
        </w:rPr>
        <w:t xml:space="preserve"> CEDO în materie</w:t>
      </w:r>
      <w:r w:rsidRPr="00B80048">
        <w:rPr>
          <w:rFonts w:ascii="Trebuchet MS" w:hAnsi="Trebuchet MS" w:cs="Arial"/>
          <w:sz w:val="22"/>
          <w:szCs w:val="22"/>
          <w:lang w:val="ro-RO"/>
        </w:rPr>
        <w:t xml:space="preserve">. </w:t>
      </w:r>
    </w:p>
    <w:p w:rsidR="009E3ACC" w:rsidRPr="00B80048" w:rsidRDefault="009E3ACC" w:rsidP="009E3ACC">
      <w:pPr>
        <w:pStyle w:val="Normal1"/>
        <w:spacing w:before="0" w:beforeAutospacing="0" w:after="0" w:afterAutospacing="0" w:line="276" w:lineRule="auto"/>
        <w:ind w:left="284"/>
        <w:jc w:val="both"/>
        <w:rPr>
          <w:rFonts w:ascii="Trebuchet MS" w:hAnsi="Trebuchet MS" w:cs="Arial"/>
          <w:sz w:val="22"/>
          <w:szCs w:val="22"/>
          <w:lang w:val="ro-RO"/>
        </w:rPr>
      </w:pPr>
    </w:p>
    <w:p w:rsidR="00647978" w:rsidRPr="00B80048" w:rsidRDefault="00633965" w:rsidP="0063396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tabs>
          <w:tab w:val="center" w:pos="4536"/>
          <w:tab w:val="right" w:pos="9072"/>
        </w:tabs>
        <w:spacing w:before="120" w:after="120" w:line="276" w:lineRule="auto"/>
        <w:ind w:left="0"/>
        <w:jc w:val="both"/>
        <w:rPr>
          <w:rStyle w:val="Hyperlink"/>
          <w:rFonts w:ascii="Trebuchet MS" w:hAnsi="Trebuchet MS" w:cs="Arial"/>
          <w:b/>
          <w:color w:val="auto"/>
          <w:lang w:val="ro-RO"/>
        </w:rPr>
      </w:pPr>
      <w:r w:rsidRPr="00282A93">
        <w:rPr>
          <w:rStyle w:val="Hyperlink"/>
          <w:rFonts w:ascii="Trebuchet MS" w:hAnsi="Trebuchet MS" w:cs="Arial"/>
          <w:b/>
          <w:i/>
          <w:color w:val="auto"/>
          <w:u w:val="none"/>
          <w:lang w:val="ro-RO"/>
        </w:rPr>
        <w:t>Componenta I</w:t>
      </w:r>
      <w:r w:rsidR="0049332F" w:rsidRPr="00282A93">
        <w:rPr>
          <w:rStyle w:val="Hyperlink"/>
          <w:rFonts w:ascii="Trebuchet MS" w:hAnsi="Trebuchet MS" w:cs="Arial"/>
          <w:b/>
          <w:i/>
          <w:color w:val="auto"/>
          <w:u w:val="none"/>
          <w:lang w:val="ro-RO"/>
        </w:rPr>
        <w:t>II</w:t>
      </w:r>
      <w:r w:rsidRPr="00282A93">
        <w:rPr>
          <w:rStyle w:val="Hyperlink"/>
          <w:rFonts w:ascii="Trebuchet MS" w:hAnsi="Trebuchet MS" w:cs="Arial"/>
          <w:b/>
          <w:i/>
          <w:color w:val="auto"/>
          <w:u w:val="none"/>
          <w:lang w:val="ro-RO"/>
        </w:rPr>
        <w:t>:</w:t>
      </w:r>
      <w:r w:rsidRPr="00282A93">
        <w:rPr>
          <w:rStyle w:val="Hyperlink"/>
          <w:rFonts w:ascii="Trebuchet MS" w:hAnsi="Trebuchet MS" w:cs="Arial"/>
          <w:b/>
          <w:color w:val="auto"/>
          <w:u w:val="none"/>
          <w:lang w:val="ro-RO"/>
        </w:rPr>
        <w:t xml:space="preserve"> </w:t>
      </w:r>
      <w:r w:rsidRPr="00282A93">
        <w:rPr>
          <w:rFonts w:ascii="Trebuchet MS" w:hAnsi="Trebuchet MS" w:cs="Arial"/>
          <w:lang w:val="ro-RO"/>
        </w:rPr>
        <w:t xml:space="preserve">Crearea unui mediu judiciar favorabil </w:t>
      </w:r>
      <w:r w:rsidR="007B5A29" w:rsidRPr="00282A93">
        <w:rPr>
          <w:rFonts w:ascii="Trebuchet MS" w:hAnsi="Trebuchet MS" w:cs="Arial"/>
          <w:lang w:val="ro-RO"/>
        </w:rPr>
        <w:t>minorilor (</w:t>
      </w:r>
      <w:r w:rsidRPr="00282A93">
        <w:rPr>
          <w:rFonts w:ascii="Trebuchet MS" w:hAnsi="Trebuchet MS" w:cs="Arial"/>
          <w:lang w:val="ro-RO"/>
        </w:rPr>
        <w:t>child-friendly justice</w:t>
      </w:r>
      <w:r w:rsidR="007B5A29" w:rsidRPr="00282A93">
        <w:rPr>
          <w:rFonts w:ascii="Trebuchet MS" w:hAnsi="Trebuchet MS" w:cs="Arial"/>
          <w:lang w:val="ro-RO"/>
        </w:rPr>
        <w:t>)</w:t>
      </w:r>
    </w:p>
    <w:p w:rsidR="00D9476F" w:rsidRPr="00B80048" w:rsidRDefault="00D9476F" w:rsidP="00D9476F">
      <w:pPr>
        <w:pStyle w:val="ListParagraph"/>
        <w:tabs>
          <w:tab w:val="center" w:pos="4536"/>
          <w:tab w:val="right" w:pos="9072"/>
        </w:tabs>
        <w:spacing w:before="120" w:after="120" w:line="276" w:lineRule="auto"/>
        <w:ind w:left="1134"/>
        <w:jc w:val="both"/>
        <w:rPr>
          <w:rStyle w:val="Hyperlink"/>
          <w:rFonts w:ascii="Trebuchet MS" w:hAnsi="Trebuchet MS"/>
          <w:b/>
          <w:color w:val="auto"/>
          <w:u w:val="none"/>
          <w:lang w:val="ro-RO"/>
        </w:rPr>
      </w:pPr>
    </w:p>
    <w:p w:rsidR="00633965" w:rsidRPr="00B80048" w:rsidRDefault="00633965" w:rsidP="00633965">
      <w:pPr>
        <w:pStyle w:val="ListParagraph"/>
        <w:numPr>
          <w:ilvl w:val="0"/>
          <w:numId w:val="10"/>
        </w:numPr>
        <w:tabs>
          <w:tab w:val="center" w:pos="4536"/>
          <w:tab w:val="right" w:pos="9072"/>
        </w:tabs>
        <w:spacing w:before="120" w:after="120" w:line="276" w:lineRule="auto"/>
        <w:ind w:left="1134" w:hanging="425"/>
        <w:jc w:val="both"/>
        <w:rPr>
          <w:rStyle w:val="Hyperlink"/>
          <w:rFonts w:ascii="Trebuchet MS" w:hAnsi="Trebuchet MS"/>
          <w:b/>
          <w:color w:val="auto"/>
          <w:u w:val="none"/>
          <w:lang w:val="ro-RO"/>
        </w:rPr>
      </w:pPr>
      <w:r w:rsidRPr="00B80048">
        <w:rPr>
          <w:rStyle w:val="Hyperlink"/>
          <w:rFonts w:ascii="Trebuchet MS" w:hAnsi="Trebuchet MS" w:cs="Arial"/>
          <w:b/>
          <w:color w:val="auto"/>
          <w:u w:val="none"/>
          <w:lang w:val="ro-RO"/>
        </w:rPr>
        <w:t>exemple de activități potențiale</w:t>
      </w:r>
    </w:p>
    <w:p w:rsidR="00633965" w:rsidRPr="00B80048" w:rsidRDefault="00633965" w:rsidP="00633965">
      <w:pPr>
        <w:pStyle w:val="ListParagraph"/>
        <w:numPr>
          <w:ilvl w:val="0"/>
          <w:numId w:val="19"/>
        </w:numPr>
        <w:tabs>
          <w:tab w:val="center" w:pos="4536"/>
          <w:tab w:val="right" w:pos="9072"/>
        </w:tabs>
        <w:spacing w:before="120" w:after="120" w:line="276" w:lineRule="auto"/>
        <w:ind w:left="426" w:hanging="426"/>
        <w:jc w:val="both"/>
        <w:rPr>
          <w:rFonts w:ascii="Trebuchet MS" w:hAnsi="Trebuchet MS" w:cs="Arial"/>
          <w:lang w:val="ro-RO"/>
        </w:rPr>
      </w:pPr>
      <w:r w:rsidRPr="00B80048">
        <w:rPr>
          <w:rStyle w:val="Hyperlink"/>
          <w:rFonts w:ascii="Trebuchet MS" w:hAnsi="Trebuchet MS" w:cs="Arial"/>
          <w:color w:val="auto"/>
          <w:u w:val="none"/>
          <w:lang w:val="ro-RO"/>
        </w:rPr>
        <w:t xml:space="preserve">organizarea unor sesiuni de pregătire pentru judecători, procurori </w:t>
      </w:r>
      <w:r w:rsidR="00BC4837" w:rsidRPr="00B80048">
        <w:rPr>
          <w:rStyle w:val="Hyperlink"/>
          <w:rFonts w:ascii="Trebuchet MS" w:hAnsi="Trebuchet MS" w:cs="Arial"/>
          <w:color w:val="auto"/>
          <w:u w:val="none"/>
          <w:lang w:val="ro-RO"/>
        </w:rPr>
        <w:t>și</w:t>
      </w:r>
      <w:r w:rsidRPr="00B80048">
        <w:rPr>
          <w:rStyle w:val="Hyperlink"/>
          <w:rFonts w:ascii="Trebuchet MS" w:hAnsi="Trebuchet MS" w:cs="Arial"/>
          <w:color w:val="auto"/>
          <w:u w:val="none"/>
          <w:lang w:val="ro-RO"/>
        </w:rPr>
        <w:t xml:space="preserve"> </w:t>
      </w:r>
      <w:r w:rsidR="00BC4837" w:rsidRPr="00B80048">
        <w:rPr>
          <w:rStyle w:val="Hyperlink"/>
          <w:rFonts w:ascii="Trebuchet MS" w:hAnsi="Trebuchet MS" w:cs="Arial"/>
          <w:color w:val="auto"/>
          <w:u w:val="none"/>
          <w:lang w:val="ro-RO"/>
        </w:rPr>
        <w:t>alți</w:t>
      </w:r>
      <w:r w:rsidRPr="00B80048">
        <w:rPr>
          <w:rStyle w:val="Hyperlink"/>
          <w:rFonts w:ascii="Trebuchet MS" w:hAnsi="Trebuchet MS" w:cs="Arial"/>
          <w:color w:val="auto"/>
          <w:u w:val="none"/>
          <w:lang w:val="ro-RO"/>
        </w:rPr>
        <w:t xml:space="preserve"> </w:t>
      </w:r>
      <w:r w:rsidR="00BC4837" w:rsidRPr="00B80048">
        <w:rPr>
          <w:rStyle w:val="Hyperlink"/>
          <w:rFonts w:ascii="Trebuchet MS" w:hAnsi="Trebuchet MS" w:cs="Arial"/>
          <w:color w:val="auto"/>
          <w:u w:val="none"/>
          <w:lang w:val="ro-RO"/>
        </w:rPr>
        <w:t>profesioniști</w:t>
      </w:r>
      <w:r w:rsidRPr="00B80048">
        <w:rPr>
          <w:rStyle w:val="Hyperlink"/>
          <w:rFonts w:ascii="Trebuchet MS" w:hAnsi="Trebuchet MS" w:cs="Arial"/>
          <w:color w:val="auto"/>
          <w:u w:val="none"/>
          <w:lang w:val="ro-RO"/>
        </w:rPr>
        <w:t xml:space="preserve"> privind specificul </w:t>
      </w:r>
      <w:r w:rsidRPr="00B80048">
        <w:rPr>
          <w:rFonts w:ascii="Trebuchet MS" w:hAnsi="Trebuchet MS"/>
          <w:lang w:val="ro-RO"/>
        </w:rPr>
        <w:t>tehnicilor de audiere a minorilor/</w:t>
      </w:r>
      <w:r w:rsidR="00BC4837" w:rsidRPr="00B80048">
        <w:rPr>
          <w:rFonts w:ascii="Trebuchet MS" w:hAnsi="Trebuchet MS"/>
          <w:lang w:val="ro-RO"/>
        </w:rPr>
        <w:t xml:space="preserve"> </w:t>
      </w:r>
      <w:r w:rsidR="008E225D" w:rsidRPr="00B80048">
        <w:rPr>
          <w:rFonts w:ascii="Trebuchet MS" w:hAnsi="Trebuchet MS"/>
          <w:lang w:val="ro-RO"/>
        </w:rPr>
        <w:t>implicații</w:t>
      </w:r>
      <w:r w:rsidRPr="00B80048">
        <w:rPr>
          <w:rFonts w:ascii="Trebuchet MS" w:hAnsi="Trebuchet MS"/>
          <w:lang w:val="ro-RO"/>
        </w:rPr>
        <w:t xml:space="preserve"> de ordin psihologic</w:t>
      </w:r>
      <w:r w:rsidR="00615388" w:rsidRPr="00B80048">
        <w:rPr>
          <w:rFonts w:ascii="Trebuchet MS" w:hAnsi="Trebuchet MS"/>
          <w:lang w:val="ro-RO"/>
        </w:rPr>
        <w:t>;</w:t>
      </w:r>
      <w:r w:rsidR="000F5BAD" w:rsidRPr="00B80048">
        <w:rPr>
          <w:rStyle w:val="Hyperlink"/>
          <w:rFonts w:ascii="Trebuchet MS" w:hAnsi="Trebuchet MS" w:cs="Arial"/>
          <w:color w:val="auto"/>
          <w:u w:val="none"/>
          <w:lang w:val="ro-RO"/>
        </w:rPr>
        <w:t xml:space="preserve"> audierea minorilor atât în procesele civile</w:t>
      </w:r>
      <w:r w:rsidR="00BC4837" w:rsidRPr="00B80048">
        <w:rPr>
          <w:rStyle w:val="Hyperlink"/>
          <w:rFonts w:ascii="Trebuchet MS" w:hAnsi="Trebuchet MS" w:cs="Arial"/>
          <w:color w:val="auto"/>
          <w:u w:val="none"/>
          <w:lang w:val="ro-RO"/>
        </w:rPr>
        <w:t>,</w:t>
      </w:r>
      <w:r w:rsidR="000F5BAD" w:rsidRPr="00B80048">
        <w:rPr>
          <w:rStyle w:val="Hyperlink"/>
          <w:rFonts w:ascii="Trebuchet MS" w:hAnsi="Trebuchet MS" w:cs="Arial"/>
          <w:color w:val="auto"/>
          <w:u w:val="none"/>
          <w:lang w:val="ro-RO"/>
        </w:rPr>
        <w:t xml:space="preserve"> cât și </w:t>
      </w:r>
      <w:r w:rsidR="00A40079" w:rsidRPr="00B80048">
        <w:rPr>
          <w:rStyle w:val="Hyperlink"/>
          <w:rFonts w:ascii="Trebuchet MS" w:hAnsi="Trebuchet MS" w:cs="Arial"/>
          <w:color w:val="auto"/>
          <w:u w:val="none"/>
          <w:lang w:val="ro-RO"/>
        </w:rPr>
        <w:t xml:space="preserve">în </w:t>
      </w:r>
      <w:r w:rsidR="000F5BAD" w:rsidRPr="00B80048">
        <w:rPr>
          <w:rStyle w:val="Hyperlink"/>
          <w:rFonts w:ascii="Trebuchet MS" w:hAnsi="Trebuchet MS" w:cs="Arial"/>
          <w:color w:val="auto"/>
          <w:u w:val="none"/>
          <w:lang w:val="ro-RO"/>
        </w:rPr>
        <w:t>c</w:t>
      </w:r>
      <w:r w:rsidR="00E11140" w:rsidRPr="00B80048">
        <w:rPr>
          <w:rStyle w:val="Hyperlink"/>
          <w:rFonts w:ascii="Trebuchet MS" w:hAnsi="Trebuchet MS" w:cs="Arial"/>
          <w:color w:val="auto"/>
          <w:u w:val="none"/>
          <w:lang w:val="ro-RO"/>
        </w:rPr>
        <w:t>ele penale necesită pregătire</w:t>
      </w:r>
      <w:r w:rsidR="000F5BAD" w:rsidRPr="00B80048">
        <w:rPr>
          <w:rStyle w:val="Hyperlink"/>
          <w:rFonts w:ascii="Trebuchet MS" w:hAnsi="Trebuchet MS" w:cs="Arial"/>
          <w:color w:val="auto"/>
          <w:u w:val="none"/>
          <w:lang w:val="ro-RO"/>
        </w:rPr>
        <w:t xml:space="preserve">a magistraților cu privire la psihologia copilului, inclusiv înțelegerea consecințelor asupra comportamentului copilului, a mediului social în care </w:t>
      </w:r>
      <w:r w:rsidR="00BC4837" w:rsidRPr="00B80048">
        <w:rPr>
          <w:rStyle w:val="Hyperlink"/>
          <w:rFonts w:ascii="Trebuchet MS" w:hAnsi="Trebuchet MS" w:cs="Arial"/>
          <w:color w:val="auto"/>
          <w:u w:val="none"/>
          <w:lang w:val="ro-RO"/>
        </w:rPr>
        <w:t>trăiește</w:t>
      </w:r>
      <w:r w:rsidR="000F5BAD" w:rsidRPr="00B80048">
        <w:rPr>
          <w:rStyle w:val="Hyperlink"/>
          <w:rFonts w:ascii="Trebuchet MS" w:hAnsi="Trebuchet MS" w:cs="Arial"/>
          <w:color w:val="auto"/>
          <w:u w:val="none"/>
          <w:lang w:val="ro-RO"/>
        </w:rPr>
        <w:t xml:space="preserve">, dar și a relațiilor sociale și </w:t>
      </w:r>
      <w:r w:rsidR="00BC4837" w:rsidRPr="00B80048">
        <w:rPr>
          <w:rStyle w:val="Hyperlink"/>
          <w:rFonts w:ascii="Trebuchet MS" w:hAnsi="Trebuchet MS" w:cs="Arial"/>
          <w:color w:val="auto"/>
          <w:u w:val="none"/>
          <w:lang w:val="ro-RO"/>
        </w:rPr>
        <w:t>psihologice</w:t>
      </w:r>
      <w:r w:rsidR="000F5BAD" w:rsidRPr="00B80048">
        <w:rPr>
          <w:rStyle w:val="Hyperlink"/>
          <w:rFonts w:ascii="Trebuchet MS" w:hAnsi="Trebuchet MS" w:cs="Arial"/>
          <w:color w:val="auto"/>
          <w:u w:val="none"/>
          <w:lang w:val="ro-RO"/>
        </w:rPr>
        <w:t xml:space="preserve"> ale acestuia cu membrii familiei sale</w:t>
      </w:r>
      <w:r w:rsidR="00087C98" w:rsidRPr="00B80048">
        <w:rPr>
          <w:rStyle w:val="Hyperlink"/>
          <w:rFonts w:ascii="Trebuchet MS" w:hAnsi="Trebuchet MS" w:cs="Arial"/>
          <w:color w:val="auto"/>
          <w:u w:val="none"/>
          <w:lang w:val="ro-RO"/>
        </w:rPr>
        <w:t>.</w:t>
      </w:r>
    </w:p>
    <w:p w:rsidR="00647978" w:rsidRPr="00B80048" w:rsidRDefault="00615388" w:rsidP="000F5BAD">
      <w:pPr>
        <w:pStyle w:val="ListParagraph"/>
        <w:numPr>
          <w:ilvl w:val="0"/>
          <w:numId w:val="19"/>
        </w:numPr>
        <w:tabs>
          <w:tab w:val="center" w:pos="4536"/>
          <w:tab w:val="right" w:pos="9072"/>
        </w:tabs>
        <w:spacing w:before="120" w:after="120" w:line="276" w:lineRule="auto"/>
        <w:ind w:left="426" w:hanging="426"/>
        <w:jc w:val="both"/>
        <w:rPr>
          <w:rStyle w:val="Hyperlink"/>
          <w:rFonts w:ascii="Trebuchet MS" w:hAnsi="Trebuchet MS" w:cs="Arial"/>
          <w:color w:val="auto"/>
          <w:u w:val="none"/>
          <w:lang w:val="ro-RO"/>
        </w:rPr>
      </w:pPr>
      <w:r w:rsidRPr="00B80048">
        <w:rPr>
          <w:rFonts w:ascii="Trebuchet MS" w:hAnsi="Trebuchet MS"/>
          <w:lang w:val="ro-RO"/>
        </w:rPr>
        <w:t xml:space="preserve">organizarea </w:t>
      </w:r>
      <w:r w:rsidR="00E64F84" w:rsidRPr="00B80048">
        <w:rPr>
          <w:rFonts w:ascii="Trebuchet MS" w:hAnsi="Trebuchet MS"/>
          <w:lang w:val="ro-RO"/>
        </w:rPr>
        <w:t>unor</w:t>
      </w:r>
      <w:r w:rsidRPr="00B80048">
        <w:rPr>
          <w:rFonts w:ascii="Trebuchet MS" w:hAnsi="Trebuchet MS"/>
          <w:lang w:val="ro-RO"/>
        </w:rPr>
        <w:t xml:space="preserve"> schimburi de bune practici în Norvegia</w:t>
      </w:r>
      <w:r w:rsidR="00E64F84" w:rsidRPr="00B80048">
        <w:rPr>
          <w:rFonts w:ascii="Trebuchet MS" w:hAnsi="Trebuchet MS"/>
          <w:lang w:val="ro-RO"/>
        </w:rPr>
        <w:t>,</w:t>
      </w:r>
      <w:r w:rsidRPr="00B80048">
        <w:rPr>
          <w:rFonts w:ascii="Trebuchet MS" w:hAnsi="Trebuchet MS"/>
          <w:lang w:val="ro-RO"/>
        </w:rPr>
        <w:t xml:space="preserve"> în vederea familiarizării judecătorilor </w:t>
      </w:r>
      <w:r w:rsidR="00E64F84" w:rsidRPr="00B80048">
        <w:rPr>
          <w:rFonts w:ascii="Trebuchet MS" w:hAnsi="Trebuchet MS"/>
          <w:lang w:val="ro-RO"/>
        </w:rPr>
        <w:t xml:space="preserve">români </w:t>
      </w:r>
      <w:r w:rsidRPr="00B80048">
        <w:rPr>
          <w:rFonts w:ascii="Trebuchet MS" w:hAnsi="Trebuchet MS"/>
          <w:lang w:val="ro-RO"/>
        </w:rPr>
        <w:t>cu metodologia</w:t>
      </w:r>
      <w:r w:rsidR="00E64F84" w:rsidRPr="00B80048">
        <w:rPr>
          <w:rFonts w:ascii="Trebuchet MS" w:hAnsi="Trebuchet MS"/>
          <w:lang w:val="ro-RO"/>
        </w:rPr>
        <w:t xml:space="preserve"> </w:t>
      </w:r>
      <w:r w:rsidR="008E225D" w:rsidRPr="00B80048">
        <w:rPr>
          <w:rFonts w:ascii="Trebuchet MS" w:hAnsi="Trebuchet MS"/>
          <w:lang w:val="ro-RO"/>
        </w:rPr>
        <w:t>și</w:t>
      </w:r>
      <w:r w:rsidR="00E64F84" w:rsidRPr="00B80048">
        <w:rPr>
          <w:rFonts w:ascii="Trebuchet MS" w:hAnsi="Trebuchet MS"/>
          <w:lang w:val="ro-RO"/>
        </w:rPr>
        <w:t xml:space="preserve"> sistemele utilizate</w:t>
      </w:r>
      <w:r w:rsidRPr="00B80048">
        <w:rPr>
          <w:rFonts w:ascii="Trebuchet MS" w:hAnsi="Trebuchet MS"/>
          <w:lang w:val="ro-RO"/>
        </w:rPr>
        <w:t xml:space="preserve"> în Norvegia în ceea ce </w:t>
      </w:r>
      <w:r w:rsidR="008E225D" w:rsidRPr="00B80048">
        <w:rPr>
          <w:rFonts w:ascii="Trebuchet MS" w:hAnsi="Trebuchet MS"/>
          <w:lang w:val="ro-RO"/>
        </w:rPr>
        <w:t>privește</w:t>
      </w:r>
      <w:r w:rsidRPr="00B80048">
        <w:rPr>
          <w:rFonts w:ascii="Trebuchet MS" w:hAnsi="Trebuchet MS"/>
          <w:lang w:val="ro-RO"/>
        </w:rPr>
        <w:t xml:space="preserve"> abordarea cazurilor judiciare în care sunt </w:t>
      </w:r>
      <w:r w:rsidR="008E225D" w:rsidRPr="00B80048">
        <w:rPr>
          <w:rFonts w:ascii="Trebuchet MS" w:hAnsi="Trebuchet MS"/>
          <w:lang w:val="ro-RO"/>
        </w:rPr>
        <w:t>implicați</w:t>
      </w:r>
      <w:r w:rsidRPr="00B80048">
        <w:rPr>
          <w:rFonts w:ascii="Trebuchet MS" w:hAnsi="Trebuchet MS"/>
          <w:lang w:val="ro-RO"/>
        </w:rPr>
        <w:t xml:space="preserve"> minori.</w:t>
      </w:r>
    </w:p>
    <w:p w:rsidR="00E64F84" w:rsidRPr="00B80048" w:rsidRDefault="00E64F84" w:rsidP="00E64F84">
      <w:pPr>
        <w:pStyle w:val="ListParagraph"/>
        <w:tabs>
          <w:tab w:val="center" w:pos="4536"/>
          <w:tab w:val="right" w:pos="9072"/>
        </w:tabs>
        <w:spacing w:before="120" w:after="120" w:line="276" w:lineRule="auto"/>
        <w:ind w:left="284"/>
        <w:jc w:val="both"/>
        <w:rPr>
          <w:rFonts w:ascii="Trebuchet MS" w:hAnsi="Trebuchet MS" w:cs="Arial"/>
          <w:lang w:val="ro-RO"/>
        </w:rPr>
      </w:pPr>
    </w:p>
    <w:p w:rsidR="00355FB3" w:rsidRPr="00B80048" w:rsidRDefault="00355FB3" w:rsidP="00E64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tabs>
          <w:tab w:val="center" w:pos="4536"/>
          <w:tab w:val="right" w:pos="9072"/>
        </w:tabs>
        <w:spacing w:before="120" w:after="120" w:line="276" w:lineRule="auto"/>
        <w:jc w:val="both"/>
        <w:rPr>
          <w:rStyle w:val="Hyperlink"/>
          <w:rFonts w:ascii="Trebuchet MS" w:hAnsi="Trebuchet MS" w:cs="Arial"/>
          <w:b/>
          <w:color w:val="auto"/>
          <w:u w:val="none"/>
          <w:lang w:val="ro-RO"/>
        </w:rPr>
      </w:pPr>
      <w:r w:rsidRPr="00B80048">
        <w:rPr>
          <w:rStyle w:val="Hyperlink"/>
          <w:rFonts w:ascii="Trebuchet MS" w:hAnsi="Trebuchet MS" w:cs="Arial"/>
          <w:b/>
          <w:color w:val="auto"/>
          <w:u w:val="none"/>
          <w:lang w:val="ro-RO"/>
        </w:rPr>
        <w:t xml:space="preserve">Componenta </w:t>
      </w:r>
      <w:r w:rsidR="0049332F" w:rsidRPr="00B80048">
        <w:rPr>
          <w:rStyle w:val="Hyperlink"/>
          <w:rFonts w:ascii="Trebuchet MS" w:hAnsi="Trebuchet MS" w:cs="Arial"/>
          <w:b/>
          <w:color w:val="auto"/>
          <w:u w:val="none"/>
          <w:lang w:val="ro-RO"/>
        </w:rPr>
        <w:t>I</w:t>
      </w:r>
      <w:r w:rsidR="00E64F84" w:rsidRPr="00B80048">
        <w:rPr>
          <w:rStyle w:val="Hyperlink"/>
          <w:rFonts w:ascii="Trebuchet MS" w:hAnsi="Trebuchet MS" w:cs="Arial"/>
          <w:b/>
          <w:color w:val="auto"/>
          <w:u w:val="none"/>
          <w:lang w:val="ro-RO"/>
        </w:rPr>
        <w:t>V</w:t>
      </w:r>
      <w:r w:rsidRPr="00B80048">
        <w:rPr>
          <w:rStyle w:val="Hyperlink"/>
          <w:rFonts w:ascii="Trebuchet MS" w:hAnsi="Trebuchet MS" w:cs="Arial"/>
          <w:b/>
          <w:color w:val="auto"/>
          <w:u w:val="none"/>
          <w:lang w:val="ro-RO"/>
        </w:rPr>
        <w:t xml:space="preserve"> – Modernizarea infrastructurii </w:t>
      </w:r>
      <w:r w:rsidR="009E3ACC" w:rsidRPr="00B80048">
        <w:rPr>
          <w:rStyle w:val="Hyperlink"/>
          <w:rFonts w:ascii="Trebuchet MS" w:hAnsi="Trebuchet MS" w:cs="Arial"/>
          <w:b/>
          <w:color w:val="auto"/>
          <w:u w:val="none"/>
          <w:lang w:val="ro-RO"/>
        </w:rPr>
        <w:t xml:space="preserve">IT </w:t>
      </w:r>
      <w:r w:rsidR="001F27C3" w:rsidRPr="00B80048">
        <w:rPr>
          <w:rStyle w:val="Hyperlink"/>
          <w:rFonts w:ascii="Trebuchet MS" w:hAnsi="Trebuchet MS" w:cs="Arial"/>
          <w:b/>
          <w:color w:val="auto"/>
          <w:u w:val="none"/>
          <w:lang w:val="ro-RO"/>
        </w:rPr>
        <w:t xml:space="preserve">pentru </w:t>
      </w:r>
      <w:r w:rsidR="00E64F84" w:rsidRPr="00B80048">
        <w:rPr>
          <w:rFonts w:ascii="Trebuchet MS" w:hAnsi="Trebuchet MS" w:cs="Arial"/>
          <w:b/>
          <w:lang w:val="ro-RO"/>
        </w:rPr>
        <w:t>instanțe, parchete, CSM/INM/SNG</w:t>
      </w:r>
      <w:r w:rsidR="009E3ACC" w:rsidRPr="00B80048">
        <w:rPr>
          <w:rStyle w:val="Hyperlink"/>
          <w:rFonts w:ascii="Trebuchet MS" w:hAnsi="Trebuchet MS" w:cs="Arial"/>
          <w:b/>
          <w:color w:val="auto"/>
          <w:u w:val="none"/>
          <w:lang w:val="ro-RO"/>
        </w:rPr>
        <w:t xml:space="preserve"> </w:t>
      </w:r>
    </w:p>
    <w:p w:rsidR="00E64F84" w:rsidRPr="00B80048" w:rsidRDefault="00E64F84" w:rsidP="00E64F84">
      <w:pPr>
        <w:pStyle w:val="ListParagraph"/>
        <w:numPr>
          <w:ilvl w:val="0"/>
          <w:numId w:val="10"/>
        </w:numPr>
        <w:tabs>
          <w:tab w:val="center" w:pos="4536"/>
          <w:tab w:val="right" w:pos="9072"/>
        </w:tabs>
        <w:spacing w:before="120" w:after="120" w:line="276" w:lineRule="auto"/>
        <w:ind w:left="1134" w:hanging="425"/>
        <w:jc w:val="both"/>
        <w:rPr>
          <w:rStyle w:val="Hyperlink"/>
          <w:rFonts w:ascii="Trebuchet MS" w:hAnsi="Trebuchet MS"/>
          <w:b/>
          <w:color w:val="auto"/>
          <w:u w:val="none"/>
          <w:lang w:val="ro-RO"/>
        </w:rPr>
      </w:pPr>
      <w:r w:rsidRPr="00B80048">
        <w:rPr>
          <w:rStyle w:val="Hyperlink"/>
          <w:rFonts w:ascii="Trebuchet MS" w:hAnsi="Trebuchet MS" w:cs="Arial"/>
          <w:b/>
          <w:color w:val="auto"/>
          <w:u w:val="none"/>
          <w:lang w:val="ro-RO"/>
        </w:rPr>
        <w:t>exemple de activități potențiale</w:t>
      </w:r>
    </w:p>
    <w:p w:rsidR="001F27C3" w:rsidRPr="00B80048" w:rsidRDefault="001F27C3" w:rsidP="001F27C3">
      <w:pPr>
        <w:pStyle w:val="ListParagraph"/>
        <w:numPr>
          <w:ilvl w:val="0"/>
          <w:numId w:val="22"/>
        </w:numPr>
        <w:tabs>
          <w:tab w:val="center" w:pos="4536"/>
          <w:tab w:val="right" w:pos="9072"/>
        </w:tabs>
        <w:spacing w:before="120" w:after="120" w:line="276" w:lineRule="auto"/>
        <w:ind w:left="426" w:hanging="426"/>
        <w:jc w:val="both"/>
        <w:rPr>
          <w:rStyle w:val="Hyperlink"/>
          <w:rFonts w:ascii="Trebuchet MS" w:hAnsi="Trebuchet MS" w:cs="Arial"/>
          <w:color w:val="auto"/>
          <w:u w:val="none"/>
          <w:lang w:val="ro-RO"/>
        </w:rPr>
      </w:pPr>
      <w:r w:rsidRPr="00B80048">
        <w:rPr>
          <w:rStyle w:val="Hyperlink"/>
          <w:rFonts w:ascii="Trebuchet MS" w:hAnsi="Trebuchet MS" w:cs="Arial"/>
          <w:color w:val="auto"/>
          <w:u w:val="none"/>
          <w:lang w:val="ro-RO"/>
        </w:rPr>
        <w:t xml:space="preserve">îmbunătățirea echipamentelor tehnice și IT de </w:t>
      </w:r>
      <w:r w:rsidR="006D7C93" w:rsidRPr="00B80048">
        <w:rPr>
          <w:rStyle w:val="Hyperlink"/>
          <w:rFonts w:ascii="Trebuchet MS" w:hAnsi="Trebuchet MS" w:cs="Arial"/>
          <w:color w:val="auto"/>
          <w:u w:val="none"/>
          <w:lang w:val="ro-RO"/>
        </w:rPr>
        <w:t>formare</w:t>
      </w:r>
      <w:r w:rsidRPr="00B80048">
        <w:rPr>
          <w:rStyle w:val="Hyperlink"/>
          <w:rFonts w:ascii="Trebuchet MS" w:hAnsi="Trebuchet MS" w:cs="Arial"/>
          <w:color w:val="auto"/>
          <w:u w:val="none"/>
          <w:lang w:val="ro-RO"/>
        </w:rPr>
        <w:t>.</w:t>
      </w:r>
    </w:p>
    <w:p w:rsidR="00236586" w:rsidRPr="00B80048" w:rsidRDefault="00236586" w:rsidP="00236586">
      <w:pPr>
        <w:tabs>
          <w:tab w:val="center" w:pos="4536"/>
          <w:tab w:val="right" w:pos="9072"/>
        </w:tabs>
        <w:spacing w:before="120" w:after="120" w:line="276" w:lineRule="auto"/>
        <w:jc w:val="both"/>
        <w:rPr>
          <w:rStyle w:val="Hyperlink"/>
          <w:rFonts w:ascii="Trebuchet MS" w:hAnsi="Trebuchet MS" w:cs="Arial"/>
          <w:color w:val="auto"/>
          <w:u w:val="none"/>
          <w:lang w:val="ro-RO"/>
        </w:rPr>
      </w:pPr>
    </w:p>
    <w:p w:rsidR="00355FB3" w:rsidRPr="00B80048" w:rsidRDefault="00B80048" w:rsidP="00B80048">
      <w:pPr>
        <w:pStyle w:val="ListParagraph"/>
        <w:numPr>
          <w:ilvl w:val="0"/>
          <w:numId w:val="1"/>
        </w:numPr>
        <w:spacing w:before="80" w:after="60" w:line="276" w:lineRule="auto"/>
        <w:jc w:val="both"/>
        <w:rPr>
          <w:rFonts w:ascii="Trebuchet MS" w:hAnsi="Trebuchet MS" w:cs="Arial"/>
          <w:b/>
          <w:lang w:val="ro-RO"/>
        </w:rPr>
      </w:pPr>
      <w:r w:rsidRPr="00B80048">
        <w:rPr>
          <w:rFonts w:ascii="Trebuchet MS" w:hAnsi="Trebuchet MS" w:cs="Arial"/>
          <w:b/>
          <w:lang w:val="ro-RO"/>
        </w:rPr>
        <w:t>Nevoi identificate și acțiuni propuse de PÎCCJ în cadrul proiectul</w:t>
      </w:r>
      <w:r w:rsidR="00804779">
        <w:rPr>
          <w:rFonts w:ascii="Trebuchet MS" w:hAnsi="Trebuchet MS" w:cs="Arial"/>
          <w:b/>
          <w:lang w:val="ro-RO"/>
        </w:rPr>
        <w:t>ui</w:t>
      </w:r>
      <w:r w:rsidRPr="00B80048">
        <w:rPr>
          <w:rFonts w:ascii="Trebuchet MS" w:hAnsi="Trebuchet MS" w:cs="Arial"/>
          <w:b/>
          <w:lang w:val="ro-RO"/>
        </w:rPr>
        <w:t xml:space="preserve"> predefinit privind  </w:t>
      </w:r>
      <w:r w:rsidRPr="00FC711C">
        <w:rPr>
          <w:rFonts w:ascii="Trebuchet MS" w:hAnsi="Trebuchet MS" w:cs="Arial"/>
          <w:b/>
          <w:i/>
          <w:lang w:val="ro-RO"/>
        </w:rPr>
        <w:t>lupta împotriva criminalității și corupției</w:t>
      </w:r>
      <w:r w:rsidRPr="00B80048">
        <w:rPr>
          <w:rFonts w:ascii="Trebuchet MS" w:hAnsi="Trebuchet MS" w:cs="Arial"/>
          <w:b/>
          <w:lang w:val="ro-RO"/>
        </w:rPr>
        <w:t>, finanțat de Mecanismul Financiar Norvegian 2014-2021</w:t>
      </w:r>
    </w:p>
    <w:p w:rsidR="00295FB8" w:rsidRDefault="00295FB8" w:rsidP="00B80048">
      <w:pPr>
        <w:pStyle w:val="Normal1"/>
        <w:spacing w:before="0" w:beforeAutospacing="0" w:after="0" w:afterAutospacing="0" w:line="276" w:lineRule="auto"/>
        <w:jc w:val="both"/>
        <w:rPr>
          <w:rFonts w:ascii="Trebuchet MS" w:hAnsi="Trebuchet MS" w:cs="Arial"/>
          <w:sz w:val="22"/>
          <w:szCs w:val="22"/>
          <w:lang w:val="ro-RO"/>
        </w:rPr>
      </w:pPr>
    </w:p>
    <w:p w:rsidR="00B80048" w:rsidRPr="00295FB8" w:rsidRDefault="00B80048" w:rsidP="00B80048">
      <w:pPr>
        <w:pStyle w:val="Normal1"/>
        <w:spacing w:before="0" w:beforeAutospacing="0" w:after="0" w:afterAutospacing="0" w:line="276" w:lineRule="auto"/>
        <w:jc w:val="both"/>
        <w:rPr>
          <w:rFonts w:ascii="Trebuchet MS" w:hAnsi="Trebuchet MS" w:cs="Arial"/>
          <w:sz w:val="22"/>
          <w:szCs w:val="22"/>
          <w:lang w:val="ro-RO"/>
        </w:rPr>
      </w:pPr>
      <w:r w:rsidRPr="00295FB8">
        <w:rPr>
          <w:rFonts w:ascii="Trebuchet MS" w:hAnsi="Trebuchet MS" w:cs="Arial"/>
          <w:sz w:val="22"/>
          <w:szCs w:val="22"/>
          <w:lang w:val="ro-RO"/>
        </w:rPr>
        <w:t xml:space="preserve">- </w:t>
      </w:r>
      <w:r w:rsidR="00C6798C" w:rsidRPr="00295FB8">
        <w:rPr>
          <w:rFonts w:ascii="Trebuchet MS" w:hAnsi="Trebuchet MS" w:cs="Arial"/>
          <w:sz w:val="22"/>
          <w:szCs w:val="22"/>
          <w:lang w:val="ro-RO"/>
        </w:rPr>
        <w:t xml:space="preserve">Componenta </w:t>
      </w:r>
      <w:r w:rsidRPr="00295FB8">
        <w:rPr>
          <w:rFonts w:ascii="Trebuchet MS" w:hAnsi="Trebuchet MS" w:cs="Arial"/>
          <w:sz w:val="22"/>
          <w:szCs w:val="22"/>
          <w:lang w:val="ro-RO"/>
        </w:rPr>
        <w:t>de consolidare instituțională va include dezvoltarea programei de formare și de ghiduri care vor fi utilizate în activități de formare subsecvente.</w:t>
      </w:r>
    </w:p>
    <w:p w:rsidR="00B80048" w:rsidRPr="00295FB8" w:rsidRDefault="00B80048" w:rsidP="00B80048">
      <w:pPr>
        <w:spacing w:line="276" w:lineRule="auto"/>
        <w:jc w:val="both"/>
        <w:rPr>
          <w:rFonts w:ascii="Trebuchet MS" w:hAnsi="Trebuchet MS" w:cs="Arial"/>
          <w:lang w:val="ro-RO"/>
        </w:rPr>
      </w:pPr>
      <w:r w:rsidRPr="00295FB8">
        <w:rPr>
          <w:rFonts w:ascii="Trebuchet MS" w:hAnsi="Trebuchet MS" w:cs="Arial"/>
          <w:lang w:val="ro-RO"/>
        </w:rPr>
        <w:t xml:space="preserve">- Prin formare se urmărește consolidarea capacității parchetelor de abordare a criminalității în domenii precum: infracțiuni de mediu, </w:t>
      </w:r>
      <w:r w:rsidR="00760E76" w:rsidRPr="00295FB8">
        <w:rPr>
          <w:rFonts w:ascii="Trebuchet MS" w:hAnsi="Trebuchet MS" w:cs="Arial"/>
          <w:lang w:val="ro-RO"/>
        </w:rPr>
        <w:t xml:space="preserve">corupție și infracțiuni asimilate celor de corupție, conflictul de interese, </w:t>
      </w:r>
      <w:r w:rsidR="00253C4B">
        <w:rPr>
          <w:rFonts w:ascii="Trebuchet MS" w:hAnsi="Trebuchet MS" w:cs="Arial"/>
          <w:lang w:val="ro-RO"/>
        </w:rPr>
        <w:t>evaziune fiscală</w:t>
      </w:r>
      <w:r w:rsidR="00760E76" w:rsidRPr="00295FB8">
        <w:rPr>
          <w:rFonts w:ascii="Trebuchet MS" w:hAnsi="Trebuchet MS" w:cs="Arial"/>
          <w:lang w:val="ro-RO"/>
        </w:rPr>
        <w:t xml:space="preserve">, tehnici de </w:t>
      </w:r>
      <w:r w:rsidR="00253C4B">
        <w:rPr>
          <w:rFonts w:ascii="Trebuchet MS" w:hAnsi="Trebuchet MS" w:cs="Arial"/>
          <w:lang w:val="ro-RO"/>
        </w:rPr>
        <w:t>audiere</w:t>
      </w:r>
      <w:bookmarkStart w:id="0" w:name="_GoBack"/>
      <w:bookmarkEnd w:id="0"/>
      <w:r w:rsidR="00760E76" w:rsidRPr="00295FB8">
        <w:rPr>
          <w:rFonts w:ascii="Trebuchet MS" w:hAnsi="Trebuchet MS" w:cs="Arial"/>
          <w:lang w:val="ro-RO"/>
        </w:rPr>
        <w:t xml:space="preserve"> etc.. Participanții vor fi selectați din toate structurile Ministerului Public și din alte instituții abilitate.</w:t>
      </w:r>
    </w:p>
    <w:p w:rsidR="00355FB3" w:rsidRPr="00B80048" w:rsidRDefault="00355FB3" w:rsidP="006F09A5">
      <w:pPr>
        <w:spacing w:line="276" w:lineRule="auto"/>
        <w:jc w:val="both"/>
        <w:rPr>
          <w:rFonts w:ascii="Trebuchet MS" w:hAnsi="Trebuchet MS" w:cs="Arial"/>
          <w:lang w:val="ro-RO"/>
        </w:rPr>
      </w:pPr>
    </w:p>
    <w:p w:rsidR="003C054F" w:rsidRPr="00B80048" w:rsidRDefault="00355FB3" w:rsidP="00B80048">
      <w:pPr>
        <w:pStyle w:val="ListParagraph"/>
        <w:numPr>
          <w:ilvl w:val="0"/>
          <w:numId w:val="1"/>
        </w:numPr>
        <w:spacing w:before="80" w:after="60" w:line="276" w:lineRule="auto"/>
        <w:jc w:val="both"/>
        <w:rPr>
          <w:rFonts w:ascii="Trebuchet MS" w:hAnsi="Trebuchet MS" w:cs="Arial"/>
          <w:b/>
          <w:lang w:val="ro-RO"/>
        </w:rPr>
      </w:pPr>
      <w:r w:rsidRPr="00B80048">
        <w:rPr>
          <w:rFonts w:ascii="Trebuchet MS" w:hAnsi="Trebuchet MS" w:cs="Arial"/>
          <w:b/>
          <w:lang w:val="ro-RO"/>
        </w:rPr>
        <w:t>Analiza discuțiilor/concluziilor din cadrul consultărilor</w:t>
      </w:r>
    </w:p>
    <w:p w:rsidR="00D901B6" w:rsidRPr="00B80048" w:rsidRDefault="00D901B6" w:rsidP="006F09A5">
      <w:pPr>
        <w:spacing w:line="276" w:lineRule="auto"/>
        <w:ind w:left="720"/>
        <w:jc w:val="both"/>
        <w:rPr>
          <w:rFonts w:ascii="Trebuchet MS" w:hAnsi="Trebuchet MS" w:cs="Arial"/>
          <w:lang w:val="ro-RO"/>
        </w:rPr>
      </w:pPr>
    </w:p>
    <w:p w:rsidR="00D901B6" w:rsidRPr="00B80048" w:rsidRDefault="00D901B6" w:rsidP="006F09A5">
      <w:pPr>
        <w:spacing w:line="276" w:lineRule="auto"/>
        <w:ind w:left="720"/>
        <w:jc w:val="both"/>
        <w:rPr>
          <w:rFonts w:ascii="Trebuchet MS" w:hAnsi="Trebuchet MS" w:cs="Arial"/>
          <w:lang w:val="ro-RO"/>
        </w:rPr>
      </w:pPr>
    </w:p>
    <w:sectPr w:rsidR="00D901B6" w:rsidRPr="00B80048" w:rsidSect="009053D7">
      <w:headerReference w:type="default" r:id="rId9"/>
      <w:footerReference w:type="default" r:id="rId10"/>
      <w:pgSz w:w="11906" w:h="16838"/>
      <w:pgMar w:top="2255" w:right="1133" w:bottom="568" w:left="1134" w:header="709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A01" w:rsidRDefault="00BC7A01" w:rsidP="006F09A5">
      <w:pPr>
        <w:spacing w:after="0" w:line="240" w:lineRule="auto"/>
      </w:pPr>
      <w:r>
        <w:separator/>
      </w:r>
    </w:p>
  </w:endnote>
  <w:endnote w:type="continuationSeparator" w:id="0">
    <w:p w:rsidR="00BC7A01" w:rsidRDefault="00BC7A01" w:rsidP="006F0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51661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3156" w:rsidRDefault="004531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3C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3156" w:rsidRDefault="00453156" w:rsidP="009053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A01" w:rsidRDefault="00BC7A01" w:rsidP="006F09A5">
      <w:pPr>
        <w:spacing w:after="0" w:line="240" w:lineRule="auto"/>
      </w:pPr>
      <w:r>
        <w:separator/>
      </w:r>
    </w:p>
  </w:footnote>
  <w:footnote w:type="continuationSeparator" w:id="0">
    <w:p w:rsidR="00BC7A01" w:rsidRDefault="00BC7A01" w:rsidP="006F09A5">
      <w:pPr>
        <w:spacing w:after="0" w:line="240" w:lineRule="auto"/>
      </w:pPr>
      <w:r>
        <w:continuationSeparator/>
      </w:r>
    </w:p>
  </w:footnote>
  <w:footnote w:id="1">
    <w:p w:rsidR="006F09A5" w:rsidRPr="00B97C25" w:rsidRDefault="006F09A5" w:rsidP="006F09A5">
      <w:pPr>
        <w:pStyle w:val="Default"/>
        <w:rPr>
          <w:rFonts w:ascii="Arial Narrow" w:hAnsi="Arial Narrow" w:cs="Calibri"/>
          <w:sz w:val="20"/>
          <w:szCs w:val="20"/>
          <w:lang w:val="ro-RO"/>
        </w:rPr>
      </w:pPr>
      <w:r w:rsidRPr="00B97C25">
        <w:rPr>
          <w:rStyle w:val="FootnoteReference"/>
          <w:rFonts w:ascii="Arial Narrow" w:hAnsi="Arial Narrow"/>
          <w:lang w:val="ro-RO"/>
        </w:rPr>
        <w:footnoteRef/>
      </w:r>
      <w:r w:rsidRPr="00B97C25">
        <w:rPr>
          <w:rFonts w:ascii="Arial Narrow" w:hAnsi="Arial Narrow"/>
          <w:lang w:val="ro-RO"/>
        </w:rPr>
        <w:t xml:space="preserve"> </w:t>
      </w:r>
      <w:r w:rsidRPr="00B97C25">
        <w:rPr>
          <w:rFonts w:ascii="Arial Narrow" w:hAnsi="Arial Narrow" w:cs="Calibri"/>
          <w:sz w:val="20"/>
          <w:szCs w:val="20"/>
          <w:lang w:val="ro-RO"/>
        </w:rPr>
        <w:t xml:space="preserve">Site-ul oficial al SEE și Granturile Norvegiene: </w:t>
      </w:r>
      <w:hyperlink r:id="rId1" w:history="1">
        <w:r w:rsidRPr="00B97C25">
          <w:rPr>
            <w:rStyle w:val="Hyperlink"/>
            <w:rFonts w:ascii="Arial Narrow" w:hAnsi="Arial Narrow" w:cs="Calibri"/>
            <w:sz w:val="20"/>
            <w:szCs w:val="20"/>
            <w:lang w:val="ro-RO"/>
          </w:rPr>
          <w:t>http://eeagrants.org/</w:t>
        </w:r>
      </w:hyperlink>
      <w:r w:rsidRPr="00B97C25">
        <w:rPr>
          <w:rFonts w:ascii="Arial Narrow" w:hAnsi="Arial Narrow" w:cs="Calibri"/>
          <w:sz w:val="20"/>
          <w:szCs w:val="20"/>
          <w:lang w:val="ro-RO"/>
        </w:rPr>
        <w:t xml:space="preserve">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3D7" w:rsidRDefault="009053D7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61312" behindDoc="1" locked="0" layoutInCell="1" allowOverlap="1" wp14:anchorId="561E657F" wp14:editId="67289A2B">
          <wp:simplePos x="0" y="0"/>
          <wp:positionH relativeFrom="margin">
            <wp:align>right</wp:align>
          </wp:positionH>
          <wp:positionV relativeFrom="margin">
            <wp:posOffset>-1220470</wp:posOffset>
          </wp:positionV>
          <wp:extent cx="1304925" cy="1304925"/>
          <wp:effectExtent l="0" t="0" r="9525" b="9525"/>
          <wp:wrapNone/>
          <wp:docPr id="83" name="Picture 83" descr="Norway+Grants+-+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rway+Grants+-+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3992">
      <w:rPr>
        <w:rFonts w:ascii="Arial" w:hAnsi="Arial" w:cs="Arial"/>
        <w:noProof/>
        <w:w w:val="90"/>
        <w:position w:val="-6"/>
        <w:sz w:val="15"/>
        <w:szCs w:val="15"/>
        <w:lang w:val="ro-RO" w:eastAsia="ro-RO"/>
      </w:rPr>
      <w:drawing>
        <wp:anchor distT="0" distB="0" distL="114300" distR="114300" simplePos="0" relativeHeight="251659264" behindDoc="0" locked="0" layoutInCell="1" allowOverlap="1" wp14:anchorId="66573B1B" wp14:editId="3B835B8B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239628" cy="657225"/>
          <wp:effectExtent l="0" t="0" r="8890" b="0"/>
          <wp:wrapNone/>
          <wp:docPr id="84" name="Picture 84" descr="C:\Users\marius.tudor\AppData\Local\Microsoft\Windows\INetCache\Content.Outlook\M0COJTA7\logo M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ius.tudor\AppData\Local\Microsoft\Windows\INetCache\Content.Outlook\M0COJTA7\logo MJ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628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63BAA"/>
    <w:multiLevelType w:val="hybridMultilevel"/>
    <w:tmpl w:val="3D24DA6C"/>
    <w:lvl w:ilvl="0" w:tplc="6A2A2768">
      <w:start w:val="1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9B60BD"/>
    <w:multiLevelType w:val="hybridMultilevel"/>
    <w:tmpl w:val="7A02135E"/>
    <w:lvl w:ilvl="0" w:tplc="617C6D3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22131A"/>
    <w:multiLevelType w:val="hybridMultilevel"/>
    <w:tmpl w:val="32B0D316"/>
    <w:lvl w:ilvl="0" w:tplc="C988F9C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537A6"/>
    <w:multiLevelType w:val="hybridMultilevel"/>
    <w:tmpl w:val="09C08C3E"/>
    <w:lvl w:ilvl="0" w:tplc="3030286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1E2630"/>
    <w:multiLevelType w:val="hybridMultilevel"/>
    <w:tmpl w:val="8528CE9E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780C33"/>
    <w:multiLevelType w:val="hybridMultilevel"/>
    <w:tmpl w:val="8D2A0CA6"/>
    <w:lvl w:ilvl="0" w:tplc="649647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A36750"/>
    <w:multiLevelType w:val="hybridMultilevel"/>
    <w:tmpl w:val="9E3CD388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906C0B"/>
    <w:multiLevelType w:val="hybridMultilevel"/>
    <w:tmpl w:val="33E430C6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7086C1A"/>
    <w:multiLevelType w:val="hybridMultilevel"/>
    <w:tmpl w:val="EACC5BCE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D266C5"/>
    <w:multiLevelType w:val="hybridMultilevel"/>
    <w:tmpl w:val="C90C5C6E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F7A5CC3"/>
    <w:multiLevelType w:val="hybridMultilevel"/>
    <w:tmpl w:val="E9CCF90A"/>
    <w:lvl w:ilvl="0" w:tplc="3030286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052ECC"/>
    <w:multiLevelType w:val="hybridMultilevel"/>
    <w:tmpl w:val="0E66A584"/>
    <w:lvl w:ilvl="0" w:tplc="3030286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4A11849"/>
    <w:multiLevelType w:val="hybridMultilevel"/>
    <w:tmpl w:val="B00C4A66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D1D0491"/>
    <w:multiLevelType w:val="hybridMultilevel"/>
    <w:tmpl w:val="ADA655AC"/>
    <w:lvl w:ilvl="0" w:tplc="6F4AE736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E5434E"/>
    <w:multiLevelType w:val="hybridMultilevel"/>
    <w:tmpl w:val="76203498"/>
    <w:lvl w:ilvl="0" w:tplc="0809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15">
    <w:nsid w:val="5F366080"/>
    <w:multiLevelType w:val="hybridMultilevel"/>
    <w:tmpl w:val="C2E6A8DC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0167268"/>
    <w:multiLevelType w:val="hybridMultilevel"/>
    <w:tmpl w:val="821875C0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2E36D7A"/>
    <w:multiLevelType w:val="hybridMultilevel"/>
    <w:tmpl w:val="7A6614C6"/>
    <w:lvl w:ilvl="0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5665727"/>
    <w:multiLevelType w:val="hybridMultilevel"/>
    <w:tmpl w:val="86E204D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7B60F83"/>
    <w:multiLevelType w:val="hybridMultilevel"/>
    <w:tmpl w:val="8C507416"/>
    <w:lvl w:ilvl="0" w:tplc="3030286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B771333"/>
    <w:multiLevelType w:val="hybridMultilevel"/>
    <w:tmpl w:val="72E2C3F4"/>
    <w:lvl w:ilvl="0" w:tplc="30302866">
      <w:numFmt w:val="bullet"/>
      <w:lvlText w:val="-"/>
      <w:lvlJc w:val="left"/>
      <w:pPr>
        <w:ind w:left="456" w:hanging="360"/>
      </w:pPr>
      <w:rPr>
        <w:rFonts w:ascii="Calibri" w:eastAsiaTheme="minorHAnsi" w:hAnsi="Calibri" w:cstheme="minorBidi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176" w:hanging="360"/>
      </w:pPr>
    </w:lvl>
    <w:lvl w:ilvl="2" w:tplc="0809001B" w:tentative="1">
      <w:start w:val="1"/>
      <w:numFmt w:val="lowerRoman"/>
      <w:lvlText w:val="%3."/>
      <w:lvlJc w:val="right"/>
      <w:pPr>
        <w:ind w:left="1896" w:hanging="180"/>
      </w:pPr>
    </w:lvl>
    <w:lvl w:ilvl="3" w:tplc="0809000F" w:tentative="1">
      <w:start w:val="1"/>
      <w:numFmt w:val="decimal"/>
      <w:lvlText w:val="%4."/>
      <w:lvlJc w:val="left"/>
      <w:pPr>
        <w:ind w:left="2616" w:hanging="360"/>
      </w:pPr>
    </w:lvl>
    <w:lvl w:ilvl="4" w:tplc="08090019" w:tentative="1">
      <w:start w:val="1"/>
      <w:numFmt w:val="lowerLetter"/>
      <w:lvlText w:val="%5."/>
      <w:lvlJc w:val="left"/>
      <w:pPr>
        <w:ind w:left="3336" w:hanging="360"/>
      </w:pPr>
    </w:lvl>
    <w:lvl w:ilvl="5" w:tplc="0809001B" w:tentative="1">
      <w:start w:val="1"/>
      <w:numFmt w:val="lowerRoman"/>
      <w:lvlText w:val="%6."/>
      <w:lvlJc w:val="right"/>
      <w:pPr>
        <w:ind w:left="4056" w:hanging="180"/>
      </w:pPr>
    </w:lvl>
    <w:lvl w:ilvl="6" w:tplc="0809000F" w:tentative="1">
      <w:start w:val="1"/>
      <w:numFmt w:val="decimal"/>
      <w:lvlText w:val="%7."/>
      <w:lvlJc w:val="left"/>
      <w:pPr>
        <w:ind w:left="4776" w:hanging="360"/>
      </w:pPr>
    </w:lvl>
    <w:lvl w:ilvl="7" w:tplc="08090019" w:tentative="1">
      <w:start w:val="1"/>
      <w:numFmt w:val="lowerLetter"/>
      <w:lvlText w:val="%8."/>
      <w:lvlJc w:val="left"/>
      <w:pPr>
        <w:ind w:left="5496" w:hanging="360"/>
      </w:pPr>
    </w:lvl>
    <w:lvl w:ilvl="8" w:tplc="08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1">
    <w:nsid w:val="790763F3"/>
    <w:multiLevelType w:val="hybridMultilevel"/>
    <w:tmpl w:val="43D24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5261F9"/>
    <w:multiLevelType w:val="hybridMultilevel"/>
    <w:tmpl w:val="3E68AA2A"/>
    <w:lvl w:ilvl="0" w:tplc="A538F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AB23EBD"/>
    <w:multiLevelType w:val="hybridMultilevel"/>
    <w:tmpl w:val="3498FF80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0"/>
  </w:num>
  <w:num w:numId="4">
    <w:abstractNumId w:val="20"/>
  </w:num>
  <w:num w:numId="5">
    <w:abstractNumId w:val="2"/>
  </w:num>
  <w:num w:numId="6">
    <w:abstractNumId w:val="12"/>
  </w:num>
  <w:num w:numId="7">
    <w:abstractNumId w:val="6"/>
  </w:num>
  <w:num w:numId="8">
    <w:abstractNumId w:val="23"/>
  </w:num>
  <w:num w:numId="9">
    <w:abstractNumId w:val="16"/>
  </w:num>
  <w:num w:numId="10">
    <w:abstractNumId w:val="18"/>
  </w:num>
  <w:num w:numId="11">
    <w:abstractNumId w:val="4"/>
  </w:num>
  <w:num w:numId="12">
    <w:abstractNumId w:val="15"/>
  </w:num>
  <w:num w:numId="13">
    <w:abstractNumId w:val="9"/>
  </w:num>
  <w:num w:numId="14">
    <w:abstractNumId w:val="7"/>
  </w:num>
  <w:num w:numId="15">
    <w:abstractNumId w:val="17"/>
  </w:num>
  <w:num w:numId="16">
    <w:abstractNumId w:val="8"/>
  </w:num>
  <w:num w:numId="17">
    <w:abstractNumId w:val="21"/>
  </w:num>
  <w:num w:numId="18">
    <w:abstractNumId w:val="14"/>
  </w:num>
  <w:num w:numId="19">
    <w:abstractNumId w:val="10"/>
  </w:num>
  <w:num w:numId="20">
    <w:abstractNumId w:val="11"/>
  </w:num>
  <w:num w:numId="21">
    <w:abstractNumId w:val="3"/>
  </w:num>
  <w:num w:numId="22">
    <w:abstractNumId w:val="19"/>
  </w:num>
  <w:num w:numId="23">
    <w:abstractNumId w:val="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0D5"/>
    <w:rsid w:val="00030C5A"/>
    <w:rsid w:val="000359FC"/>
    <w:rsid w:val="000430FE"/>
    <w:rsid w:val="00087C98"/>
    <w:rsid w:val="00096978"/>
    <w:rsid w:val="000C20F7"/>
    <w:rsid w:val="000D070D"/>
    <w:rsid w:val="000F5BAD"/>
    <w:rsid w:val="000F652C"/>
    <w:rsid w:val="000F761B"/>
    <w:rsid w:val="00124454"/>
    <w:rsid w:val="00155C02"/>
    <w:rsid w:val="001848C7"/>
    <w:rsid w:val="001C1D29"/>
    <w:rsid w:val="001D25CE"/>
    <w:rsid w:val="001F27C3"/>
    <w:rsid w:val="002009D7"/>
    <w:rsid w:val="0021387D"/>
    <w:rsid w:val="00236586"/>
    <w:rsid w:val="00253566"/>
    <w:rsid w:val="00253C4B"/>
    <w:rsid w:val="00282A93"/>
    <w:rsid w:val="00295FB8"/>
    <w:rsid w:val="002C31E9"/>
    <w:rsid w:val="002E2D3D"/>
    <w:rsid w:val="002E41C8"/>
    <w:rsid w:val="002F336F"/>
    <w:rsid w:val="003462BB"/>
    <w:rsid w:val="0035548B"/>
    <w:rsid w:val="00355FB3"/>
    <w:rsid w:val="003A63CE"/>
    <w:rsid w:val="003C054F"/>
    <w:rsid w:val="003E0C76"/>
    <w:rsid w:val="003E30D5"/>
    <w:rsid w:val="00400907"/>
    <w:rsid w:val="004144D8"/>
    <w:rsid w:val="00426C5C"/>
    <w:rsid w:val="00433D76"/>
    <w:rsid w:val="00435732"/>
    <w:rsid w:val="00453156"/>
    <w:rsid w:val="004712BF"/>
    <w:rsid w:val="0049332F"/>
    <w:rsid w:val="00493978"/>
    <w:rsid w:val="004A22DB"/>
    <w:rsid w:val="004B1453"/>
    <w:rsid w:val="004C76CA"/>
    <w:rsid w:val="00501FD9"/>
    <w:rsid w:val="00525EB2"/>
    <w:rsid w:val="00593ED1"/>
    <w:rsid w:val="005F0105"/>
    <w:rsid w:val="005F1906"/>
    <w:rsid w:val="00615388"/>
    <w:rsid w:val="00633965"/>
    <w:rsid w:val="00647978"/>
    <w:rsid w:val="00690214"/>
    <w:rsid w:val="006C3A35"/>
    <w:rsid w:val="006D7C93"/>
    <w:rsid w:val="006F09A5"/>
    <w:rsid w:val="00760E76"/>
    <w:rsid w:val="00772407"/>
    <w:rsid w:val="0077797E"/>
    <w:rsid w:val="007B5A29"/>
    <w:rsid w:val="00804779"/>
    <w:rsid w:val="008159E3"/>
    <w:rsid w:val="0084011B"/>
    <w:rsid w:val="00863280"/>
    <w:rsid w:val="008E225D"/>
    <w:rsid w:val="008F5992"/>
    <w:rsid w:val="009053D7"/>
    <w:rsid w:val="00906ADE"/>
    <w:rsid w:val="009E3ACC"/>
    <w:rsid w:val="00A071A2"/>
    <w:rsid w:val="00A40079"/>
    <w:rsid w:val="00A74922"/>
    <w:rsid w:val="00A75802"/>
    <w:rsid w:val="00A933C7"/>
    <w:rsid w:val="00AF7E78"/>
    <w:rsid w:val="00B26003"/>
    <w:rsid w:val="00B32D1B"/>
    <w:rsid w:val="00B80048"/>
    <w:rsid w:val="00B97C25"/>
    <w:rsid w:val="00BC4837"/>
    <w:rsid w:val="00BC7A01"/>
    <w:rsid w:val="00BD6C30"/>
    <w:rsid w:val="00C6798C"/>
    <w:rsid w:val="00C81038"/>
    <w:rsid w:val="00CB17DD"/>
    <w:rsid w:val="00D14638"/>
    <w:rsid w:val="00D34C34"/>
    <w:rsid w:val="00D446FB"/>
    <w:rsid w:val="00D47093"/>
    <w:rsid w:val="00D473D0"/>
    <w:rsid w:val="00D6751E"/>
    <w:rsid w:val="00D90035"/>
    <w:rsid w:val="00D901B6"/>
    <w:rsid w:val="00D9476F"/>
    <w:rsid w:val="00E11140"/>
    <w:rsid w:val="00E64F84"/>
    <w:rsid w:val="00E67B16"/>
    <w:rsid w:val="00E822B7"/>
    <w:rsid w:val="00E84BF4"/>
    <w:rsid w:val="00ED6BFD"/>
    <w:rsid w:val="00EE638C"/>
    <w:rsid w:val="00EE6DD7"/>
    <w:rsid w:val="00F15D09"/>
    <w:rsid w:val="00F244F3"/>
    <w:rsid w:val="00F32715"/>
    <w:rsid w:val="00F61811"/>
    <w:rsid w:val="00F6685B"/>
    <w:rsid w:val="00F8231E"/>
    <w:rsid w:val="00FA0311"/>
    <w:rsid w:val="00FB689E"/>
    <w:rsid w:val="00FC711C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EEDBED0-EE81-4492-B250-C3562818C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14638"/>
    <w:pPr>
      <w:keepNext/>
      <w:spacing w:before="240" w:after="60" w:line="240" w:lineRule="auto"/>
      <w:outlineLvl w:val="3"/>
    </w:pPr>
    <w:rPr>
      <w:rFonts w:ascii="Verdana" w:eastAsiaTheme="minorEastAsia" w:hAnsi="Verdana" w:cs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E30D5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D14638"/>
    <w:rPr>
      <w:rFonts w:ascii="Verdana" w:eastAsiaTheme="minorEastAsia" w:hAnsi="Verdana" w:cs="Arial"/>
      <w:b/>
      <w:bCs/>
      <w:i/>
    </w:rPr>
  </w:style>
  <w:style w:type="character" w:styleId="Hyperlink">
    <w:name w:val="Hyperlink"/>
    <w:uiPriority w:val="99"/>
    <w:rsid w:val="00D1463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1463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430FE"/>
  </w:style>
  <w:style w:type="character" w:customStyle="1" w:styleId="apple-converted-space">
    <w:name w:val="apple-converted-space"/>
    <w:basedOn w:val="DefaultParagraphFont"/>
    <w:rsid w:val="00647978"/>
  </w:style>
  <w:style w:type="paragraph" w:customStyle="1" w:styleId="Normal1">
    <w:name w:val="Normal1"/>
    <w:basedOn w:val="Normal"/>
    <w:rsid w:val="00647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9E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F09A5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09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09A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09A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F09A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1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FD9"/>
  </w:style>
  <w:style w:type="paragraph" w:styleId="Footer">
    <w:name w:val="footer"/>
    <w:basedOn w:val="Normal"/>
    <w:link w:val="FooterChar"/>
    <w:uiPriority w:val="99"/>
    <w:unhideWhenUsed/>
    <w:rsid w:val="00501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istentasee.fonduri-ue.ro/ro/memorandumur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eagrants.or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646AF-2DA3-4739-9C59-5C2220940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1141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Superior al Magistraturii</Company>
  <LinksUpToDate>false</LinksUpToDate>
  <CharactersWithSpaces>7750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Mirela, STANCU</dc:creator>
  <cp:keywords/>
  <dc:description/>
  <cp:lastModifiedBy>Ministerul Justitiei</cp:lastModifiedBy>
  <cp:revision>49</cp:revision>
  <cp:lastPrinted>2017-02-08T08:08:00Z</cp:lastPrinted>
  <dcterms:created xsi:type="dcterms:W3CDTF">2017-02-08T13:19:00Z</dcterms:created>
  <dcterms:modified xsi:type="dcterms:W3CDTF">2017-02-10T15:43:00Z</dcterms:modified>
</cp:coreProperties>
</file>