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AF" w:rsidRPr="00EE5264" w:rsidRDefault="004543AF" w:rsidP="0064218B">
      <w:pPr>
        <w:ind w:left="0"/>
        <w:jc w:val="right"/>
        <w:rPr>
          <w:rFonts w:cs="Arial"/>
          <w:lang w:val="ro-RO"/>
        </w:rPr>
      </w:pPr>
      <w:r w:rsidRPr="00EE5264">
        <w:rPr>
          <w:rFonts w:cs="Arial"/>
          <w:lang w:val="ro-RO"/>
        </w:rPr>
        <w:t>Exemplar nr. 1</w:t>
      </w:r>
    </w:p>
    <w:p w:rsidR="004543AF" w:rsidRPr="00EE5264" w:rsidRDefault="004543AF" w:rsidP="00D434B8">
      <w:pPr>
        <w:ind w:left="0"/>
        <w:jc w:val="center"/>
        <w:rPr>
          <w:rFonts w:cs="Arial"/>
          <w:b/>
          <w:lang w:val="ro-RO"/>
        </w:rPr>
      </w:pPr>
    </w:p>
    <w:p w:rsidR="004543AF" w:rsidRPr="00EE5264" w:rsidRDefault="004543AF" w:rsidP="00DC39D2">
      <w:pPr>
        <w:ind w:left="0"/>
        <w:jc w:val="center"/>
        <w:rPr>
          <w:rFonts w:cs="Arial"/>
          <w:b/>
          <w:lang w:val="ro-RO"/>
        </w:rPr>
      </w:pPr>
      <w:r w:rsidRPr="00EE5264">
        <w:rPr>
          <w:rFonts w:cs="Arial"/>
          <w:b/>
          <w:lang w:val="ro-RO"/>
        </w:rPr>
        <w:t>O R D I N  Nr. _____</w:t>
      </w:r>
    </w:p>
    <w:p w:rsidR="004543AF" w:rsidRDefault="004543AF" w:rsidP="00DC39D2">
      <w:pPr>
        <w:ind w:left="0"/>
        <w:rPr>
          <w:rFonts w:cs="Arial"/>
          <w:b/>
          <w:lang w:val="ro-RO"/>
        </w:rPr>
      </w:pPr>
    </w:p>
    <w:p w:rsidR="004543AF" w:rsidRPr="00EE5264" w:rsidRDefault="004543AF" w:rsidP="00DC39D2">
      <w:pPr>
        <w:ind w:left="0"/>
        <w:rPr>
          <w:rFonts w:cs="Arial"/>
          <w:b/>
          <w:lang w:val="ro-RO"/>
        </w:rPr>
      </w:pPr>
      <w:r w:rsidRPr="00EE5264">
        <w:rPr>
          <w:rFonts w:cs="Arial"/>
          <w:b/>
          <w:lang w:val="ro-RO"/>
        </w:rPr>
        <w:t>Ministrul Just</w:t>
      </w:r>
      <w:r>
        <w:rPr>
          <w:rFonts w:cs="Arial"/>
          <w:b/>
          <w:lang w:val="ro-RO"/>
        </w:rPr>
        <w:t>iţ</w:t>
      </w:r>
      <w:r w:rsidRPr="00EE5264">
        <w:rPr>
          <w:rFonts w:cs="Arial"/>
          <w:b/>
          <w:lang w:val="ro-RO"/>
        </w:rPr>
        <w:t xml:space="preserve">iei, </w:t>
      </w:r>
    </w:p>
    <w:p w:rsidR="004543AF" w:rsidRDefault="004543AF" w:rsidP="000D271C">
      <w:pPr>
        <w:spacing w:after="0" w:line="240" w:lineRule="auto"/>
        <w:ind w:left="0"/>
        <w:rPr>
          <w:rFonts w:cs="Arial"/>
          <w:lang w:val="ro-RO"/>
        </w:rPr>
      </w:pPr>
      <w:r w:rsidRPr="000D271C">
        <w:rPr>
          <w:rFonts w:cs="Arial"/>
          <w:lang w:val="ro-RO"/>
        </w:rPr>
        <w:t xml:space="preserve">Având în vedere dispoziţiile art. 87 alin. (1) din Legea nr. 303/2004 </w:t>
      </w:r>
      <w:r w:rsidRPr="000D271C">
        <w:rPr>
          <w:rFonts w:cs="Arial"/>
          <w:i/>
          <w:lang w:val="ro-RO"/>
        </w:rPr>
        <w:t>privind statutul judecătorilor şi procurorilor,</w:t>
      </w:r>
      <w:r w:rsidRPr="000D271C">
        <w:rPr>
          <w:rFonts w:cs="Arial"/>
          <w:lang w:val="ro-RO"/>
        </w:rPr>
        <w:t xml:space="preserve"> republicată, cu modificările şi completările ulterioare,</w:t>
      </w:r>
    </w:p>
    <w:p w:rsidR="004543AF" w:rsidRPr="000D271C" w:rsidRDefault="004543AF" w:rsidP="000D271C">
      <w:pPr>
        <w:spacing w:before="120" w:after="0" w:line="240" w:lineRule="auto"/>
        <w:ind w:left="0"/>
        <w:rPr>
          <w:rFonts w:cs="Arial"/>
          <w:lang w:val="ro-RO"/>
        </w:rPr>
      </w:pPr>
      <w:r w:rsidRPr="000D271C">
        <w:rPr>
          <w:rFonts w:cs="Arial"/>
          <w:lang w:val="ro-RO"/>
        </w:rPr>
        <w:t xml:space="preserve">Tinând seama de dispoziţiile art. 23 alin. 1 din Legea nr. 252/2013 </w:t>
      </w:r>
      <w:r w:rsidRPr="000D271C">
        <w:rPr>
          <w:rFonts w:cs="Arial"/>
          <w:i/>
          <w:lang w:val="ro-RO"/>
        </w:rPr>
        <w:t xml:space="preserve">privind organizarea şi funcţionarea sistemului de probaţiune, </w:t>
      </w:r>
      <w:r w:rsidRPr="000D271C">
        <w:rPr>
          <w:rFonts w:cs="Arial"/>
          <w:lang w:val="ro-RO"/>
        </w:rPr>
        <w:t xml:space="preserve">cu modificările şi completările ulterioare, </w:t>
      </w:r>
    </w:p>
    <w:p w:rsidR="004543AF" w:rsidRPr="000D271C" w:rsidRDefault="004543AF" w:rsidP="000D271C">
      <w:pPr>
        <w:spacing w:before="120" w:after="0" w:line="240" w:lineRule="auto"/>
        <w:ind w:left="0"/>
        <w:rPr>
          <w:rFonts w:cs="Arial"/>
          <w:lang w:val="ro-RO"/>
        </w:rPr>
      </w:pPr>
      <w:r w:rsidRPr="000D271C">
        <w:rPr>
          <w:rFonts w:cs="Arial"/>
          <w:lang w:val="ro-RO"/>
        </w:rPr>
        <w:t xml:space="preserve">Văzând prevederile art. 19 alin. (2) din Hotărârea Guvernului nr. 1.079/2013 </w:t>
      </w:r>
      <w:r w:rsidRPr="000D271C">
        <w:rPr>
          <w:rFonts w:cs="Arial"/>
          <w:i/>
          <w:lang w:val="ro-RO"/>
        </w:rPr>
        <w:t>pentru aprobarea Regulamentului de aplicare a dispoziţiilor Legii nr. 252/2013 privind organizarea şi funcţionarea sistemului de probaţiune</w:t>
      </w:r>
      <w:r w:rsidRPr="000D271C">
        <w:rPr>
          <w:rFonts w:cs="Arial"/>
          <w:lang w:val="ro-RO"/>
        </w:rPr>
        <w:t>, cu modificările şi completările ulterioare,</w:t>
      </w:r>
    </w:p>
    <w:p w:rsidR="004543AF" w:rsidRPr="000D271C" w:rsidRDefault="004543AF" w:rsidP="000D271C">
      <w:pPr>
        <w:spacing w:before="120" w:after="0" w:line="240" w:lineRule="auto"/>
        <w:ind w:left="0"/>
        <w:rPr>
          <w:rFonts w:cs="Arial"/>
          <w:lang w:val="ro-RO"/>
        </w:rPr>
      </w:pPr>
      <w:r w:rsidRPr="000D271C">
        <w:rPr>
          <w:rFonts w:cs="Arial"/>
          <w:lang w:val="ro-RO"/>
        </w:rPr>
        <w:t>În temeiul prevederilor art. 13</w:t>
      </w:r>
      <w:r>
        <w:rPr>
          <w:rFonts w:cs="Arial"/>
          <w:lang w:val="ro-RO"/>
        </w:rPr>
        <w:t xml:space="preserve"> şi art. 35 alin. (2)</w:t>
      </w:r>
      <w:r w:rsidRPr="000D271C">
        <w:rPr>
          <w:rFonts w:cs="Arial"/>
          <w:lang w:val="ro-RO"/>
        </w:rPr>
        <w:t xml:space="preserve"> din Hotărârea Guvernului nr. 652/2009 </w:t>
      </w:r>
      <w:r w:rsidRPr="0077674C">
        <w:rPr>
          <w:rFonts w:cs="Arial"/>
          <w:i/>
          <w:lang w:val="ro-RO"/>
        </w:rPr>
        <w:t>privind organizarea şi funcţionarea Ministerului Justiţiei,</w:t>
      </w:r>
      <w:r w:rsidRPr="000D271C">
        <w:rPr>
          <w:rFonts w:cs="Arial"/>
          <w:lang w:val="ro-RO"/>
        </w:rPr>
        <w:t xml:space="preserve"> cu modificările şi completările ulterioare,</w:t>
      </w:r>
    </w:p>
    <w:p w:rsidR="004543AF" w:rsidRPr="00EE5264" w:rsidRDefault="004543AF" w:rsidP="000D271C">
      <w:pPr>
        <w:spacing w:before="120"/>
        <w:ind w:left="0"/>
        <w:rPr>
          <w:rFonts w:cs="Arial"/>
          <w:b/>
          <w:lang w:val="ro-RO"/>
        </w:rPr>
      </w:pPr>
      <w:r w:rsidRPr="00EE5264">
        <w:rPr>
          <w:rFonts w:cs="Arial"/>
          <w:b/>
          <w:lang w:val="ro-RO"/>
        </w:rPr>
        <w:t xml:space="preserve">Emite următorul </w:t>
      </w:r>
    </w:p>
    <w:p w:rsidR="004543AF" w:rsidRPr="00EE5264" w:rsidRDefault="004543AF" w:rsidP="00D57031">
      <w:pPr>
        <w:pStyle w:val="Heading1"/>
        <w:spacing w:after="120"/>
        <w:ind w:left="0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EE5264">
        <w:rPr>
          <w:rFonts w:ascii="Trebuchet MS" w:hAnsi="Trebuchet MS" w:cs="Arial"/>
          <w:sz w:val="22"/>
          <w:szCs w:val="22"/>
          <w:lang w:val="ro-RO"/>
        </w:rPr>
        <w:t>O R D I N</w:t>
      </w:r>
    </w:p>
    <w:p w:rsidR="004543AF" w:rsidRPr="00E3702D" w:rsidRDefault="004543AF" w:rsidP="004C24DF">
      <w:pPr>
        <w:autoSpaceDE w:val="0"/>
        <w:autoSpaceDN w:val="0"/>
        <w:adjustRightInd w:val="0"/>
        <w:spacing w:after="0" w:line="240" w:lineRule="auto"/>
        <w:ind w:left="0"/>
        <w:jc w:val="left"/>
        <w:rPr>
          <w:b/>
          <w:lang w:val="ro-RO"/>
        </w:rPr>
      </w:pPr>
      <w:r w:rsidRPr="00E3702D">
        <w:rPr>
          <w:b/>
          <w:lang w:val="ro-RO"/>
        </w:rPr>
        <w:t>ART. 1</w:t>
      </w:r>
    </w:p>
    <w:p w:rsidR="004543AF" w:rsidRPr="00E3702D" w:rsidRDefault="004543AF" w:rsidP="00302C73">
      <w:pPr>
        <w:autoSpaceDE w:val="0"/>
        <w:autoSpaceDN w:val="0"/>
        <w:adjustRightInd w:val="0"/>
        <w:spacing w:after="0" w:line="240" w:lineRule="auto"/>
        <w:ind w:left="0"/>
        <w:rPr>
          <w:lang w:val="ro-RO"/>
        </w:rPr>
      </w:pPr>
      <w:r w:rsidRPr="00E3702D">
        <w:rPr>
          <w:lang w:val="ro-RO"/>
        </w:rPr>
        <w:t xml:space="preserve">Se aprobă </w:t>
      </w:r>
      <w:r w:rsidRPr="000743AB">
        <w:rPr>
          <w:i/>
          <w:lang w:val="ro-RO"/>
        </w:rPr>
        <w:t>Regulamentul privind organizarea şi desfăşurarea examenului de promovare a personalului de specialitate juridică, cu funcţii de execuţie, asimilat judecătorilor şi procurorilor, din cadrul Direcţiei Naţionale de Probaţiune</w:t>
      </w:r>
      <w:r w:rsidRPr="00E3702D">
        <w:rPr>
          <w:lang w:val="ro-RO"/>
        </w:rPr>
        <w:t>, prevăzut în anexa care face parte integrantă din prezentul ordin.</w:t>
      </w:r>
      <w:r>
        <w:rPr>
          <w:lang w:val="ro-RO"/>
        </w:rPr>
        <w:t xml:space="preserve"> </w:t>
      </w:r>
    </w:p>
    <w:p w:rsidR="004543AF" w:rsidRDefault="004543AF" w:rsidP="004F35B5">
      <w:pPr>
        <w:autoSpaceDE w:val="0"/>
        <w:autoSpaceDN w:val="0"/>
        <w:adjustRightInd w:val="0"/>
        <w:spacing w:before="120" w:after="0" w:line="240" w:lineRule="auto"/>
        <w:ind w:left="0"/>
        <w:rPr>
          <w:b/>
          <w:lang w:val="ro-RO"/>
        </w:rPr>
      </w:pPr>
      <w:r w:rsidRPr="00EE5264">
        <w:rPr>
          <w:b/>
          <w:lang w:val="ro-RO"/>
        </w:rPr>
        <w:t>ART. 2</w:t>
      </w:r>
    </w:p>
    <w:p w:rsidR="004543AF" w:rsidRPr="00EE5264" w:rsidRDefault="004543AF" w:rsidP="000743AB">
      <w:pPr>
        <w:autoSpaceDE w:val="0"/>
        <w:autoSpaceDN w:val="0"/>
        <w:adjustRightInd w:val="0"/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Direcţia resurse umane din cadrul </w:t>
      </w:r>
      <w:r w:rsidRPr="00EE5264">
        <w:rPr>
          <w:lang w:val="ro-RO"/>
        </w:rPr>
        <w:t>Direcţi</w:t>
      </w:r>
      <w:r>
        <w:rPr>
          <w:lang w:val="ro-RO"/>
        </w:rPr>
        <w:t>ei</w:t>
      </w:r>
      <w:r w:rsidRPr="00EE5264">
        <w:rPr>
          <w:lang w:val="ro-RO"/>
        </w:rPr>
        <w:t xml:space="preserve"> Na</w:t>
      </w:r>
      <w:r>
        <w:rPr>
          <w:lang w:val="ro-RO"/>
        </w:rPr>
        <w:t>ţ</w:t>
      </w:r>
      <w:r w:rsidRPr="00EE5264">
        <w:rPr>
          <w:lang w:val="ro-RO"/>
        </w:rPr>
        <w:t>ional</w:t>
      </w:r>
      <w:r>
        <w:rPr>
          <w:lang w:val="ro-RO"/>
        </w:rPr>
        <w:t>e</w:t>
      </w:r>
      <w:r w:rsidRPr="00EE5264">
        <w:rPr>
          <w:lang w:val="ro-RO"/>
        </w:rPr>
        <w:t xml:space="preserve"> de Probaţiune</w:t>
      </w:r>
      <w:r>
        <w:rPr>
          <w:lang w:val="ro-RO"/>
        </w:rPr>
        <w:t xml:space="preserve"> va</w:t>
      </w:r>
      <w:r w:rsidRPr="00EE5264">
        <w:rPr>
          <w:lang w:val="ro-RO"/>
        </w:rPr>
        <w:t xml:space="preserve"> </w:t>
      </w:r>
      <w:r>
        <w:rPr>
          <w:lang w:val="ro-RO"/>
        </w:rPr>
        <w:t>a</w:t>
      </w:r>
      <w:r w:rsidRPr="00EE5264">
        <w:rPr>
          <w:lang w:val="ro-RO"/>
        </w:rPr>
        <w:t>duce la îndeplinire prevederile prezentului ordin.</w:t>
      </w:r>
    </w:p>
    <w:p w:rsidR="004543AF" w:rsidRPr="00EE5264" w:rsidRDefault="004543AF" w:rsidP="004F35B5">
      <w:pPr>
        <w:autoSpaceDE w:val="0"/>
        <w:autoSpaceDN w:val="0"/>
        <w:adjustRightInd w:val="0"/>
        <w:spacing w:before="120" w:after="0" w:line="240" w:lineRule="auto"/>
        <w:ind w:left="0"/>
        <w:rPr>
          <w:b/>
          <w:lang w:val="ro-RO"/>
        </w:rPr>
      </w:pPr>
      <w:r w:rsidRPr="00EE5264">
        <w:rPr>
          <w:b/>
          <w:lang w:val="ro-RO"/>
        </w:rPr>
        <w:t>ART. 3</w:t>
      </w:r>
    </w:p>
    <w:p w:rsidR="004543AF" w:rsidRPr="00EE5264" w:rsidRDefault="004543AF" w:rsidP="000743AB">
      <w:pPr>
        <w:autoSpaceDE w:val="0"/>
        <w:autoSpaceDN w:val="0"/>
        <w:adjustRightInd w:val="0"/>
        <w:spacing w:after="0" w:line="240" w:lineRule="auto"/>
        <w:ind w:left="0"/>
        <w:rPr>
          <w:lang w:val="ro-RO"/>
        </w:rPr>
      </w:pPr>
      <w:r w:rsidRPr="00EE5264">
        <w:rPr>
          <w:lang w:val="ro-RO"/>
        </w:rPr>
        <w:t>Prezentul ordin se publică în Monitorul Oficial al României, Partea I, şi intră în vigoare la data publicării.</w:t>
      </w:r>
    </w:p>
    <w:p w:rsidR="004543AF" w:rsidRPr="00EE5264" w:rsidRDefault="004543AF" w:rsidP="00D57031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p w:rsidR="004543AF" w:rsidRDefault="004543AF" w:rsidP="00D57031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 w:firstLine="70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E5264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EE5264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EE5264">
        <w:rPr>
          <w:rFonts w:ascii="Trebuchet MS" w:hAnsi="Trebuchet MS" w:cs="Arial"/>
          <w:b/>
          <w:bCs/>
          <w:sz w:val="22"/>
          <w:szCs w:val="22"/>
          <w:lang w:val="ro-RO"/>
        </w:rPr>
        <w:t>Bucur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eş</w:t>
      </w:r>
      <w:r w:rsidRPr="00EE5264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ti                                            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</w:t>
      </w:r>
    </w:p>
    <w:p w:rsidR="004543AF" w:rsidRPr="00EE5264" w:rsidRDefault="004543AF" w:rsidP="00DC39D2">
      <w:pPr>
        <w:ind w:left="0"/>
        <w:jc w:val="center"/>
        <w:rPr>
          <w:rFonts w:cs="Arial"/>
          <w:lang w:val="ro-RO"/>
        </w:rPr>
      </w:pPr>
      <w:r w:rsidRPr="00EE5264">
        <w:rPr>
          <w:rFonts w:cs="Arial"/>
          <w:lang w:val="ro-RO"/>
        </w:rPr>
        <w:t>pentru Raluca Alexandra PRUNĂ, ministrul justiţiei, semnează</w:t>
      </w:r>
    </w:p>
    <w:p w:rsidR="004543AF" w:rsidRPr="00EE5264" w:rsidRDefault="004543AF" w:rsidP="00DC39D2">
      <w:pPr>
        <w:ind w:left="0"/>
        <w:jc w:val="center"/>
        <w:rPr>
          <w:rFonts w:cs="Arial"/>
          <w:lang w:val="ro-RO"/>
        </w:rPr>
      </w:pPr>
      <w:r w:rsidRPr="00EE5264">
        <w:rPr>
          <w:rFonts w:cs="Arial"/>
          <w:lang w:val="ro-RO"/>
        </w:rPr>
        <w:t>Florin Aurel MO</w:t>
      </w:r>
      <w:r w:rsidRPr="00EE5264">
        <w:rPr>
          <w:rFonts w:ascii="Tahoma" w:hAnsi="Tahoma" w:cs="Tahoma"/>
          <w:lang w:val="ro-RO"/>
        </w:rPr>
        <w:t>Ț</w:t>
      </w:r>
      <w:r w:rsidRPr="00EE5264">
        <w:rPr>
          <w:rFonts w:cs="Arial"/>
          <w:lang w:val="ro-RO"/>
        </w:rPr>
        <w:t>IU</w:t>
      </w:r>
    </w:p>
    <w:p w:rsidR="004543AF" w:rsidRPr="00EE5264" w:rsidRDefault="004543AF" w:rsidP="00DC39D2">
      <w:pPr>
        <w:ind w:left="0"/>
        <w:rPr>
          <w:rFonts w:cs="Arial"/>
          <w:lang w:val="ro-RO"/>
        </w:rPr>
      </w:pPr>
    </w:p>
    <w:p w:rsidR="004543AF" w:rsidRPr="00EE5264" w:rsidRDefault="004543AF" w:rsidP="00DC39D2">
      <w:pPr>
        <w:ind w:left="0"/>
        <w:jc w:val="center"/>
        <w:rPr>
          <w:rFonts w:cs="Arial"/>
          <w:lang w:val="ro-RO"/>
        </w:rPr>
      </w:pPr>
      <w:r w:rsidRPr="00EE5264">
        <w:rPr>
          <w:rFonts w:cs="Arial"/>
          <w:lang w:val="ro-RO"/>
        </w:rPr>
        <w:t>Secretar de Stat</w:t>
      </w:r>
    </w:p>
    <w:p w:rsidR="004543AF" w:rsidRPr="00EE5264" w:rsidRDefault="004543AF" w:rsidP="00DC39D2">
      <w:pPr>
        <w:ind w:left="0"/>
        <w:rPr>
          <w:rFonts w:cs="Arial"/>
          <w:lang w:val="ro-RO"/>
        </w:rPr>
      </w:pPr>
    </w:p>
    <w:p w:rsidR="004543AF" w:rsidRPr="00EE5264" w:rsidRDefault="004543AF" w:rsidP="00DC39D2">
      <w:pPr>
        <w:ind w:left="0"/>
        <w:rPr>
          <w:rFonts w:cs="Arial"/>
          <w:lang w:val="ro-RO"/>
        </w:rPr>
      </w:pPr>
      <w:r w:rsidRPr="00EE5264">
        <w:rPr>
          <w:rFonts w:cs="Arial"/>
          <w:lang w:val="ro-RO"/>
        </w:rPr>
        <w:t xml:space="preserve">Nr. </w:t>
      </w:r>
      <w:r>
        <w:rPr>
          <w:rFonts w:cs="Arial"/>
          <w:lang w:val="ro-RO"/>
        </w:rPr>
        <w:t xml:space="preserve"> /            /               </w:t>
      </w:r>
    </w:p>
    <w:p w:rsidR="004543AF" w:rsidRPr="00EE5264" w:rsidRDefault="004543AF" w:rsidP="00DC39D2">
      <w:pPr>
        <w:ind w:left="0"/>
        <w:rPr>
          <w:rFonts w:cs="Arial"/>
          <w:lang w:val="ro-RO"/>
        </w:rPr>
      </w:pPr>
      <w:r w:rsidRPr="00EE5264">
        <w:rPr>
          <w:rFonts w:cs="Arial"/>
          <w:lang w:val="ro-RO"/>
        </w:rPr>
        <w:t>Prezentul ordin a fost întocmit în 2 exemplare</w:t>
      </w:r>
    </w:p>
    <w:p w:rsidR="004543AF" w:rsidRPr="00EE5264" w:rsidRDefault="004543AF" w:rsidP="0064218B">
      <w:pPr>
        <w:ind w:left="0"/>
        <w:rPr>
          <w:rFonts w:cs="Arial"/>
          <w:lang w:val="ro-RO"/>
        </w:rPr>
      </w:pPr>
    </w:p>
    <w:sectPr w:rsidR="004543AF" w:rsidRPr="00EE5264" w:rsidSect="005848A2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AF" w:rsidRDefault="004543AF" w:rsidP="00CD5B3B">
      <w:r>
        <w:separator/>
      </w:r>
    </w:p>
  </w:endnote>
  <w:endnote w:type="continuationSeparator" w:id="0">
    <w:p w:rsidR="004543AF" w:rsidRDefault="004543A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01" w:type="dxa"/>
      <w:tblLook w:val="00A0"/>
    </w:tblPr>
    <w:tblGrid>
      <w:gridCol w:w="1566"/>
      <w:gridCol w:w="5986"/>
      <w:gridCol w:w="3363"/>
    </w:tblGrid>
    <w:tr w:rsidR="004543AF" w:rsidRPr="004608DF" w:rsidTr="006F4E1E">
      <w:tc>
        <w:tcPr>
          <w:tcW w:w="1566" w:type="dxa"/>
        </w:tcPr>
        <w:p w:rsidR="004543AF" w:rsidRPr="00036CF6" w:rsidRDefault="004543AF" w:rsidP="006F4E1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C168FA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2" o:spid="_x0000_i1028" type="#_x0000_t75" alt="2" style="width:66pt;height:33.75pt;visibility:visible">
                <v:imagedata r:id="rId1" o:title=""/>
              </v:shape>
            </w:pict>
          </w:r>
        </w:p>
      </w:tc>
      <w:tc>
        <w:tcPr>
          <w:tcW w:w="5986" w:type="dxa"/>
          <w:tcBorders>
            <w:left w:val="nil"/>
          </w:tcBorders>
        </w:tcPr>
        <w:p w:rsidR="004543AF" w:rsidRPr="00036CF6" w:rsidRDefault="004543AF" w:rsidP="006F4E1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4543AF" w:rsidRPr="00036CF6" w:rsidRDefault="004543AF" w:rsidP="006F4E1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4543AF" w:rsidRPr="00036CF6" w:rsidRDefault="004543AF" w:rsidP="006F4E1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Pr="00036CF6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4543AF" w:rsidRPr="00036CF6" w:rsidRDefault="004543AF" w:rsidP="006F4E1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</w:tcPr>
        <w:p w:rsidR="004543AF" w:rsidRPr="00452DF6" w:rsidRDefault="004543AF" w:rsidP="006F4E1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4543AF" w:rsidRPr="00036CF6" w:rsidRDefault="004543AF" w:rsidP="006F4E1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FS-01-05-ver.4</w:t>
          </w:r>
        </w:p>
      </w:tc>
    </w:tr>
  </w:tbl>
  <w:p w:rsidR="004543AF" w:rsidRDefault="00454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01" w:type="dxa"/>
      <w:tblLook w:val="00A0"/>
    </w:tblPr>
    <w:tblGrid>
      <w:gridCol w:w="1566"/>
      <w:gridCol w:w="5986"/>
      <w:gridCol w:w="3363"/>
    </w:tblGrid>
    <w:tr w:rsidR="004543AF" w:rsidRPr="004608DF" w:rsidTr="002653E8">
      <w:tc>
        <w:tcPr>
          <w:tcW w:w="1566" w:type="dxa"/>
        </w:tcPr>
        <w:p w:rsidR="004543AF" w:rsidRPr="00036CF6" w:rsidRDefault="004543AF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C168FA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2" style="width:66pt;height:33.75pt;visibility:visible">
                <v:imagedata r:id="rId1" o:title=""/>
              </v:shape>
            </w:pict>
          </w:r>
        </w:p>
      </w:tc>
      <w:tc>
        <w:tcPr>
          <w:tcW w:w="5986" w:type="dxa"/>
          <w:tcBorders>
            <w:left w:val="nil"/>
          </w:tcBorders>
        </w:tcPr>
        <w:p w:rsidR="004543AF" w:rsidRPr="00036CF6" w:rsidRDefault="004543AF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4543AF" w:rsidRPr="00036CF6" w:rsidRDefault="004543A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4543AF" w:rsidRPr="00036CF6" w:rsidRDefault="004543A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Pr="00036CF6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4543AF" w:rsidRPr="00036CF6" w:rsidRDefault="004543AF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</w:tcPr>
        <w:p w:rsidR="004543AF" w:rsidRPr="00452DF6" w:rsidRDefault="004543AF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452DF6">
            <w:rPr>
              <w:sz w:val="14"/>
              <w:szCs w:val="14"/>
              <w:lang w:val="es-ES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452DF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452DF6">
            <w:rPr>
              <w:sz w:val="14"/>
              <w:szCs w:val="14"/>
              <w:lang w:val="es-ES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>
            <w:rPr>
              <w:sz w:val="14"/>
              <w:szCs w:val="14"/>
              <w:lang w:val="es-ES"/>
            </w:rPr>
            <w:t>1</w:t>
          </w:r>
        </w:p>
        <w:p w:rsidR="004543AF" w:rsidRPr="00452DF6" w:rsidRDefault="004543AF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4543AF" w:rsidRPr="00036CF6" w:rsidRDefault="004543AF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FS-01-05-ver.4</w:t>
          </w:r>
        </w:p>
      </w:tc>
    </w:tr>
  </w:tbl>
  <w:p w:rsidR="004543AF" w:rsidRPr="005848A2" w:rsidRDefault="004543AF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AF" w:rsidRDefault="004543AF" w:rsidP="00E06A2C">
      <w:pPr>
        <w:spacing w:after="0"/>
        <w:ind w:left="0"/>
      </w:pPr>
      <w:r>
        <w:separator/>
      </w:r>
    </w:p>
  </w:footnote>
  <w:footnote w:type="continuationSeparator" w:id="0">
    <w:p w:rsidR="004543AF" w:rsidRDefault="004543AF" w:rsidP="00E06A2C">
      <w:pPr>
        <w:ind w:left="0"/>
      </w:pPr>
      <w:r>
        <w:continuationSeparator/>
      </w:r>
    </w:p>
  </w:footnote>
  <w:footnote w:type="continuationNotice" w:id="1">
    <w:p w:rsidR="004543AF" w:rsidRDefault="004543AF" w:rsidP="00E06A2C">
      <w:pPr>
        <w:spacing w:after="0" w:line="240" w:lineRule="auto"/>
        <w:ind w:left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AF" w:rsidRDefault="004543AF" w:rsidP="008A4458">
    <w:pPr>
      <w:pStyle w:val="Header"/>
      <w:ind w:left="0"/>
    </w:pPr>
  </w:p>
  <w:p w:rsidR="004543AF" w:rsidRPr="00CD5B3B" w:rsidRDefault="004543AF" w:rsidP="008A4458">
    <w:pPr>
      <w:pStyle w:val="Header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i1026" type="#_x0000_t75" style="width:152.25pt;height:15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4543AF" w:rsidTr="008A4458">
      <w:tc>
        <w:tcPr>
          <w:tcW w:w="6804" w:type="dxa"/>
        </w:tcPr>
        <w:p w:rsidR="004543AF" w:rsidRPr="00CD5B3B" w:rsidRDefault="004543AF" w:rsidP="00C20EF1">
          <w:pPr>
            <w:pStyle w:val="MediumGrid2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i1030" type="#_x0000_t75" style="width:238.5pt;height:69.75pt;visibility:visible">
                <v:imagedata r:id="rId1" o:title=""/>
              </v:shape>
            </w:pict>
          </w:r>
        </w:p>
      </w:tc>
      <w:tc>
        <w:tcPr>
          <w:tcW w:w="4111" w:type="dxa"/>
          <w:vAlign w:val="center"/>
        </w:tcPr>
        <w:p w:rsidR="004543AF" w:rsidRDefault="004543AF" w:rsidP="00E562FC">
          <w:pPr>
            <w:pStyle w:val="MediumGrid21"/>
            <w:jc w:val="right"/>
          </w:pPr>
        </w:p>
      </w:tc>
    </w:tr>
  </w:tbl>
  <w:p w:rsidR="004543AF" w:rsidRPr="005848A2" w:rsidRDefault="004543AF" w:rsidP="002B2D08">
    <w:pPr>
      <w:pStyle w:val="Header"/>
      <w:spacing w:after="0"/>
      <w:ind w:left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2C"/>
    <w:rsid w:val="00023330"/>
    <w:rsid w:val="00036CF6"/>
    <w:rsid w:val="000743AB"/>
    <w:rsid w:val="000A06C2"/>
    <w:rsid w:val="000B5F93"/>
    <w:rsid w:val="000C490D"/>
    <w:rsid w:val="000C7806"/>
    <w:rsid w:val="000D271C"/>
    <w:rsid w:val="000E5E43"/>
    <w:rsid w:val="000F1DC3"/>
    <w:rsid w:val="000F52D3"/>
    <w:rsid w:val="00100F36"/>
    <w:rsid w:val="00101A43"/>
    <w:rsid w:val="00101E48"/>
    <w:rsid w:val="001313F2"/>
    <w:rsid w:val="001D2539"/>
    <w:rsid w:val="00212A34"/>
    <w:rsid w:val="0024724D"/>
    <w:rsid w:val="002653E8"/>
    <w:rsid w:val="0027015D"/>
    <w:rsid w:val="00295115"/>
    <w:rsid w:val="002954B6"/>
    <w:rsid w:val="002A5742"/>
    <w:rsid w:val="002B0AF2"/>
    <w:rsid w:val="002B2D08"/>
    <w:rsid w:val="002C1AC1"/>
    <w:rsid w:val="002C400C"/>
    <w:rsid w:val="002C5E09"/>
    <w:rsid w:val="002E494B"/>
    <w:rsid w:val="00302C73"/>
    <w:rsid w:val="00304D05"/>
    <w:rsid w:val="00312E32"/>
    <w:rsid w:val="0032422C"/>
    <w:rsid w:val="00331E8F"/>
    <w:rsid w:val="00331F48"/>
    <w:rsid w:val="0035476E"/>
    <w:rsid w:val="00384254"/>
    <w:rsid w:val="00386F77"/>
    <w:rsid w:val="003A6B25"/>
    <w:rsid w:val="003C4D24"/>
    <w:rsid w:val="004328E4"/>
    <w:rsid w:val="00452DF6"/>
    <w:rsid w:val="004543AF"/>
    <w:rsid w:val="004608DF"/>
    <w:rsid w:val="00462299"/>
    <w:rsid w:val="00474F80"/>
    <w:rsid w:val="00493AD5"/>
    <w:rsid w:val="004A4A94"/>
    <w:rsid w:val="004C1753"/>
    <w:rsid w:val="004C24DF"/>
    <w:rsid w:val="004C4F52"/>
    <w:rsid w:val="004C54BC"/>
    <w:rsid w:val="004F094D"/>
    <w:rsid w:val="004F35B5"/>
    <w:rsid w:val="00500601"/>
    <w:rsid w:val="00543045"/>
    <w:rsid w:val="00546FE9"/>
    <w:rsid w:val="00576F76"/>
    <w:rsid w:val="005848A2"/>
    <w:rsid w:val="005A46A8"/>
    <w:rsid w:val="005E6FFA"/>
    <w:rsid w:val="00604DD4"/>
    <w:rsid w:val="0064218B"/>
    <w:rsid w:val="00662077"/>
    <w:rsid w:val="00677FEB"/>
    <w:rsid w:val="006A018E"/>
    <w:rsid w:val="006A263E"/>
    <w:rsid w:val="006B528B"/>
    <w:rsid w:val="006C44D5"/>
    <w:rsid w:val="006F4E1E"/>
    <w:rsid w:val="00722BEC"/>
    <w:rsid w:val="00725F2C"/>
    <w:rsid w:val="00732745"/>
    <w:rsid w:val="00743D2D"/>
    <w:rsid w:val="0076507E"/>
    <w:rsid w:val="00766E0E"/>
    <w:rsid w:val="0076707F"/>
    <w:rsid w:val="0077674C"/>
    <w:rsid w:val="00783581"/>
    <w:rsid w:val="007A1F16"/>
    <w:rsid w:val="007B2FB2"/>
    <w:rsid w:val="007B50C2"/>
    <w:rsid w:val="007B625E"/>
    <w:rsid w:val="008231E2"/>
    <w:rsid w:val="00827D8F"/>
    <w:rsid w:val="00835599"/>
    <w:rsid w:val="00840F14"/>
    <w:rsid w:val="008416E4"/>
    <w:rsid w:val="00857709"/>
    <w:rsid w:val="00861DE2"/>
    <w:rsid w:val="00871DA8"/>
    <w:rsid w:val="00871FC1"/>
    <w:rsid w:val="008912B6"/>
    <w:rsid w:val="008A2AC0"/>
    <w:rsid w:val="008A4458"/>
    <w:rsid w:val="008B63B2"/>
    <w:rsid w:val="008C5208"/>
    <w:rsid w:val="009046C4"/>
    <w:rsid w:val="00915096"/>
    <w:rsid w:val="00922FCD"/>
    <w:rsid w:val="00936E1D"/>
    <w:rsid w:val="00940D73"/>
    <w:rsid w:val="0094530E"/>
    <w:rsid w:val="00951C98"/>
    <w:rsid w:val="00992648"/>
    <w:rsid w:val="009A348F"/>
    <w:rsid w:val="009B26D0"/>
    <w:rsid w:val="009B4F4C"/>
    <w:rsid w:val="009B56E1"/>
    <w:rsid w:val="009C46B3"/>
    <w:rsid w:val="009E7609"/>
    <w:rsid w:val="009F7FDF"/>
    <w:rsid w:val="00A13890"/>
    <w:rsid w:val="00A223E9"/>
    <w:rsid w:val="00A5589B"/>
    <w:rsid w:val="00A72BA3"/>
    <w:rsid w:val="00A7669D"/>
    <w:rsid w:val="00AC3A35"/>
    <w:rsid w:val="00AE26B4"/>
    <w:rsid w:val="00B112E0"/>
    <w:rsid w:val="00B13BB4"/>
    <w:rsid w:val="00B3065C"/>
    <w:rsid w:val="00B60F95"/>
    <w:rsid w:val="00BB308D"/>
    <w:rsid w:val="00BD44D2"/>
    <w:rsid w:val="00BD4A2A"/>
    <w:rsid w:val="00C05271"/>
    <w:rsid w:val="00C05F49"/>
    <w:rsid w:val="00C168FA"/>
    <w:rsid w:val="00C206F7"/>
    <w:rsid w:val="00C20EF1"/>
    <w:rsid w:val="00C3067A"/>
    <w:rsid w:val="00C3439E"/>
    <w:rsid w:val="00C54591"/>
    <w:rsid w:val="00C56627"/>
    <w:rsid w:val="00CA37EF"/>
    <w:rsid w:val="00CC7859"/>
    <w:rsid w:val="00CD0C6C"/>
    <w:rsid w:val="00CD0F06"/>
    <w:rsid w:val="00CD5B3B"/>
    <w:rsid w:val="00CE65DD"/>
    <w:rsid w:val="00CF5778"/>
    <w:rsid w:val="00D0182A"/>
    <w:rsid w:val="00D06E9C"/>
    <w:rsid w:val="00D40459"/>
    <w:rsid w:val="00D434B8"/>
    <w:rsid w:val="00D50351"/>
    <w:rsid w:val="00D57031"/>
    <w:rsid w:val="00D571C7"/>
    <w:rsid w:val="00D86F1D"/>
    <w:rsid w:val="00DC39D2"/>
    <w:rsid w:val="00DC4B96"/>
    <w:rsid w:val="00DF0E94"/>
    <w:rsid w:val="00E06A2C"/>
    <w:rsid w:val="00E3702D"/>
    <w:rsid w:val="00E5314E"/>
    <w:rsid w:val="00E562FC"/>
    <w:rsid w:val="00E56667"/>
    <w:rsid w:val="00E64B6D"/>
    <w:rsid w:val="00E75D35"/>
    <w:rsid w:val="00E80D5E"/>
    <w:rsid w:val="00EA0F6C"/>
    <w:rsid w:val="00EA5D6B"/>
    <w:rsid w:val="00EB710B"/>
    <w:rsid w:val="00ED56C3"/>
    <w:rsid w:val="00EE32F2"/>
    <w:rsid w:val="00EE5264"/>
    <w:rsid w:val="00EF3184"/>
    <w:rsid w:val="00F56471"/>
    <w:rsid w:val="00F67D20"/>
    <w:rsid w:val="00F828BD"/>
    <w:rsid w:val="00F82FC8"/>
    <w:rsid w:val="00FB6D27"/>
    <w:rsid w:val="00FC174E"/>
    <w:rsid w:val="00FC4284"/>
    <w:rsid w:val="00FE2F2C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6"/>
    <w:pPr>
      <w:spacing w:after="120" w:line="276" w:lineRule="auto"/>
      <w:ind w:left="1701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333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4218B"/>
    <w:pPr>
      <w:spacing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218B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351"/>
    <w:rPr>
      <w:rFonts w:ascii="Trebuchet MS" w:hAnsi="Trebuchet MS" w:cs="Times New Roman"/>
      <w:sz w:val="16"/>
    </w:rPr>
  </w:style>
  <w:style w:type="character" w:styleId="FootnoteReference">
    <w:name w:val="footnote reference"/>
    <w:basedOn w:val="DefaultParagraphFont"/>
    <w:uiPriority w:val="99"/>
    <w:semiHidden/>
    <w:rsid w:val="00E06A2C"/>
    <w:rPr>
      <w:rFonts w:ascii="Trebuchet MS" w:hAnsi="Trebuchet MS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90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nr</dc:title>
  <dc:subject/>
  <dc:creator>Viorel Streza</dc:creator>
  <cp:keywords/>
  <dc:description/>
  <cp:lastModifiedBy>gianina.popa</cp:lastModifiedBy>
  <cp:revision>33</cp:revision>
  <cp:lastPrinted>2016-12-23T12:12:00Z</cp:lastPrinted>
  <dcterms:created xsi:type="dcterms:W3CDTF">2016-10-13T11:38:00Z</dcterms:created>
  <dcterms:modified xsi:type="dcterms:W3CDTF">2016-12-30T11:43:00Z</dcterms:modified>
</cp:coreProperties>
</file>